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UNCLAIMED PROPERTY</w:t>
      </w:r>
    </w:p>
    <w:p>
      <w:pPr>
        <w:spacing w:before="0" w:after="0"/>
        <w:ind w:left="120"/>
        <w:jc w:val="center"/>
      </w:pPr>
      <w:r>
        <w:rPr>
          <w:rFonts w:ascii="Times New Roman" w:hAnsi="Times New Roman"/>
          <w:b w:val="false"/>
          <w:i w:val="false"/>
          <w:color w:val="000000"/>
          <w:sz w:val="14"/>
        </w:rPr>
        <w:t>[Prior to 5/18/88, see Treasurer 781—Ch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781—9.1</w:t>
      </w:r>
      <w:r>
        <w:rPr>
          <w:rFonts w:ascii="Times New Roman" w:hAnsi="Times New Roman"/>
          <w:b/>
          <w:i w:val="false"/>
          <w:color w:val="000000"/>
          <w:sz w:val="22"/>
        </w:rPr>
        <w:t xml:space="preserve">(556)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xml:space="preserve"> authorizes the treasurer of state to establish administrative rules that are necessary for the purpose of carrying out the provisions of Iowa Code chapter </w:t>
      </w:r>
      <w:hyperlink r:id="rId6">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the uniform disposition of unclaimed property Act.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781—9.2</w:t>
      </w:r>
      <w:r>
        <w:rPr>
          <w:rFonts w:ascii="Times New Roman" w:hAnsi="Times New Roman"/>
          <w:b/>
          <w:i w:val="false"/>
          <w:color w:val="000000"/>
          <w:sz w:val="22"/>
        </w:rPr>
        <w:t xml:space="preserve"> Reserved. </w:t>
      </w:r>
    </w:p>
    <w:p>
      <w:pPr>
        <w:spacing w:before="0" w:after="0"/>
        <w:ind w:left="120"/>
        <w:jc w:val="both"/>
      </w:pPr>
      <w:r>
        <w:rPr>
          <w:rFonts w:ascii="Times New Roman" w:hAnsi="Times New Roman"/>
          <w:b/>
          <w:i w:val="false"/>
          <w:color w:val="000000"/>
          <w:sz w:val="22"/>
        </w:rPr>
        <w:t>781—9.3</w:t>
      </w:r>
      <w:r>
        <w:rPr>
          <w:rFonts w:ascii="Times New Roman" w:hAnsi="Times New Roman"/>
          <w:b/>
          <w:i w:val="false"/>
          <w:color w:val="000000"/>
          <w:sz w:val="22"/>
        </w:rPr>
        <w:t xml:space="preserve">(556) </w:t>
      </w:r>
      <w:r>
        <w:rPr>
          <w:rFonts w:ascii="Times New Roman" w:hAnsi="Times New Roman"/>
          <w:b/>
          <w:i w:val="false"/>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 forms must be completed on paper or online (whichever is applicable for the requested actions) to perform the actions listed below. Current forms are available online at </w:t>
      </w:r>
      <w:hyperlink r:id="rId8">
        <w:r>
          <w:rPr>
            <w:rStyle w:val="Hyperlink"/>
            <w:rFonts w:ascii="Times New Roman" w:hAnsi="Times New Roman"/>
            <w:b w:val="false"/>
            <w:i w:val="false"/>
            <w:color w:val="000000"/>
            <w:sz w:val="22"/>
            <w:u w:val="single"/>
          </w:rPr>
          <w:t>www.greatiowatreasurehunt.com</w:t>
        </w:r>
      </w:hyperlink>
      <w:r>
        <w:rPr>
          <w:rFonts w:ascii="Times New Roman" w:hAnsi="Times New Roman"/>
          <w:b w:val="false"/>
          <w:i w:val="false"/>
          <w:color w:val="000000"/>
          <w:sz w:val="22"/>
        </w:rPr>
        <w:t xml:space="preserve"> or as supplied by the state treasurer’s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Forms required by the office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Holder Reimbursement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Affidavit of Administration.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781—9.4</w:t>
      </w:r>
      <w:r>
        <w:rPr>
          <w:rFonts w:ascii="Times New Roman" w:hAnsi="Times New Roman"/>
          <w:b/>
          <w:i w:val="false"/>
          <w:color w:val="000000"/>
          <w:sz w:val="22"/>
        </w:rPr>
        <w:t xml:space="preserve">(556)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terms defined in Iowa Code section </w:t>
      </w:r>
      <w:hyperlink r:id="rId10">
        <w:r>
          <w:rPr>
            <w:rStyle w:val="Hyperlink"/>
            <w:rFonts w:ascii="Times New Roman" w:hAnsi="Times New Roman"/>
            <w:b w:val="false"/>
            <w:i w:val="false"/>
            <w:color w:val="000000"/>
            <w:sz w:val="22"/>
          </w:rPr>
          <w:t>556.1</w:t>
        </w:r>
      </w:hyperlink>
      <w:r>
        <w:rPr>
          <w:rFonts w:ascii="Times New Roman" w:hAnsi="Times New Roman"/>
          <w:b w:val="false"/>
          <w:i w:val="false"/>
          <w:color w:val="000000"/>
          <w:sz w:val="22"/>
        </w:rPr>
        <w:t>, the following words or terms, when used in this chapter, shall have the following meanings, unless the context clearly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uniform disposition of unclaimed property Act, Iowa Code chapter </w:t>
      </w:r>
      <w:hyperlink r:id="rId11">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“Aggregate property” </w:t>
      </w:r>
      <w:r>
        <w:rPr>
          <w:rFonts w:ascii="Times New Roman" w:hAnsi="Times New Roman"/>
          <w:b w:val="false"/>
          <w:i w:val="false"/>
          <w:color w:val="000000"/>
          <w:sz w:val="22"/>
        </w:rPr>
        <w:t>means individual items of intangible property with a value of less than $50 each which have been aggregated by a holder and reported and delivered to the division in a lump sum.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“Book shares” </w:t>
      </w:r>
      <w:r>
        <w:rPr>
          <w:rFonts w:ascii="Times New Roman" w:hAnsi="Times New Roman"/>
          <w:b w:val="false"/>
          <w:i w:val="false"/>
          <w:color w:val="000000"/>
          <w:sz w:val="22"/>
        </w:rPr>
        <w:t>means debt or equity securities which are maintained in book entry form only and for which no physical certificate was or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means a person or legal entity entitled to reclaim abandoned property in the possession of the division. A claimant may be an original owner, legal representative (other than a finder), or successor in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auditor” </w:t>
      </w:r>
      <w:r>
        <w:rPr>
          <w:rFonts w:ascii="Times New Roman" w:hAnsi="Times New Roman"/>
          <w:b w:val="false"/>
          <w:i w:val="false"/>
          <w:color w:val="000000"/>
          <w:sz w:val="22"/>
        </w:rPr>
        <w:t>means any person or entity engaged or hired by the treasurer or the division to provide unclaimed property examination services. “Contract auditor” includes agents, employees and any subcontractor engaged by a contract auditor or engaged by its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“Credits, advance payments, overpayments, refunds, or credit memoranda,” </w:t>
      </w:r>
      <w:r>
        <w:rPr>
          <w:rFonts w:ascii="Times New Roman" w:hAnsi="Times New Roman"/>
          <w:b w:val="false"/>
          <w:i w:val="false"/>
          <w:color w:val="000000"/>
          <w:sz w:val="22"/>
        </w:rPr>
        <w:t xml:space="preserve">for purposes of Iowa Code section </w:t>
      </w:r>
      <w:hyperlink r:id="rId12">
        <w:r>
          <w:rPr>
            <w:rStyle w:val="Hyperlink"/>
            <w:rFonts w:ascii="Times New Roman" w:hAnsi="Times New Roman"/>
            <w:b w:val="false"/>
            <w:i w:val="false"/>
            <w:color w:val="000000"/>
            <w:sz w:val="22"/>
          </w:rPr>
          <w:t>556.1(12)</w:t>
        </w:r>
      </w:hyperlink>
      <w:r>
        <w:rPr>
          <w:rFonts w:ascii="Times New Roman" w:hAnsi="Times New Roman"/>
          <w:b w:val="false"/>
          <w:i w:val="false"/>
          <w:color w:val="000000"/>
          <w:sz w:val="22"/>
        </w:rPr>
        <w:t xml:space="preserve">, means current accounts receivable of a business association that have not been reduced to a check or other form of payment. “Credits, advance payments, overpayments, refunds, or credit memoranda,” for purposes of Iowa Code section </w:t>
      </w:r>
      <w:hyperlink r:id="rId13">
        <w:r>
          <w:rPr>
            <w:rStyle w:val="Hyperlink"/>
            <w:rFonts w:ascii="Times New Roman" w:hAnsi="Times New Roman"/>
            <w:b w:val="false"/>
            <w:i w:val="false"/>
            <w:color w:val="000000"/>
            <w:sz w:val="22"/>
          </w:rPr>
          <w:t>556.1(12)</w:t>
        </w:r>
      </w:hyperlink>
      <w:r>
        <w:rPr>
          <w:rFonts w:ascii="Times New Roman" w:hAnsi="Times New Roman"/>
          <w:b w:val="false"/>
          <w:i w:val="false"/>
          <w:color w:val="000000"/>
          <w:sz w:val="22"/>
        </w:rPr>
        <w:t>, shall not include uncashed checks or other unclaimed payments due and owing to a business association for its provision of goods or services, with respect to any other type of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“Custodial property” </w:t>
      </w:r>
      <w:r>
        <w:rPr>
          <w:rFonts w:ascii="Times New Roman" w:hAnsi="Times New Roman"/>
          <w:b w:val="false"/>
          <w:i w:val="false"/>
          <w:color w:val="000000"/>
          <w:sz w:val="22"/>
        </w:rPr>
        <w:t>means property transferred to a custodian for a minor under the provisions of (1) the Iowa UTMA, (2) the Uniform Transfers to Minors Act, (3) the Uniform Gifts to Minors Act, or (4) a substantially similar Act of another state if, at the time of the transfer, the transferor, the minor, or the custodian is a resident of the designated state or the custodial property is located in the designated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unclaimed property division within the Iowa treasurer of state’s office that has the responsibility of administering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“Dormancy fee” </w:t>
      </w:r>
      <w:r>
        <w:rPr>
          <w:rFonts w:ascii="Times New Roman" w:hAnsi="Times New Roman"/>
          <w:b w:val="false"/>
          <w:i w:val="false"/>
          <w:color w:val="000000"/>
          <w:sz w:val="22"/>
        </w:rPr>
        <w:t>means a service charge, dormancy charge, inactive account fee, escheat fee, minimum balance fee, maintenance fee, unclaimed property fee, or any other charge that results in the reduction of an account balance or property value and is not directly related to a transaction initiated by an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“Dormancy period” </w:t>
      </w:r>
      <w:r>
        <w:rPr>
          <w:rFonts w:ascii="Times New Roman" w:hAnsi="Times New Roman"/>
          <w:b w:val="false"/>
          <w:i w:val="false"/>
          <w:color w:val="000000"/>
          <w:sz w:val="22"/>
        </w:rPr>
        <w:t>means the statutorily specified span of time after which an owner’s failure to indicate an interest in property will result in the property’s being presumed abandoned and subject to reporting and delivery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“Due diligence” </w:t>
      </w:r>
      <w:r>
        <w:rPr>
          <w:rFonts w:ascii="Times New Roman" w:hAnsi="Times New Roman"/>
          <w:b w:val="false"/>
          <w:i w:val="false"/>
          <w:color w:val="000000"/>
          <w:sz w:val="22"/>
        </w:rPr>
        <w:t>means the efforts required to be undertaken by a holder of unclaimed property to find the rightful owner of such property before the property is delivered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authentication” </w:t>
      </w:r>
      <w:r>
        <w:rPr>
          <w:rFonts w:ascii="Times New Roman" w:hAnsi="Times New Roman"/>
          <w:b w:val="false"/>
          <w:i w:val="false"/>
          <w:color w:val="000000"/>
          <w:sz w:val="22"/>
        </w:rPr>
        <w:t xml:space="preserve">means the use of an automated government or private sector database to confirm the identity of a claimant.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“Funds for liquidation” </w:t>
      </w:r>
      <w:r>
        <w:rPr>
          <w:rFonts w:ascii="Times New Roman" w:hAnsi="Times New Roman"/>
          <w:b w:val="false"/>
          <w:i w:val="false"/>
          <w:color w:val="000000"/>
          <w:sz w:val="22"/>
        </w:rPr>
        <w:t>means unclaimed funds which are held by a holder on behalf of an owner of debt or equity securities and which are owing as a result of the liquidation of the securities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“Gift card” </w:t>
      </w:r>
      <w:r>
        <w:rPr>
          <w:rFonts w:ascii="Times New Roman" w:hAnsi="Times New Roman"/>
          <w:b w:val="false"/>
          <w:i w:val="false"/>
          <w:color w:val="000000"/>
          <w:sz w:val="22"/>
        </w:rPr>
        <w:t xml:space="preserve">means an electronic gift card conspicuously designated as a gift card and generally purchased by a buyer for use by a person other than the buyer redeemable for goods or services from the issuing merchant or its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“Gift certificate” </w:t>
      </w:r>
      <w:r>
        <w:rPr>
          <w:rFonts w:ascii="Times New Roman" w:hAnsi="Times New Roman"/>
          <w:b w:val="false"/>
          <w:i w:val="false"/>
          <w:color w:val="000000"/>
          <w:sz w:val="22"/>
        </w:rPr>
        <w:t>means a merchandise certificate conspicuously designated as a gift certificate and generally purchased by a buyer for use by a person other than the buyer.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“Indication of interest” </w:t>
      </w:r>
      <w:r>
        <w:rPr>
          <w:rFonts w:ascii="Times New Roman" w:hAnsi="Times New Roman"/>
          <w:b w:val="false"/>
          <w:i w:val="false"/>
          <w:color w:val="000000"/>
          <w:sz w:val="22"/>
        </w:rPr>
        <w:t>means an action by an owner with respect to the owner’s property which indicates that the owner is aware of the existence of the property and intends for the property not to be presumed abandoned. Examples of an owner’s indication of interest include, but are not limited to, the following: an owner-initiated deposit or withdrawal from an account; notification to a holder of a change of address specific to the account; an account balance or similar owner-initiated inquiry, including an account inquiry made electronically in which the owner has contemporaneously authenticated the owner’s identity; and any communication, such as written or electronic correspondence, telephone call or person-to-person conversation between an owner and a holder (or the agent of a holder), which can be documented and which reflects an owner’s awareness of the existence of the property. “Indication of interest” does not include recurring Automated Clearing House (ACH) transfers, automated postings to accounts, computer system conversions, the non-return of mail, and other actions that are not owner-initiated or do not require a direct owner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“Intangible property” </w:t>
      </w:r>
      <w:r>
        <w:rPr>
          <w:rFonts w:ascii="Times New Roman" w:hAnsi="Times New Roman"/>
          <w:b w:val="false"/>
          <w:i w:val="false"/>
          <w:color w:val="000000"/>
          <w:sz w:val="22"/>
        </w:rPr>
        <w:t xml:space="preserve">means such property as described in Iowa Code section </w:t>
      </w:r>
      <w:hyperlink r:id="rId14">
        <w:r>
          <w:rPr>
            <w:rStyle w:val="Hyperlink"/>
            <w:rFonts w:ascii="Times New Roman" w:hAnsi="Times New Roman"/>
            <w:b w:val="false"/>
            <w:i w:val="false"/>
            <w:color w:val="000000"/>
            <w:sz w:val="22"/>
          </w:rPr>
          <w:t>556.1(12)</w:t>
        </w:r>
      </w:hyperlink>
      <w:r>
        <w:rPr>
          <w:rFonts w:ascii="Times New Roman" w:hAnsi="Times New Roman"/>
          <w:b w:val="false"/>
          <w:i w:val="false"/>
          <w:color w:val="000000"/>
          <w:sz w:val="22"/>
        </w:rPr>
        <w:t xml:space="preserve"> as well as any other fixed and certain interest or right in an intangible that is held by, issued to, or owing to a holder except as otherwise expressly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uniform transfers to minors 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“Iowa UTMA” </w:t>
      </w:r>
      <w:r>
        <w:rPr>
          <w:rFonts w:ascii="Times New Roman" w:hAnsi="Times New Roman"/>
          <w:b w:val="false"/>
          <w:i w:val="false"/>
          <w:color w:val="000000"/>
          <w:sz w:val="22"/>
        </w:rPr>
        <w:t xml:space="preserve">means Iowa Code chapter </w:t>
      </w:r>
      <w:hyperlink r:id="rId15">
        <w:r>
          <w:rPr>
            <w:rStyle w:val="Hyperlink"/>
            <w:rFonts w:ascii="Times New Roman" w:hAnsi="Times New Roman"/>
            <w:b w:val="false"/>
            <w:i w:val="false"/>
            <w:color w:val="000000"/>
            <w:sz w:val="22"/>
          </w:rPr>
          <w:t>565B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“Last activity date” </w:t>
      </w:r>
      <w:r>
        <w:rPr>
          <w:rFonts w:ascii="Times New Roman" w:hAnsi="Times New Roman"/>
          <w:b w:val="false"/>
          <w:i w:val="false"/>
          <w:color w:val="000000"/>
          <w:sz w:val="22"/>
        </w:rPr>
        <w:t>means the last verifiable date of owner-initiated activity or contact with the holder with respect to unclaimed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“Locator” </w:t>
      </w:r>
      <w:r>
        <w:rPr>
          <w:rFonts w:ascii="Times New Roman" w:hAnsi="Times New Roman"/>
          <w:b w:val="false"/>
          <w:i w:val="false"/>
          <w:color w:val="000000"/>
          <w:sz w:val="22"/>
        </w:rPr>
        <w:t xml:space="preserve">means a person hired or engaged to assist in the recovery of unclaimed property reported into the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“Matured bond principal” </w:t>
      </w:r>
      <w:r>
        <w:rPr>
          <w:rFonts w:ascii="Times New Roman" w:hAnsi="Times New Roman"/>
          <w:b w:val="false"/>
          <w:i w:val="false"/>
          <w:color w:val="000000"/>
          <w:sz w:val="22"/>
        </w:rPr>
        <w:t>means unclaimed funds which are held by a holder for a bond holder pending the bond holder’s redemption of debt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“Non-freely transferable security” </w:t>
      </w:r>
      <w:r>
        <w:rPr>
          <w:rFonts w:ascii="Times New Roman" w:hAnsi="Times New Roman"/>
          <w:b w:val="false"/>
          <w:i w:val="false"/>
          <w:color w:val="000000"/>
          <w:sz w:val="22"/>
        </w:rPr>
        <w:t>means a security that cannot be delivered to the administrator by the Depository Trust Clearing Corporation or a similar custodian of securities providing post-trade clearing and settlement services to financial markets or cannot be delivered because there is no agent to effect transfer. “Non-freely transferable security” includes a worthless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“Retained asset account” </w:t>
      </w:r>
      <w:r>
        <w:rPr>
          <w:rFonts w:ascii="Times New Roman" w:hAnsi="Times New Roman"/>
          <w:b w:val="false"/>
          <w:i w:val="false"/>
          <w:color w:val="000000"/>
          <w:sz w:val="22"/>
        </w:rPr>
        <w:t>means any mechanism whereby the settlement of proceeds payable under a life insurance policy is accomplished by deposit by the insurer, or an entity acting on behalf of the insurer, depositing the proceeds into an account with check- or draft-writing privileges, where those proceeds are retained by the insurer pursuant to a supplementary contract not involving annuity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“Tangible property” </w:t>
      </w:r>
      <w:r>
        <w:rPr>
          <w:rFonts w:ascii="Times New Roman" w:hAnsi="Times New Roman"/>
          <w:b w:val="false"/>
          <w:i w:val="false"/>
          <w:color w:val="000000"/>
          <w:sz w:val="22"/>
        </w:rPr>
        <w:t>means the physical contents of a safe deposit box or other safekeeping repository, or physical items held as collateral by a banking organization, financial organization, or business association, that are reportable and deliverable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“Treasurer” </w:t>
      </w:r>
      <w:r>
        <w:rPr>
          <w:rFonts w:ascii="Times New Roman" w:hAnsi="Times New Roman"/>
          <w:b w:val="false"/>
          <w:i w:val="false"/>
          <w:color w:val="000000"/>
          <w:sz w:val="22"/>
        </w:rPr>
        <w:t>means the treasurer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“Undelivered shares” </w:t>
      </w:r>
      <w:r>
        <w:rPr>
          <w:rFonts w:ascii="Times New Roman" w:hAnsi="Times New Roman"/>
          <w:b w:val="false"/>
          <w:i w:val="false"/>
          <w:color w:val="000000"/>
          <w:sz w:val="22"/>
        </w:rPr>
        <w:t>means unclaimed physically issued debt or equity securities which were returned to the issuer by the post office as undeliverable or which were otherwise never delivered into the possession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“Underlying shares” </w:t>
      </w:r>
      <w:r>
        <w:rPr>
          <w:rFonts w:ascii="Times New Roman" w:hAnsi="Times New Roman"/>
          <w:b w:val="false"/>
          <w:i w:val="false"/>
          <w:color w:val="000000"/>
          <w:sz w:val="22"/>
        </w:rPr>
        <w:t>means unclaimed physically issued debt or equity securities which are presumably in the possession of an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“Unexchanged shares” </w:t>
      </w:r>
      <w:r>
        <w:rPr>
          <w:rFonts w:ascii="Times New Roman" w:hAnsi="Times New Roman"/>
          <w:b w:val="false"/>
          <w:i w:val="false"/>
          <w:color w:val="000000"/>
          <w:sz w:val="22"/>
        </w:rPr>
        <w:t>means unclaimed debt or equity securities which are held by a holder on behalf of an owner, pending the owner’s surrender of obsolete debt or equity securities in conjunction with an acquisition, merger, recapitalization, or similar mandatory corporate action.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556.1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781—9.5</w:t>
      </w:r>
      <w:r>
        <w:rPr>
          <w:rFonts w:ascii="Times New Roman" w:hAnsi="Times New Roman"/>
          <w:b/>
          <w:i w:val="false"/>
          <w:color w:val="000000"/>
          <w:sz w:val="22"/>
        </w:rPr>
        <w:t xml:space="preserve">(556) </w:t>
      </w:r>
      <w:r>
        <w:rPr>
          <w:rFonts w:ascii="Times New Roman" w:hAnsi="Times New Roman"/>
          <w:b/>
          <w:i w:val="false"/>
          <w:color w:val="000000"/>
          <w:sz w:val="22"/>
        </w:rPr>
        <w:t xml:space="preserve">Dormancy fees and related charges.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17">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xml:space="preserve"> authorizes the following dormancy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Lawful charges withheld from abandoned demand, savings, or matured time deposits held by a financial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Charges on unpresented traveler’s checks and money orders, when a valid and enforceable contract to assess the charges exists, and the issuer regularly imposes such charges and does not regularly reverse or otherwise cancel such charges for the benefit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Charges on unpresented checks, drafts, or similar instruments on which a financial organization is directly liable, when a valid and enforceable written contract to assess the charges exists, and the holder regularly imposes such charges and does not regularly reverse or otherwise cancel such charges for the benefit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Deductions from the face value of a gift certificate or gift card resulting from untimely presentment or usage, when a valid and enforceable written contract was provided in conjunction with the issuance of the gift certificate or gift card, and the issuer of the gift certificate or gift card regularly imposes and does not regularly reverse or otherwise cancel the deduction for the benefit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val="false"/>
          <w:color w:val="000000"/>
          <w:sz w:val="22"/>
        </w:rPr>
        <w:t xml:space="preserve">Dormancy fees not authorized by Iowa Code chapter </w:t>
      </w:r>
      <w:hyperlink r:id="rId18">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xml:space="preserve">, including but not limited to an escheat fee or other fee sought for the holder’s performance of the requirements of Iowa Code chapter </w:t>
      </w:r>
      <w:hyperlink r:id="rId19">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unclaimed accounts reported pursuant to Iowa Code section </w:t>
      </w:r>
      <w:hyperlink r:id="rId20">
        <w:r>
          <w:rPr>
            <w:rStyle w:val="Hyperlink"/>
            <w:rFonts w:ascii="Times New Roman" w:hAnsi="Times New Roman"/>
            <w:b w:val="false"/>
            <w:i w:val="false"/>
            <w:color w:val="000000"/>
            <w:sz w:val="22"/>
          </w:rPr>
          <w:t>556.11(1)</w:t>
        </w:r>
      </w:hyperlink>
      <w:r>
        <w:rPr>
          <w:rFonts w:ascii="Times New Roman" w:hAnsi="Times New Roman"/>
          <w:b w:val="false"/>
          <w:i w:val="false"/>
          <w:color w:val="000000"/>
          <w:sz w:val="22"/>
        </w:rPr>
        <w:t>, all dormancy fees assessed against an unclaimed account must be disclosed in the report of unclaimed property filed with the division.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556.2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781—9.6</w:t>
      </w:r>
      <w:r>
        <w:rPr>
          <w:rFonts w:ascii="Times New Roman" w:hAnsi="Times New Roman"/>
          <w:b/>
          <w:i w:val="false"/>
          <w:color w:val="000000"/>
          <w:sz w:val="22"/>
        </w:rPr>
        <w:t xml:space="preserve">(556) </w:t>
      </w:r>
      <w:r>
        <w:rPr>
          <w:rFonts w:ascii="Times New Roman" w:hAnsi="Times New Roman"/>
          <w:b/>
          <w:i w:val="false"/>
          <w:color w:val="000000"/>
          <w:sz w:val="22"/>
        </w:rPr>
        <w:t xml:space="preserve">Reporting and delivery of safe deposit box contents.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val="false"/>
          <w:color w:val="000000"/>
          <w:sz w:val="22"/>
        </w:rPr>
        <w:t>Safe deposit boxes or other safekeeping depositories that have been abandoned shall be opened and inventoried in the presence of at least two employees of the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val="false"/>
          <w:color w:val="000000"/>
          <w:sz w:val="22"/>
        </w:rPr>
        <w:t>The holder shall list the contents of each box inventoried and provide that list to the division. The Safe Deposit Box Inventory Form, or other form approved by the division, or any financial institution’s internal inventory form shall be used and provided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w:t>
      </w:r>
      <w:r>
        <w:rPr>
          <w:rFonts w:ascii="Times New Roman" w:hAnsi="Times New Roman"/>
          <w:b w:val="false"/>
          <w:i w:val="false"/>
          <w:color w:val="000000"/>
          <w:sz w:val="22"/>
        </w:rPr>
        <w:t> </w:t>
      </w:r>
      <w:r>
        <w:rPr>
          <w:rFonts w:ascii="Times New Roman" w:hAnsi="Times New Roman"/>
          <w:b w:val="false"/>
          <w:i w:val="false"/>
          <w:color w:val="000000"/>
          <w:sz w:val="22"/>
        </w:rPr>
        <w:t>The property and a copy of the inventory shall then be sealed and maintained in safekeeping until delivered to the owner or to the division when required by the Act. The holder may not convert the property to cash or reduce cash property to check; all property is to be delivered in its original form and “as is” to the owner or, if required,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w:t>
      </w:r>
      <w:r>
        <w:rPr>
          <w:rFonts w:ascii="Times New Roman" w:hAnsi="Times New Roman"/>
          <w:b w:val="false"/>
          <w:i w:val="false"/>
          <w:color w:val="000000"/>
          <w:sz w:val="22"/>
        </w:rPr>
        <w:t> </w:t>
      </w:r>
      <w:r>
        <w:rPr>
          <w:rFonts w:ascii="Times New Roman" w:hAnsi="Times New Roman"/>
          <w:b w:val="false"/>
          <w:i w:val="false"/>
          <w:color w:val="000000"/>
          <w:sz w:val="22"/>
        </w:rPr>
        <w:t>Property transferred to the division shall be packaged in a reasonably protective manner to prepare for transportation to the division. Property should be delivered to the division via certified mail or insured courier. The holder assumes all risk of loss pending receipt of the property by the division. In the case of hazardous materials or weapons, including handguns, holders shall contact the division and follow any special instructions for handling such items.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556.2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781—9.7</w:t>
      </w:r>
      <w:r>
        <w:rPr>
          <w:rFonts w:ascii="Times New Roman" w:hAnsi="Times New Roman"/>
          <w:b/>
          <w:i w:val="false"/>
          <w:color w:val="000000"/>
          <w:sz w:val="22"/>
        </w:rPr>
        <w:t xml:space="preserve">(556) </w:t>
      </w:r>
      <w:r>
        <w:rPr>
          <w:rFonts w:ascii="Times New Roman" w:hAnsi="Times New Roman"/>
          <w:b/>
          <w:i w:val="false"/>
          <w:color w:val="000000"/>
          <w:sz w:val="22"/>
        </w:rPr>
        <w:t xml:space="preserve">Reporting of stocks—non-freely transferable and worthless securities. </w:t>
      </w:r>
      <w:r>
        <w:rPr>
          <w:rFonts w:ascii="Times New Roman" w:hAnsi="Times New Roman"/>
          <w:b w:val="false"/>
          <w:i w:val="false"/>
          <w:color w:val="000000"/>
          <w:sz w:val="22"/>
        </w:rPr>
        <w:t>A holder shall not report or deliver to the division a security identified by the holder as a non-freely transferable security. Upon determination by the division or the holder that a security is no longer a non-freely transferable security, the security shall be subsequently reported and remitted on the next regular (annual) date prescribed for delivery of securities pursuant to the Act. The holder shall make a determination annually whether a security that has not been reported or delivered to the division on the basis that it is non-freely transferable is no longer non-freely transferable.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556.5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781—9.8</w:t>
      </w:r>
      <w:r>
        <w:rPr>
          <w:rFonts w:ascii="Times New Roman" w:hAnsi="Times New Roman"/>
          <w:b/>
          <w:i w:val="false"/>
          <w:color w:val="000000"/>
          <w:sz w:val="22"/>
        </w:rPr>
        <w:t xml:space="preserve">(556) </w:t>
      </w:r>
      <w:r>
        <w:rPr>
          <w:rFonts w:ascii="Times New Roman" w:hAnsi="Times New Roman"/>
          <w:b/>
          <w:i w:val="false"/>
          <w:color w:val="000000"/>
          <w:sz w:val="22"/>
        </w:rPr>
        <w:t xml:space="preserve">Reporting of individual retirement accounts (IRAs) and other retirement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24">
        <w:r>
          <w:rPr>
            <w:rStyle w:val="Hyperlink"/>
            <w:rFonts w:ascii="Times New Roman" w:hAnsi="Times New Roman"/>
            <w:b w:val="false"/>
            <w:i w:val="false"/>
            <w:color w:val="000000"/>
            <w:sz w:val="22"/>
          </w:rPr>
          <w:t>9.8(2)</w:t>
        </w:r>
      </w:hyperlink>
      <w:r>
        <w:rPr>
          <w:rFonts w:ascii="Times New Roman" w:hAnsi="Times New Roman"/>
          <w:b w:val="false"/>
          <w:i w:val="false"/>
          <w:color w:val="000000"/>
          <w:sz w:val="22"/>
        </w:rPr>
        <w:t>, the reporting and delivery of property in an individual retirement account, defined contribution plan, defined benefit plan, or other account or plan that is qualified for tax deferral under the income tax laws of the United States shall be extended until three years after the earliest of the following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unsuccessful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required distribution, as stated in agreements governing the account;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specified in the income tax laws of the United States by which a distribution must occur in order to avoid a tax penalty, including where the owner has died.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val="false"/>
          <w:color w:val="000000"/>
          <w:sz w:val="22"/>
        </w:rPr>
        <w:t>The reporting and delivery of a property in a Roth IRA shall be extended until three years after the date specified in the income tax laws of the United States by which a distribution must occur in order to avoid a tax penalty following the death of the owner. In the absence of knowledge of the life status of a Roth IRA owner, the owner will be presumed to have died upon reaching 110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w:t>
      </w:r>
      <w:r>
        <w:rPr>
          <w:rFonts w:ascii="Times New Roman" w:hAnsi="Times New Roman"/>
          <w:b w:val="false"/>
          <w:i w:val="false"/>
          <w:color w:val="000000"/>
          <w:sz w:val="22"/>
        </w:rPr>
        <w:t> </w:t>
      </w:r>
      <w:r>
        <w:rPr>
          <w:rFonts w:ascii="Times New Roman" w:hAnsi="Times New Roman"/>
          <w:b w:val="false"/>
          <w:i w:val="false"/>
          <w:color w:val="000000"/>
          <w:sz w:val="22"/>
        </w:rPr>
        <w:t>In reporting individual retirement accounts and other retirement accounts, holders shall include the name, address, relationship to the owner, and social security number of the account beneficiary, to the extent such information is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w:t>
      </w:r>
      <w:r>
        <w:rPr>
          <w:rFonts w:ascii="Times New Roman" w:hAnsi="Times New Roman"/>
          <w:b w:val="false"/>
          <w:i w:val="false"/>
          <w:color w:val="000000"/>
          <w:sz w:val="22"/>
        </w:rPr>
        <w:t> </w:t>
      </w:r>
      <w:r>
        <w:rPr>
          <w:rFonts w:ascii="Times New Roman" w:hAnsi="Times New Roman"/>
          <w:b w:val="false"/>
          <w:i w:val="false"/>
          <w:color w:val="000000"/>
          <w:sz w:val="22"/>
        </w:rPr>
        <w:t>In reporting individual retirement accounts and other retirement accounts, holders shall comply with the Internal Revenue Service Revenue Ruling 2018-17 and all other applicable tax withholding and reporting requirements.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556.7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781—9.9</w:t>
      </w:r>
      <w:r>
        <w:rPr>
          <w:rFonts w:ascii="Times New Roman" w:hAnsi="Times New Roman"/>
          <w:b/>
          <w:i w:val="false"/>
          <w:color w:val="000000"/>
          <w:sz w:val="22"/>
        </w:rPr>
        <w:t xml:space="preserve">(556) </w:t>
      </w:r>
      <w:r>
        <w:rPr>
          <w:rFonts w:ascii="Times New Roman" w:hAnsi="Times New Roman"/>
          <w:b/>
          <w:i w:val="false"/>
          <w:color w:val="000000"/>
          <w:sz w:val="22"/>
        </w:rPr>
        <w:t xml:space="preserve">Reporting of certificates of deposit and other time deposits. </w:t>
      </w:r>
      <w:r>
        <w:rPr>
          <w:rFonts w:ascii="Times New Roman" w:hAnsi="Times New Roman"/>
          <w:b w:val="false"/>
          <w:i w:val="false"/>
          <w:color w:val="000000"/>
          <w:sz w:val="22"/>
        </w:rPr>
        <w:t>If an automatically renewable time deposit or nonrenewable time deposit is deemed abandoned prior to its initial maturity, the time for the reporting and delivery of the time deposit to the division will be extended to the date of maturity or three years from the date on which the abandonment period commenced, whichever is later.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556.7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781—9.10</w:t>
      </w:r>
      <w:r>
        <w:rPr>
          <w:rFonts w:ascii="Times New Roman" w:hAnsi="Times New Roman"/>
          <w:b/>
          <w:i w:val="false"/>
          <w:color w:val="000000"/>
          <w:sz w:val="22"/>
        </w:rPr>
        <w:t xml:space="preserve">(556) </w:t>
      </w:r>
      <w:r>
        <w:rPr>
          <w:rFonts w:ascii="Times New Roman" w:hAnsi="Times New Roman"/>
          <w:b/>
          <w:i w:val="false"/>
          <w:color w:val="000000"/>
          <w:sz w:val="22"/>
        </w:rPr>
        <w:t xml:space="preserve">Indication of interest by an owner in a certificate of deposit or other time deposit.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val="false"/>
          <w:color w:val="000000"/>
          <w:sz w:val="22"/>
        </w:rPr>
        <w:t>The following acts by the owner of a time deposit shall rebut a presumption of abandonment of the time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Consent in writing to a renewal of the time deposit at or about the time of renewal and signed by the owner, given by delivery of the original or a signed copy in a format reasonably acceptable to the division, or demonstrated by the existence of a memorandum or other record on file with the holder made at the time of renewal;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within three years after the earlier of the maturity date or the date of the owner’s last indication of interest in the deposit,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Increased or decreased the amount or presented the passbook or other similar evidence of the deposit for the crediting of interest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Communicated in writing with the financial organization concerning the time deposit, including requesting that the time deposit be redeemed;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Otherwise demonstrated an indication of interest in the deposit as evidenced by a memorandum or other record on file prepared by an employee of the financial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Owned other property to which subparagraphs </w:t>
      </w:r>
      <w:hyperlink r:id="rId27">
        <w:r>
          <w:rPr>
            <w:rStyle w:val="Hyperlink"/>
            <w:rFonts w:ascii="Times New Roman" w:hAnsi="Times New Roman"/>
            <w:b w:val="false"/>
            <w:i w:val="false"/>
            <w:color w:val="000000"/>
            <w:sz w:val="22"/>
          </w:rPr>
          <w:t>9.10(1)</w:t>
        </w:r>
        <w:r>
          <w:rPr>
            <w:rFonts w:ascii="Times New Roman" w:hAnsi="Times New Roman"/>
            <w:b w:val="false"/>
            <w:i/>
            <w:color w:val="000000"/>
            <w:sz w:val="22"/>
          </w:rPr>
          <w:t>“b”</w:t>
        </w:r>
        <w:r>
          <w:rPr>
            <w:rFonts w:ascii="Times New Roman" w:hAnsi="Times New Roman"/>
            <w:b w:val="false"/>
            <w:i w:val="false"/>
            <w:color w:val="000000"/>
            <w:sz w:val="22"/>
          </w:rPr>
          <w:t>(1), (2), and (3)</w:t>
        </w:r>
      </w:hyperlink>
      <w:r>
        <w:rPr>
          <w:rFonts w:ascii="Times New Roman" w:hAnsi="Times New Roman"/>
          <w:b w:val="false"/>
          <w:i w:val="false"/>
          <w:color w:val="000000"/>
          <w:sz w:val="22"/>
        </w:rPr>
        <w:t xml:space="preserve"> above apply and the financial organization communicates with the owner about the deposit that would otherwise be presumed abandoned under this subrule in writing at the address to which communications regarding the other property regularly are sent;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Had another relationship other than time or demand deposits, such as, but not limited to, a safe deposit box, mortgage, stocks, bonds, or other investments, with the financial organization concerning which the owner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Communicated in writing with the banking or financial organization;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Demonstrated an indication of interest as evidenced by a memorandum or other record on file prepared by an employee of the financial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val="false"/>
          <w:color w:val="000000"/>
          <w:sz w:val="22"/>
        </w:rPr>
        <w:t>Consent to renewal of a time deposit shall be presumed and the owner will be deemed to have demonstrated an indication of interest in a time deposit when the financial organization sends the owner notice of the renewal via first-class mail, address correction requested, and the notice is not returned to the financial organization by the post office for reason of nondelivery; provided, however, the financial organization must maintain a system for tracking and documenting return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on which the owner has last demonstrated an indication of interest in and awareness of the owner’s time deposit, as defined in paragraph </w:t>
      </w:r>
      <w:hyperlink r:id="rId28">
        <w:r>
          <w:rPr>
            <w:rStyle w:val="Hyperlink"/>
            <w:rFonts w:ascii="Times New Roman" w:hAnsi="Times New Roman"/>
            <w:b w:val="false"/>
            <w:i w:val="false"/>
            <w:color w:val="000000"/>
            <w:sz w:val="22"/>
          </w:rPr>
          <w:t>9.10(1)</w:t>
        </w:r>
        <w:r>
          <w:rPr>
            <w:rFonts w:ascii="Times New Roman" w:hAnsi="Times New Roman"/>
            <w:b w:val="false"/>
            <w:i/>
            <w:color w:val="000000"/>
            <w:sz w:val="22"/>
          </w:rPr>
          <w:t>“a”</w:t>
        </w:r>
      </w:hyperlink>
      <w:r>
        <w:rPr>
          <w:rFonts w:ascii="Times New Roman" w:hAnsi="Times New Roman"/>
          <w:b w:val="false"/>
          <w:i w:val="false"/>
          <w:color w:val="000000"/>
          <w:sz w:val="22"/>
        </w:rPr>
        <w:t xml:space="preserve"> above, or the date of maturity if no conduct evidencing such interest is made, whichever is earlier, shall begin the three-year abandonment period. However, when a written communication mailed to an owner is returned marked “undeliverable” or “unclaimed,” the date of receipt by the financial organization of the returned mailing shall be deemed to begin the abandonment period. When periodic interest checks are issued on a time deposit, the abandonment period will commence on the date of an uncashed interest check, and the time deposit will be considered abandoned if all subsequent interest checks continue to remain uncashed through the entire statutory abandonment period, unless there is other conduct by the owner demonstrating an indication of interest in the time deposit as specified elsewhere in rule </w:t>
      </w:r>
      <w:hyperlink r:id="rId29">
        <w:r>
          <w:rPr>
            <w:rStyle w:val="Hyperlink"/>
            <w:rFonts w:ascii="Times New Roman" w:hAnsi="Times New Roman"/>
            <w:b w:val="false"/>
            <w:i w:val="false"/>
            <w:color w:val="000000"/>
            <w:sz w:val="22"/>
          </w:rPr>
          <w:t>781—9.10</w:t>
        </w:r>
      </w:hyperlink>
      <w:r>
        <w:rPr>
          <w:rFonts w:ascii="Times New Roman" w:hAnsi="Times New Roman"/>
          <w:b w:val="false"/>
          <w:i w:val="false"/>
          <w:color w:val="000000"/>
          <w:sz w:val="22"/>
        </w:rPr>
        <w:t>(556) and applicable statutory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556.7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781—9.11</w:t>
      </w:r>
      <w:r>
        <w:rPr>
          <w:rFonts w:ascii="Times New Roman" w:hAnsi="Times New Roman"/>
          <w:b/>
          <w:i w:val="false"/>
          <w:color w:val="000000"/>
          <w:sz w:val="22"/>
        </w:rPr>
        <w:t xml:space="preserve">(556) </w:t>
      </w:r>
      <w:r>
        <w:rPr>
          <w:rFonts w:ascii="Times New Roman" w:hAnsi="Times New Roman"/>
          <w:b/>
          <w:i w:val="false"/>
          <w:color w:val="000000"/>
          <w:sz w:val="22"/>
        </w:rPr>
        <w:t xml:space="preserve">Reporting of retained asset accounts. </w:t>
      </w:r>
      <w:r>
        <w:rPr>
          <w:rFonts w:ascii="Times New Roman" w:hAnsi="Times New Roman"/>
          <w:b w:val="false"/>
          <w:i w:val="false"/>
          <w:color w:val="000000"/>
          <w:sz w:val="22"/>
        </w:rPr>
        <w:t>Funds held in a retained asset account maintained by a life insurance company on behalf of a beneficiary shall be reported and delivered to the division if the beneficiary has failed to take such actions demonstrating an indication of interest in the account for a period of three years.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556.9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781—9.12</w:t>
      </w:r>
      <w:r>
        <w:rPr>
          <w:rFonts w:ascii="Times New Roman" w:hAnsi="Times New Roman"/>
          <w:b/>
          <w:i w:val="false"/>
          <w:color w:val="000000"/>
          <w:sz w:val="22"/>
        </w:rPr>
        <w:t xml:space="preserve">(556) </w:t>
      </w:r>
      <w:r>
        <w:rPr>
          <w:rFonts w:ascii="Times New Roman" w:hAnsi="Times New Roman"/>
          <w:b/>
          <w:i w:val="false"/>
          <w:color w:val="000000"/>
          <w:sz w:val="22"/>
        </w:rPr>
        <w:t xml:space="preserve">Reporting of tax-advantaged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held in a plan account described in Sections 223, 529 and 529A of the Internal Revenue Code or held in a nonretirement account or plan that qualifies for tax deferral under the income tax laws of the United States is presumed abandoned if it is unclaimed by the owner three years from the later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 second item sent to the owner by first-class mail was returned as undeliverable by the United States Postal Service (USPS), unless a later mailing by first-class mail to the apparent owner was not returned as undeliverable or, for an apparent owner not receiving communications from the holder by first-class mail, the date of the last indication to the holder by the apparent owner of interest in the property;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years have elapsed after the date the account was opened.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val="false"/>
          <w:color w:val="000000"/>
          <w:sz w:val="22"/>
        </w:rPr>
        <w:t xml:space="preserve">Uncashed distribution checks issued from tax-advantaged accounts are reportable three years from the date the property became reportable pursuant to Iowa Code section </w:t>
      </w:r>
      <w:hyperlink r:id="rId32">
        <w:r>
          <w:rPr>
            <w:rStyle w:val="Hyperlink"/>
            <w:rFonts w:ascii="Times New Roman" w:hAnsi="Times New Roman"/>
            <w:b w:val="false"/>
            <w:i w:val="false"/>
            <w:color w:val="000000"/>
            <w:sz w:val="22"/>
          </w:rPr>
          <w:t>556.7</w:t>
        </w:r>
      </w:hyperlink>
      <w:r>
        <w:rPr>
          <w:rFonts w:ascii="Times New Roman" w:hAnsi="Times New Roman"/>
          <w:b w:val="false"/>
          <w:i w:val="false"/>
          <w:color w:val="000000"/>
          <w:sz w:val="22"/>
        </w:rPr>
        <w:t>. Uncashed distribution checks issued for a plan account described in Sections 529 and 529A of the Internal Revenue Code shall be reported in accordance with the IRS 1099-Q form issued at the time the distribution check was issued.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556.7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781—9.13</w:t>
      </w:r>
      <w:r>
        <w:rPr>
          <w:rFonts w:ascii="Times New Roman" w:hAnsi="Times New Roman"/>
          <w:b/>
          <w:i w:val="false"/>
          <w:color w:val="000000"/>
          <w:sz w:val="22"/>
        </w:rPr>
        <w:t xml:space="preserve">(556) </w:t>
      </w:r>
      <w:r>
        <w:rPr>
          <w:rFonts w:ascii="Times New Roman" w:hAnsi="Times New Roman"/>
          <w:b/>
          <w:i w:val="false"/>
          <w:color w:val="000000"/>
          <w:sz w:val="22"/>
        </w:rPr>
        <w:t xml:space="preserve">Reporting of unused gift certificate and gift card balances.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subrules </w:t>
      </w:r>
      <w:hyperlink r:id="rId34">
        <w:r>
          <w:rPr>
            <w:rStyle w:val="Hyperlink"/>
            <w:rFonts w:ascii="Times New Roman" w:hAnsi="Times New Roman"/>
            <w:b w:val="false"/>
            <w:i w:val="false"/>
            <w:color w:val="000000"/>
            <w:sz w:val="22"/>
          </w:rPr>
          <w:t>9.13(2)</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9.13(3)</w:t>
        </w:r>
      </w:hyperlink>
      <w:r>
        <w:rPr>
          <w:rFonts w:ascii="Times New Roman" w:hAnsi="Times New Roman"/>
          <w:b w:val="false"/>
          <w:i w:val="false"/>
          <w:color w:val="000000"/>
          <w:sz w:val="22"/>
        </w:rPr>
        <w:t>, an unused balance on a gift certificate or gift card is reportable five years from the date of issuance of the gift certificate or gift card or last usage,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val="false"/>
          <w:color w:val="000000"/>
          <w:sz w:val="22"/>
        </w:rPr>
        <w:t>An unused balance on a gift certificate or gift card that is not redeemable for cash, which was issued prior to July 2, 2014, is reportable five years from the date of issuance of the gift certificate or gift card or last usage,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9.13(3)</w:t>
      </w:r>
      <w:r>
        <w:rPr>
          <w:rFonts w:ascii="Times New Roman" w:hAnsi="Times New Roman"/>
          <w:b w:val="false"/>
          <w:i w:val="false"/>
          <w:color w:val="000000"/>
          <w:sz w:val="22"/>
        </w:rPr>
        <w:t> </w:t>
      </w:r>
      <w:r>
        <w:rPr>
          <w:rFonts w:ascii="Times New Roman" w:hAnsi="Times New Roman"/>
          <w:b w:val="false"/>
          <w:i w:val="false"/>
          <w:color w:val="000000"/>
          <w:sz w:val="22"/>
        </w:rPr>
        <w:t xml:space="preserve">An unused balance on a gift certificate or gift card that is not redeemable for cash, which was issued after July 1, 2014, and is not subject to expiration or service fees, is not subject to reporting and delivery under Iowa Code chapter </w:t>
      </w:r>
      <w:hyperlink r:id="rId36">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9.13(4)</w:t>
      </w:r>
      <w:r>
        <w:rPr>
          <w:rFonts w:ascii="Times New Roman" w:hAnsi="Times New Roman"/>
          <w:b w:val="false"/>
          <w:i w:val="false"/>
          <w:color w:val="000000"/>
          <w:sz w:val="22"/>
        </w:rPr>
        <w:t> </w:t>
      </w:r>
      <w:r>
        <w:rPr>
          <w:rFonts w:ascii="Times New Roman" w:hAnsi="Times New Roman"/>
          <w:b w:val="false"/>
          <w:i w:val="false"/>
          <w:color w:val="000000"/>
          <w:sz w:val="22"/>
        </w:rPr>
        <w:t xml:space="preserve">An unused balance on a gift certificate or gift card that is not redeemable for cash, which was issued after July 1, 2014, and is subject to expiration or service fees, is subject to reporting and delivery under Iowa Code chapter </w:t>
      </w:r>
      <w:hyperlink r:id="rId37">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A gift certificate or gift card is subject to expiration or service fees if the face of the gift certificate or gift card so indicates, regardless of whether the issuer of the gift certificate or gift card waives such expiration or fees.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556.9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781—9.14</w:t>
      </w:r>
      <w:r>
        <w:rPr>
          <w:rFonts w:ascii="Times New Roman" w:hAnsi="Times New Roman"/>
          <w:b w:val="false"/>
          <w:i w:val="false"/>
          <w:color w:val="000000"/>
          <w:sz w:val="22"/>
        </w:rPr>
        <w:t xml:space="preserve"> to </w:t>
      </w:r>
      <w:r>
        <w:rPr>
          <w:rFonts w:ascii="Times New Roman" w:hAnsi="Times New Roman"/>
          <w:b/>
          <w:i w:val="false"/>
          <w:color w:val="000000"/>
          <w:sz w:val="22"/>
        </w:rPr>
        <w:t>9.17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781—9.18</w:t>
      </w:r>
      <w:r>
        <w:rPr>
          <w:rFonts w:ascii="Times New Roman" w:hAnsi="Times New Roman"/>
          <w:b/>
          <w:i w:val="false"/>
          <w:color w:val="000000"/>
          <w:sz w:val="22"/>
        </w:rPr>
        <w:t xml:space="preserve">(556) </w:t>
      </w:r>
      <w:r>
        <w:rPr>
          <w:rFonts w:ascii="Times New Roman" w:hAnsi="Times New Roman"/>
          <w:b/>
          <w:i w:val="false"/>
          <w:color w:val="000000"/>
          <w:sz w:val="22"/>
        </w:rPr>
        <w:t xml:space="preserve">Information required to be included in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w:t>
      </w:r>
      <w:r>
        <w:rPr>
          <w:rFonts w:ascii="Times New Roman" w:hAnsi="Times New Roman"/>
          <w:b w:val="false"/>
          <w:i w:val="false"/>
          <w:color w:val="000000"/>
          <w:sz w:val="22"/>
        </w:rPr>
        <w:t> </w:t>
      </w:r>
      <w:r>
        <w:rPr>
          <w:rFonts w:ascii="Times New Roman" w:hAnsi="Times New Roman"/>
          <w:b w:val="false"/>
          <w:i w:val="false"/>
          <w:color w:val="000000"/>
          <w:sz w:val="22"/>
        </w:rPr>
        <w:t>Every holder report form submitted to the division must include, to the extent such information is available to the holder,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owner’s (and as applicable/available, the beneficiary’s)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owner’s (and as applicable/available, the beneficiary’s) last-known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owner’s (and as applicable/available, the beneficiary’s) social security number or Federal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Account number, policy number, or other similar account relationship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Check number, certificate number, or other similar property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owner’s last indication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Date the property became payable or distributable;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case of joint owners, the relationship of the owners (joint owners, sole owner, etc.);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As applicable and as known to the holder, an indication that the owner is deceased, as well as the date of death of the owner and the source of decedent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9.18(2)</w:t>
      </w:r>
      <w:r>
        <w:rPr>
          <w:rFonts w:ascii="Times New Roman" w:hAnsi="Times New Roman"/>
          <w:b w:val="false"/>
          <w:i w:val="false"/>
          <w:color w:val="000000"/>
          <w:sz w:val="22"/>
        </w:rPr>
        <w:t> </w:t>
      </w:r>
      <w:r>
        <w:rPr>
          <w:rFonts w:ascii="Times New Roman" w:hAnsi="Times New Roman"/>
          <w:b w:val="false"/>
          <w:i w:val="false"/>
          <w:color w:val="000000"/>
          <w:sz w:val="22"/>
        </w:rPr>
        <w:t>The division may determine that the information included in the holder report form is nonconforming and may require that a holder revise its report in circumstances where the holder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Does not include complete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reconcile to the property remittance;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not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not verified by the appropriate individual as required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Reflects unauthorized service or other owner charges assessed by the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property which is not subject to Iowa Code chapter </w:t>
      </w:r>
      <w:hyperlink r:id="rId39">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Was not filed electronically or has been filed electronically and cannot be read or converted by the division.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556.11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781—9.19</w:t>
      </w:r>
      <w:r>
        <w:rPr>
          <w:rFonts w:ascii="Times New Roman" w:hAnsi="Times New Roman"/>
          <w:b/>
          <w:i w:val="false"/>
          <w:color w:val="000000"/>
          <w:sz w:val="22"/>
        </w:rPr>
        <w:t xml:space="preserve">(556) </w:t>
      </w:r>
      <w:r>
        <w:rPr>
          <w:rFonts w:ascii="Times New Roman" w:hAnsi="Times New Roman"/>
          <w:b/>
          <w:i w:val="false"/>
          <w:color w:val="000000"/>
          <w:sz w:val="22"/>
        </w:rPr>
        <w:t xml:space="preserve">Early reporting of unclaimed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9.19(1)</w:t>
      </w:r>
      <w:r>
        <w:rPr>
          <w:rFonts w:ascii="Times New Roman" w:hAnsi="Times New Roman"/>
          <w:b w:val="false"/>
          <w:i w:val="false"/>
          <w:color w:val="000000"/>
          <w:sz w:val="22"/>
        </w:rPr>
        <w:t> </w:t>
      </w:r>
      <w:r>
        <w:rPr>
          <w:rFonts w:ascii="Times New Roman" w:hAnsi="Times New Roman"/>
          <w:b w:val="false"/>
          <w:i w:val="false"/>
          <w:color w:val="000000"/>
          <w:sz w:val="22"/>
        </w:rPr>
        <w:t>A holder may request permission to report and deliver property to the division before it is presumed abandoned by sending a written request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9.19(2)</w:t>
      </w:r>
      <w:r>
        <w:rPr>
          <w:rFonts w:ascii="Times New Roman" w:hAnsi="Times New Roman"/>
          <w:b w:val="false"/>
          <w:i w:val="false"/>
          <w:color w:val="000000"/>
          <w:sz w:val="22"/>
        </w:rPr>
        <w:t> </w:t>
      </w:r>
      <w:r>
        <w:rPr>
          <w:rFonts w:ascii="Times New Roman" w:hAnsi="Times New Roman"/>
          <w:b w:val="false"/>
          <w:i w:val="false"/>
          <w:color w:val="000000"/>
          <w:sz w:val="22"/>
        </w:rPr>
        <w:t>The request must identify the property to be reported and delivered and the reasons for requesting permission to report and deliver the property prior to the date it is presumed abandoned.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9.19(3)</w:t>
      </w:r>
      <w:r>
        <w:rPr>
          <w:rFonts w:ascii="Times New Roman" w:hAnsi="Times New Roman"/>
          <w:b w:val="false"/>
          <w:i w:val="false"/>
          <w:color w:val="000000"/>
          <w:sz w:val="22"/>
        </w:rPr>
        <w:t> </w:t>
      </w:r>
      <w:r>
        <w:rPr>
          <w:rFonts w:ascii="Times New Roman" w:hAnsi="Times New Roman"/>
          <w:b w:val="false"/>
          <w:i w:val="false"/>
          <w:color w:val="000000"/>
          <w:sz w:val="22"/>
        </w:rPr>
        <w:t>The division may, at its sole discretion, consent to early reporting and delivery according to terms and conditions prescribed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9.19(4)</w:t>
      </w:r>
      <w:r>
        <w:rPr>
          <w:rFonts w:ascii="Times New Roman" w:hAnsi="Times New Roman"/>
          <w:b w:val="false"/>
          <w:i w:val="false"/>
          <w:color w:val="000000"/>
          <w:sz w:val="22"/>
        </w:rPr>
        <w:t> </w:t>
      </w:r>
      <w:r>
        <w:rPr>
          <w:rFonts w:ascii="Times New Roman" w:hAnsi="Times New Roman"/>
          <w:b w:val="false"/>
          <w:i w:val="false"/>
          <w:color w:val="000000"/>
          <w:sz w:val="22"/>
        </w:rPr>
        <w:t xml:space="preserve">A retirement plan administrator or other responsible fiduciary terminating a retirement plan may, following a diligent search for missing participants, report and remit any unclaimed benefits contemporaneous with the termination of the plan and is neither required to wait for three years to elapse pursuant to Iowa Code section </w:t>
      </w:r>
      <w:hyperlink r:id="rId41">
        <w:r>
          <w:rPr>
            <w:rStyle w:val="Hyperlink"/>
            <w:rFonts w:ascii="Times New Roman" w:hAnsi="Times New Roman"/>
            <w:b w:val="false"/>
            <w:i w:val="false"/>
            <w:color w:val="000000"/>
            <w:sz w:val="22"/>
          </w:rPr>
          <w:t>556.7</w:t>
        </w:r>
      </w:hyperlink>
      <w:r>
        <w:rPr>
          <w:rFonts w:ascii="Times New Roman" w:hAnsi="Times New Roman"/>
          <w:b w:val="false"/>
          <w:i w:val="false"/>
          <w:color w:val="000000"/>
          <w:sz w:val="22"/>
        </w:rPr>
        <w:t xml:space="preserve"> nor obtain written permission from the division for early reporting.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556.11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781—9.20</w:t>
      </w:r>
      <w:r>
        <w:rPr>
          <w:rFonts w:ascii="Times New Roman" w:hAnsi="Times New Roman"/>
          <w:b/>
          <w:i w:val="false"/>
          <w:color w:val="000000"/>
          <w:sz w:val="22"/>
        </w:rPr>
        <w:t xml:space="preserve">(556) </w:t>
      </w:r>
      <w:r>
        <w:rPr>
          <w:rFonts w:ascii="Times New Roman" w:hAnsi="Times New Roman"/>
          <w:b/>
          <w:i w:val="false"/>
          <w:color w:val="000000"/>
          <w:sz w:val="22"/>
        </w:rPr>
        <w:t xml:space="preserve">Owner notification and holder due diligence.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9.20(1)</w:t>
      </w:r>
      <w:r>
        <w:rPr>
          <w:rFonts w:ascii="Times New Roman" w:hAnsi="Times New Roman"/>
          <w:b w:val="false"/>
          <w:i w:val="false"/>
          <w:color w:val="000000"/>
          <w:sz w:val="22"/>
        </w:rPr>
        <w:t> </w:t>
      </w:r>
      <w:r>
        <w:rPr>
          <w:rFonts w:ascii="Times New Roman" w:hAnsi="Times New Roman"/>
          <w:b w:val="false"/>
          <w:i w:val="false"/>
          <w:color w:val="000000"/>
          <w:sz w:val="22"/>
        </w:rPr>
        <w:t>Holders shall exercise reasonable and necessary due diligence consistent with good business practice in attempting to reactivate dormant accounts and to locate owners of unclaimed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holder fails to perform due diligence as required by Iowa Code section </w:t>
      </w:r>
      <w:hyperlink r:id="rId43">
        <w:r>
          <w:rPr>
            <w:rStyle w:val="Hyperlink"/>
            <w:rFonts w:ascii="Times New Roman" w:hAnsi="Times New Roman"/>
            <w:b w:val="false"/>
            <w:i w:val="false"/>
            <w:color w:val="000000"/>
            <w:sz w:val="22"/>
          </w:rPr>
          <w:t>556.11(5)</w:t>
        </w:r>
      </w:hyperlink>
      <w:r>
        <w:rPr>
          <w:rFonts w:ascii="Times New Roman" w:hAnsi="Times New Roman"/>
          <w:b w:val="false"/>
          <w:i w:val="false"/>
          <w:color w:val="000000"/>
          <w:sz w:val="22"/>
        </w:rPr>
        <w:t>, the treasurer may charge five dollars for each name and address account reported if 35 percent or more of the accounts are claimed within 24 months immediately following the filing of a holder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holder fails to perform due diligence as required by Iowa Code section </w:t>
      </w:r>
      <w:hyperlink r:id="rId44">
        <w:r>
          <w:rPr>
            <w:rStyle w:val="Hyperlink"/>
            <w:rFonts w:ascii="Times New Roman" w:hAnsi="Times New Roman"/>
            <w:b w:val="false"/>
            <w:i w:val="false"/>
            <w:color w:val="000000"/>
            <w:sz w:val="22"/>
          </w:rPr>
          <w:t>556.11</w:t>
        </w:r>
      </w:hyperlink>
      <w:r>
        <w:rPr>
          <w:rFonts w:ascii="Times New Roman" w:hAnsi="Times New Roman"/>
          <w:b w:val="false"/>
          <w:i w:val="false"/>
          <w:color w:val="000000"/>
          <w:sz w:val="22"/>
        </w:rPr>
        <w:t xml:space="preserve">, the holder will not have met the good-faith reporting standard of Iowa Code section </w:t>
      </w:r>
      <w:hyperlink r:id="rId45">
        <w:r>
          <w:rPr>
            <w:rStyle w:val="Hyperlink"/>
            <w:rFonts w:ascii="Times New Roman" w:hAnsi="Times New Roman"/>
            <w:b w:val="false"/>
            <w:i w:val="false"/>
            <w:color w:val="000000"/>
            <w:sz w:val="22"/>
          </w:rPr>
          <w:t>556.14</w:t>
        </w:r>
      </w:hyperlink>
      <w:r>
        <w:rPr>
          <w:rFonts w:ascii="Times New Roman" w:hAnsi="Times New Roman"/>
          <w:b w:val="false"/>
          <w:i w:val="false"/>
          <w:color w:val="000000"/>
          <w:sz w:val="22"/>
        </w:rPr>
        <w:t xml:space="preserve"> and the division will not be obligated to defend the holder against any claim of liability.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556.11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781—9.21</w:t>
      </w:r>
      <w:r>
        <w:rPr>
          <w:rFonts w:ascii="Times New Roman" w:hAnsi="Times New Roman"/>
          <w:b/>
          <w:i w:val="false"/>
          <w:color w:val="000000"/>
          <w:sz w:val="22"/>
        </w:rPr>
        <w:t xml:space="preserve">(556) </w:t>
      </w:r>
      <w:r>
        <w:rPr>
          <w:rFonts w:ascii="Times New Roman" w:hAnsi="Times New Roman"/>
          <w:b/>
          <w:i w:val="false"/>
          <w:color w:val="000000"/>
          <w:sz w:val="22"/>
        </w:rPr>
        <w:t xml:space="preserve">Reporting aggregate amounts to the division. </w:t>
      </w:r>
      <w:r>
        <w:rPr>
          <w:rFonts w:ascii="Times New Roman" w:hAnsi="Times New Roman"/>
          <w:b w:val="false"/>
          <w:i w:val="false"/>
          <w:color w:val="000000"/>
          <w:sz w:val="22"/>
        </w:rPr>
        <w:t>Holders may report in the aggregate property with a value under $50, but holders are discouraged from doing so since it impedes the ability of the division to expeditiously pay claims. For this reason, holders are encouraged not to aggregate, regardless of item value. If a holder chooses to report in the aggregate, the holder shall be responsible to provide information required to verify and validate a claim made to aggregated properties.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556.11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781—9.22</w:t>
      </w:r>
      <w:r>
        <w:rPr>
          <w:rFonts w:ascii="Times New Roman" w:hAnsi="Times New Roman"/>
          <w:b/>
          <w:i w:val="false"/>
          <w:color w:val="000000"/>
          <w:sz w:val="22"/>
        </w:rPr>
        <w:t xml:space="preserve">(556) </w:t>
      </w:r>
      <w:r>
        <w:rPr>
          <w:rFonts w:ascii="Times New Roman" w:hAnsi="Times New Roman"/>
          <w:b/>
          <w:i w:val="false"/>
          <w:color w:val="000000"/>
          <w:sz w:val="22"/>
        </w:rPr>
        <w:t xml:space="preserve">Property held by a third party. </w:t>
      </w:r>
      <w:r>
        <w:rPr>
          <w:rFonts w:ascii="Times New Roman" w:hAnsi="Times New Roman"/>
          <w:b w:val="false"/>
          <w:i w:val="false"/>
          <w:color w:val="000000"/>
          <w:sz w:val="22"/>
        </w:rPr>
        <w:t xml:space="preserve">A holder may contract with a third party to hold property, provide payment services and report unclaimed property; however, such arrangements shall not relieve the holder from complying with all requirements of this chapter and Iowa Code chapter </w:t>
      </w:r>
      <w:hyperlink r:id="rId48">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xml:space="preserve">. The holder remains at all times responsible for the complete, accurate and timely reporting and delivery of property presumed abandoned and other duties as provided for under this chapter and Iowa Code chapter </w:t>
      </w:r>
      <w:hyperlink r:id="rId49">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0">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781—9.23</w:t>
      </w:r>
      <w:r>
        <w:rPr>
          <w:rFonts w:ascii="Times New Roman" w:hAnsi="Times New Roman"/>
          <w:b/>
          <w:i w:val="false"/>
          <w:color w:val="000000"/>
          <w:sz w:val="22"/>
        </w:rPr>
        <w:t xml:space="preserve">(556) </w:t>
      </w:r>
      <w:r>
        <w:rPr>
          <w:rFonts w:ascii="Times New Roman" w:hAnsi="Times New Roman"/>
          <w:b/>
          <w:i w:val="false"/>
          <w:color w:val="000000"/>
          <w:sz w:val="22"/>
        </w:rPr>
        <w:t xml:space="preserve">Regulation of locators.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51">
        <w:r>
          <w:rPr>
            <w:rStyle w:val="Hyperlink"/>
            <w:rFonts w:ascii="Times New Roman" w:hAnsi="Times New Roman"/>
            <w:b w:val="false"/>
            <w:i w:val="false"/>
            <w:color w:val="000000"/>
            <w:sz w:val="22"/>
          </w:rPr>
          <w:t>556.11(10)</w:t>
        </w:r>
      </w:hyperlink>
      <w:r>
        <w:rPr>
          <w:rFonts w:ascii="Times New Roman" w:hAnsi="Times New Roman"/>
          <w:b w:val="false"/>
          <w:i w:val="false"/>
          <w:color w:val="000000"/>
          <w:sz w:val="22"/>
        </w:rPr>
        <w:t>, agreements or contracts between locators and owners to pay compensation to recover or assist in the recovery of abandoned property are unenforceable if made within 24 months of the date the property was received by the division. Additionally, if a holder is in possession of property that has been deemed abandoned but has not yet been timely reported and delivered to the division, an agreement to pay compensation to recover or assist in the recovery of such property is unenforceable. In no case shall the locator fees or compensation exceed 15 percent of the amount of the property subject to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9.23(2)</w:t>
      </w:r>
      <w:r>
        <w:rPr>
          <w:rFonts w:ascii="Times New Roman" w:hAnsi="Times New Roman"/>
          <w:b w:val="false"/>
          <w:i w:val="false"/>
          <w:color w:val="000000"/>
          <w:sz w:val="22"/>
        </w:rPr>
        <w:t> </w:t>
      </w:r>
      <w:r>
        <w:rPr>
          <w:rFonts w:ascii="Times New Roman" w:hAnsi="Times New Roman"/>
          <w:b w:val="false"/>
          <w:i w:val="false"/>
          <w:color w:val="000000"/>
          <w:sz w:val="22"/>
        </w:rPr>
        <w:t>A claim form signed by a locator shall not be reviewed by the division. The apparent owner or owner’s legal representative shall make direct contact with the division and sign the claim form. All communication regarding the claim will be sent to the claimant. A signed, dated and notarized copy of any original agreement or contract between a locator and an owner shall be included with the filing of any claim. Handwritten agreements will not be accepted. To be valid, the agreement must disclose the nature and value of the property and the name and address of the person in possession.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shall not release to a locator information deemed confidential pursuant to Iowa Code section </w:t>
      </w:r>
      <w:hyperlink r:id="rId52">
        <w:r>
          <w:rPr>
            <w:rStyle w:val="Hyperlink"/>
            <w:rFonts w:ascii="Times New Roman" w:hAnsi="Times New Roman"/>
            <w:b w:val="false"/>
            <w:i w:val="false"/>
            <w:color w:val="000000"/>
            <w:sz w:val="22"/>
          </w:rPr>
          <w:t>22.7(59)</w:t>
        </w:r>
      </w:hyperlink>
      <w:r>
        <w:rPr>
          <w:rFonts w:ascii="Times New Roman" w:hAnsi="Times New Roman"/>
          <w:b w:val="false"/>
          <w:i w:val="false"/>
          <w:color w:val="000000"/>
          <w:sz w:val="22"/>
        </w:rPr>
        <w:t>, even where a claimant has authorized such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9.23(4)</w:t>
      </w:r>
      <w:r>
        <w:rPr>
          <w:rFonts w:ascii="Times New Roman" w:hAnsi="Times New Roman"/>
          <w:b w:val="false"/>
          <w:i w:val="false"/>
          <w:color w:val="000000"/>
          <w:sz w:val="22"/>
        </w:rPr>
        <w:t> </w:t>
      </w:r>
      <w:r>
        <w:rPr>
          <w:rFonts w:ascii="Times New Roman" w:hAnsi="Times New Roman"/>
          <w:b w:val="false"/>
          <w:i w:val="false"/>
          <w:color w:val="000000"/>
          <w:sz w:val="22"/>
        </w:rPr>
        <w:t>Certain publicly releasable information about owners shall be reproduced at least annually in a format to be determined by the treasurer and shall be provided to anyone requesting the information. The treasurer may assess a fee of $20 per copy. The fee shall be paid in the form of an official check or money order and made payable to the State of Iowa. All fees for owner information shall be received by the division before the owner information is made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22.7(59)</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556.11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781—9.24</w:t>
      </w:r>
      <w:r>
        <w:rPr>
          <w:rFonts w:ascii="Times New Roman" w:hAnsi="Times New Roman"/>
          <w:b/>
          <w:i w:val="false"/>
          <w:color w:val="000000"/>
          <w:sz w:val="22"/>
        </w:rPr>
        <w:t xml:space="preserve">(556) </w:t>
      </w:r>
      <w:r>
        <w:rPr>
          <w:rFonts w:ascii="Times New Roman" w:hAnsi="Times New Roman"/>
          <w:b/>
          <w:i w:val="false"/>
          <w:color w:val="000000"/>
          <w:sz w:val="22"/>
        </w:rPr>
        <w:t xml:space="preserve">Disposition of safe deposit box contents.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stated in subrules </w:t>
      </w:r>
      <w:hyperlink r:id="rId55">
        <w:r>
          <w:rPr>
            <w:rStyle w:val="Hyperlink"/>
            <w:rFonts w:ascii="Times New Roman" w:hAnsi="Times New Roman"/>
            <w:b w:val="false"/>
            <w:i w:val="false"/>
            <w:color w:val="000000"/>
            <w:sz w:val="22"/>
          </w:rPr>
          <w:t>9.24(2)</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9.24(3)</w:t>
        </w:r>
      </w:hyperlink>
      <w:r>
        <w:rPr>
          <w:rFonts w:ascii="Times New Roman" w:hAnsi="Times New Roman"/>
          <w:b w:val="false"/>
          <w:i w:val="false"/>
          <w:color w:val="000000"/>
          <w:sz w:val="22"/>
        </w:rPr>
        <w:t>, the contents of safe deposit boxes and other tangible property received by the division shall be held by the division for not less than one year, after which time the property may be sold, held, or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employee, person related to an employee of the Iowa treasurer of state living in the same household, or contractor that provided auction or appraisal services may directly or indirectly bid on safe deposit box contents or other tangible property offered for sale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“related to an employee” shall mean the employee’s spouse, child, stepchild, grandchild, parent, stepparent, sibling, stepsibling, or spouse of any of the foregoing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9.24(2)</w:t>
      </w:r>
      <w:r>
        <w:rPr>
          <w:rFonts w:ascii="Times New Roman" w:hAnsi="Times New Roman"/>
          <w:b w:val="false"/>
          <w:i w:val="false"/>
          <w:color w:val="000000"/>
          <w:sz w:val="22"/>
        </w:rPr>
        <w:t> </w:t>
      </w:r>
      <w:r>
        <w:rPr>
          <w:rFonts w:ascii="Times New Roman" w:hAnsi="Times New Roman"/>
          <w:b w:val="false"/>
          <w:i w:val="false"/>
          <w:color w:val="000000"/>
          <w:sz w:val="22"/>
        </w:rPr>
        <w:t>Medals awarded for military service in the armed forces of the United States shall not be auctioned.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9.24(3)</w:t>
      </w:r>
      <w:r>
        <w:rPr>
          <w:rFonts w:ascii="Times New Roman" w:hAnsi="Times New Roman"/>
          <w:b w:val="false"/>
          <w:i w:val="false"/>
          <w:color w:val="000000"/>
          <w:sz w:val="22"/>
        </w:rPr>
        <w:t> </w:t>
      </w:r>
      <w:r>
        <w:rPr>
          <w:rFonts w:ascii="Times New Roman" w:hAnsi="Times New Roman"/>
          <w:b w:val="false"/>
          <w:i w:val="false"/>
          <w:color w:val="000000"/>
          <w:sz w:val="22"/>
        </w:rPr>
        <w:t>If the treasurer determines, after investigation and after an attempt to dispose of the unclaimed property in accordance with the Act, that the probable cost of sale exceeds the value of the property, the treasurer may destroy or otherwise dispose of the property at any time.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556.17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781—9.25</w:t>
      </w:r>
      <w:r>
        <w:rPr>
          <w:rFonts w:ascii="Times New Roman" w:hAnsi="Times New Roman"/>
          <w:b/>
          <w:i w:val="false"/>
          <w:color w:val="000000"/>
          <w:sz w:val="22"/>
        </w:rPr>
        <w:t xml:space="preserve">(556) </w:t>
      </w:r>
      <w:r>
        <w:rPr>
          <w:rFonts w:ascii="Times New Roman" w:hAnsi="Times New Roman"/>
          <w:b/>
          <w:i w:val="false"/>
          <w:color w:val="000000"/>
          <w:sz w:val="22"/>
        </w:rPr>
        <w:t xml:space="preserve">Filing of owner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9.25(1)</w:t>
      </w:r>
      <w:r>
        <w:rPr>
          <w:rFonts w:ascii="Times New Roman" w:hAnsi="Times New Roman"/>
          <w:b w:val="false"/>
          <w:i w:val="false"/>
          <w:color w:val="000000"/>
          <w:sz w:val="22"/>
        </w:rPr>
        <w:t> </w:t>
      </w:r>
      <w:r>
        <w:rPr>
          <w:rFonts w:ascii="Times New Roman" w:hAnsi="Times New Roman"/>
          <w:b w:val="false"/>
          <w:i w:val="false"/>
          <w:color w:val="000000"/>
          <w:sz w:val="22"/>
        </w:rPr>
        <w:t>All claims for abandoned property shall be filed with the division on the division’s claim form or through such other means or process as the division finds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9.25(2)</w:t>
      </w:r>
      <w:r>
        <w:rPr>
          <w:rFonts w:ascii="Times New Roman" w:hAnsi="Times New Roman"/>
          <w:b w:val="false"/>
          <w:i w:val="false"/>
          <w:color w:val="000000"/>
          <w:sz w:val="22"/>
        </w:rPr>
        <w:t> </w:t>
      </w:r>
      <w:r>
        <w:rPr>
          <w:rFonts w:ascii="Times New Roman" w:hAnsi="Times New Roman"/>
          <w:b w:val="false"/>
          <w:i w:val="false"/>
          <w:color w:val="000000"/>
          <w:sz w:val="22"/>
        </w:rPr>
        <w:t>The claim form shall be completed in its entirety and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Social security number or Federal Tax Identification Number, or both, of every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complete mailing address, telephone number and email address, if applicable, of every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Signature of claimant(s). The treasurer may set through policy a cash claim limit, stock estimated value, and safe deposit box contents that require a signature to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9.25(3)</w:t>
      </w:r>
      <w:r>
        <w:rPr>
          <w:rFonts w:ascii="Times New Roman" w:hAnsi="Times New Roman"/>
          <w:b w:val="false"/>
          <w:i w:val="false"/>
          <w:color w:val="000000"/>
          <w:sz w:val="22"/>
        </w:rPr>
        <w:t> </w:t>
      </w:r>
      <w:r>
        <w:rPr>
          <w:rFonts w:ascii="Times New Roman" w:hAnsi="Times New Roman"/>
          <w:b w:val="false"/>
          <w:i w:val="false"/>
          <w:color w:val="000000"/>
          <w:sz w:val="22"/>
        </w:rPr>
        <w:t>The treasurer shall consider any claim filed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treasurer may waive the filing of a claim form pursuant to Iowa Code section </w:t>
      </w:r>
      <w:hyperlink r:id="rId58">
        <w:r>
          <w:rPr>
            <w:rStyle w:val="Hyperlink"/>
            <w:rFonts w:ascii="Times New Roman" w:hAnsi="Times New Roman"/>
            <w:b w:val="false"/>
            <w:i w:val="false"/>
            <w:color w:val="000000"/>
            <w:sz w:val="22"/>
          </w:rPr>
          <w:t>556.19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556.19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781—9.26</w:t>
      </w:r>
      <w:r>
        <w:rPr>
          <w:rFonts w:ascii="Times New Roman" w:hAnsi="Times New Roman"/>
          <w:b/>
          <w:i w:val="false"/>
          <w:color w:val="000000"/>
          <w:sz w:val="22"/>
        </w:rPr>
        <w:t xml:space="preserve">(556) </w:t>
      </w:r>
      <w:r>
        <w:rPr>
          <w:rFonts w:ascii="Times New Roman" w:hAnsi="Times New Roman"/>
          <w:b/>
          <w:i w:val="false"/>
          <w:color w:val="000000"/>
          <w:sz w:val="22"/>
        </w:rPr>
        <w:t xml:space="preserve">Documentation of claims by individuals. </w:t>
      </w:r>
      <w:r>
        <w:rPr>
          <w:rFonts w:ascii="Times New Roman" w:hAnsi="Times New Roman"/>
          <w:b w:val="false"/>
          <w:i w:val="false"/>
          <w:color w:val="000000"/>
          <w:sz w:val="22"/>
        </w:rPr>
        <w:t>A claimant may be required to provide the following supporting documentation with claims, as applicable, if the claim is being made by the person that is set forth as the apparent owner of the unclaimed property in the report filed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9.26(1)</w:t>
      </w:r>
      <w:r>
        <w:rPr>
          <w:rFonts w:ascii="Times New Roman" w:hAnsi="Times New Roman"/>
          <w:b w:val="false"/>
          <w:i w:val="false"/>
          <w:color w:val="000000"/>
          <w:sz w:val="22"/>
        </w:rPr>
        <w:t> </w:t>
      </w:r>
      <w:r>
        <w:rPr>
          <w:rFonts w:ascii="Times New Roman" w:hAnsi="Times New Roman"/>
          <w:b w:val="false"/>
          <w:i w:val="false"/>
          <w:color w:val="000000"/>
          <w:sz w:val="22"/>
        </w:rPr>
        <w:t>A copy of the claimant’s driver’s license or other government-issued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9.26(2)</w:t>
      </w:r>
      <w:r>
        <w:rPr>
          <w:rFonts w:ascii="Times New Roman" w:hAnsi="Times New Roman"/>
          <w:b w:val="false"/>
          <w:i w:val="false"/>
          <w:color w:val="000000"/>
          <w:sz w:val="22"/>
        </w:rPr>
        <w:t> </w:t>
      </w:r>
      <w:r>
        <w:rPr>
          <w:rFonts w:ascii="Times New Roman" w:hAnsi="Times New Roman"/>
          <w:b w:val="false"/>
          <w:i w:val="false"/>
          <w:color w:val="000000"/>
          <w:sz w:val="22"/>
        </w:rPr>
        <w:t>A copy of a document verifying the claimant’s social security number. Examples include a social security card and a federal Form W-2.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9.26(3)</w:t>
      </w:r>
      <w:r>
        <w:rPr>
          <w:rFonts w:ascii="Times New Roman" w:hAnsi="Times New Roman"/>
          <w:b w:val="false"/>
          <w:i w:val="false"/>
          <w:color w:val="000000"/>
          <w:sz w:val="22"/>
        </w:rPr>
        <w:t> </w:t>
      </w:r>
      <w:r>
        <w:rPr>
          <w:rFonts w:ascii="Times New Roman" w:hAnsi="Times New Roman"/>
          <w:b w:val="false"/>
          <w:i w:val="false"/>
          <w:color w:val="000000"/>
          <w:sz w:val="22"/>
        </w:rPr>
        <w:t>A document showing the claimant’s address as it was reported to the division may be required if the holder did not report the social security number to the division. Examples of relevant documentation include a federal Form W-2, pay stub, bank statement, expired driver’s license, stock certificate, college transcript, report card, marriage certificate, divorce decree, birth certificate, or an original (not a copy) of a postmarked envelope addressed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9.26(4)</w:t>
      </w:r>
      <w:r>
        <w:rPr>
          <w:rFonts w:ascii="Times New Roman" w:hAnsi="Times New Roman"/>
          <w:b w:val="false"/>
          <w:i w:val="false"/>
          <w:color w:val="000000"/>
          <w:sz w:val="22"/>
        </w:rPr>
        <w:t> </w:t>
      </w:r>
      <w:r>
        <w:rPr>
          <w:rFonts w:ascii="Times New Roman" w:hAnsi="Times New Roman"/>
          <w:b w:val="false"/>
          <w:i w:val="false"/>
          <w:color w:val="000000"/>
          <w:sz w:val="22"/>
        </w:rPr>
        <w:t>If the claimant’s name has changed, copies of supporting documentation showing the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9.26(5)</w:t>
      </w:r>
      <w:r>
        <w:rPr>
          <w:rFonts w:ascii="Times New Roman" w:hAnsi="Times New Roman"/>
          <w:b w:val="false"/>
          <w:i w:val="false"/>
          <w:color w:val="000000"/>
          <w:sz w:val="22"/>
        </w:rPr>
        <w:t> </w:t>
      </w:r>
      <w:r>
        <w:rPr>
          <w:rFonts w:ascii="Times New Roman" w:hAnsi="Times New Roman"/>
          <w:b w:val="false"/>
          <w:i w:val="false"/>
          <w:color w:val="000000"/>
          <w:sz w:val="22"/>
        </w:rPr>
        <w:t>If the property subject to claim is a joint account, each surviving claimant may be required to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in subrules </w:t>
      </w:r>
      <w:hyperlink r:id="rId60">
        <w:r>
          <w:rPr>
            <w:rStyle w:val="Hyperlink"/>
            <w:rFonts w:ascii="Times New Roman" w:hAnsi="Times New Roman"/>
            <w:b w:val="false"/>
            <w:i w:val="false"/>
            <w:color w:val="000000"/>
            <w:sz w:val="22"/>
          </w:rPr>
          <w:t>9.26(1) to 9.26(4)</w:t>
        </w:r>
      </w:hyperlink>
      <w:r>
        <w:rPr>
          <w:rFonts w:ascii="Times New Roman" w:hAnsi="Times New Roman"/>
          <w:b w:val="false"/>
          <w:i w:val="false"/>
          <w:color w:val="000000"/>
          <w:sz w:val="22"/>
        </w:rPr>
        <w:t xml:space="preserve"> for each joint owner, or such alternative documentation as the division may at its sole discretion deem acceptable;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one or more joint owners are deceased, an official copy of the deceased joint owner’s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9.26(6)</w:t>
      </w:r>
      <w:r>
        <w:rPr>
          <w:rFonts w:ascii="Times New Roman" w:hAnsi="Times New Roman"/>
          <w:b w:val="false"/>
          <w:i w:val="false"/>
          <w:color w:val="000000"/>
          <w:sz w:val="22"/>
        </w:rPr>
        <w:t> </w:t>
      </w:r>
      <w:r>
        <w:rPr>
          <w:rFonts w:ascii="Times New Roman" w:hAnsi="Times New Roman"/>
          <w:b w:val="false"/>
          <w:i w:val="false"/>
          <w:color w:val="000000"/>
          <w:sz w:val="22"/>
        </w:rPr>
        <w:t>If the property subject to claim is being claimed in the capacity of a guardian or conservator or under a power of attorney, the claimant may be required to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letter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identifying the guardian/custodian and the owner;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owner is a minor, an official copy of the owner’s birth certificate and a document verifying the owner’s social security number. No power of attorney filed by a finder will be recognized by the division for the purpose of making a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9.26(7)</w:t>
      </w:r>
      <w:r>
        <w:rPr>
          <w:rFonts w:ascii="Times New Roman" w:hAnsi="Times New Roman"/>
          <w:b w:val="false"/>
          <w:i w:val="false"/>
          <w:color w:val="000000"/>
          <w:sz w:val="22"/>
        </w:rPr>
        <w:t> </w:t>
      </w:r>
      <w:r>
        <w:rPr>
          <w:rFonts w:ascii="Times New Roman" w:hAnsi="Times New Roman"/>
          <w:b w:val="false"/>
          <w:i w:val="false"/>
          <w:color w:val="000000"/>
          <w:sz w:val="22"/>
        </w:rPr>
        <w:t>If the property subject to claim is a security, in addition to the documentation required by this rule, the claimant may be required to provide the original stock certificate(s), a surety bond that is acceptable to the division, or an affidavit of lost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9.26(8)</w:t>
      </w:r>
      <w:r>
        <w:rPr>
          <w:rFonts w:ascii="Times New Roman" w:hAnsi="Times New Roman"/>
          <w:b w:val="false"/>
          <w:i w:val="false"/>
          <w:color w:val="000000"/>
          <w:sz w:val="22"/>
        </w:rPr>
        <w:t> </w:t>
      </w:r>
      <w:r>
        <w:rPr>
          <w:rFonts w:ascii="Times New Roman" w:hAnsi="Times New Roman"/>
          <w:b w:val="false"/>
          <w:i w:val="false"/>
          <w:color w:val="000000"/>
          <w:sz w:val="22"/>
        </w:rPr>
        <w:t>If the owner of the property subject to claim is deceased, an Affidavit of Administration must be completed by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property subject to claim is being claimed in the capacity of an executor or administrator, the claimant may be required to submit evidence as outlined in the Affidavit of Administration as provided by the treasurer of state. In this situation, the payment will be made to the estate of the rightful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property subject to claim is being claimed by an heir (either under a valid will or under Iowa probate law), the claimant(s) may be required to submit evidence outlined in the Affidavit of Administration as provided by the division. Each heir will be paid separately. At the discretion of the division, one heir can accept payment for all heirs.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1">
        <w:r>
          <w:rPr>
            <w:rStyle w:val="Hyperlink"/>
            <w:rFonts w:ascii="Times New Roman" w:hAnsi="Times New Roman"/>
            <w:b w:val="false"/>
            <w:i w:val="false"/>
            <w:color w:val="000000"/>
            <w:sz w:val="22"/>
          </w:rPr>
          <w:t>556.19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781—9.27</w:t>
      </w:r>
      <w:r>
        <w:rPr>
          <w:rFonts w:ascii="Times New Roman" w:hAnsi="Times New Roman"/>
          <w:b/>
          <w:i w:val="false"/>
          <w:color w:val="000000"/>
          <w:sz w:val="22"/>
        </w:rPr>
        <w:t xml:space="preserve">(556) </w:t>
      </w:r>
      <w:r>
        <w:rPr>
          <w:rFonts w:ascii="Times New Roman" w:hAnsi="Times New Roman"/>
          <w:b/>
          <w:i w:val="false"/>
          <w:color w:val="000000"/>
          <w:sz w:val="22"/>
        </w:rPr>
        <w:t xml:space="preserve">Documentation of claims by business entities.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9.27(1)</w:t>
      </w:r>
      <w:r>
        <w:rPr>
          <w:rFonts w:ascii="Times New Roman" w:hAnsi="Times New Roman"/>
          <w:b w:val="false"/>
          <w:i w:val="false"/>
          <w:color w:val="000000"/>
          <w:sz w:val="22"/>
        </w:rPr>
        <w:t> </w:t>
      </w:r>
      <w:r>
        <w:rPr>
          <w:rFonts w:ascii="Times New Roman" w:hAnsi="Times New Roman"/>
          <w:b w:val="false"/>
          <w:i w:val="false"/>
          <w:color w:val="000000"/>
          <w:sz w:val="22"/>
        </w:rPr>
        <w:t>A business may, in addition to providing other evidence of entitlement, be required to provide the following supporting documentation with its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as deemed suitable by the division, that the person signing the claim form is an officer of the business and has the authority to conduct business on behalf of the entity, such as corporate resolution or other documentation deemed suitable by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setting forth the claimant’s federal Employer Identification Number (EIN).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claimant’s biennial report as filed with the office of the secretary of state or a copy of a current corporate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9.27(2)</w:t>
      </w:r>
      <w:r>
        <w:rPr>
          <w:rFonts w:ascii="Times New Roman" w:hAnsi="Times New Roman"/>
          <w:b w:val="false"/>
          <w:i w:val="false"/>
          <w:color w:val="000000"/>
          <w:sz w:val="22"/>
        </w:rPr>
        <w:t> </w:t>
      </w:r>
      <w:r>
        <w:rPr>
          <w:rFonts w:ascii="Times New Roman" w:hAnsi="Times New Roman"/>
          <w:b w:val="false"/>
          <w:i w:val="false"/>
          <w:color w:val="000000"/>
          <w:sz w:val="22"/>
        </w:rPr>
        <w:t>Claimants filing on behalf of businesses that are no longer in existence must additionally provide documentation that the claimant is the bona fide successor in interest to the rights of the discontinued business entity with respect to the property being claimed.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2">
        <w:r>
          <w:rPr>
            <w:rStyle w:val="Hyperlink"/>
            <w:rFonts w:ascii="Times New Roman" w:hAnsi="Times New Roman"/>
            <w:b w:val="false"/>
            <w:i w:val="false"/>
            <w:color w:val="000000"/>
            <w:sz w:val="22"/>
          </w:rPr>
          <w:t>556.19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781—9.28</w:t>
      </w:r>
      <w:r>
        <w:rPr>
          <w:rFonts w:ascii="Times New Roman" w:hAnsi="Times New Roman"/>
          <w:b/>
          <w:i w:val="false"/>
          <w:color w:val="000000"/>
          <w:sz w:val="22"/>
        </w:rPr>
        <w:t xml:space="preserve">(556) </w:t>
      </w:r>
      <w:r>
        <w:rPr>
          <w:rFonts w:ascii="Times New Roman" w:hAnsi="Times New Roman"/>
          <w:b/>
          <w:i w:val="false"/>
          <w:color w:val="000000"/>
          <w:sz w:val="22"/>
        </w:rPr>
        <w:t xml:space="preserve">Claims for which the apparent owner of property is an unincorporated nonprofit association that has been dissolved. </w:t>
      </w:r>
      <w:r>
        <w:rPr>
          <w:rFonts w:ascii="Times New Roman" w:hAnsi="Times New Roman"/>
          <w:b w:val="false"/>
          <w:i w:val="false"/>
          <w:color w:val="000000"/>
          <w:sz w:val="22"/>
        </w:rPr>
        <w:t>A claim to property for which the apparent owner is an unincorporated nonprofit association that has been dissolved may be made by a person authorized to claim the property in accordance with the dissolved association’s bylaws or governing principles or as proven by other documentation as deemed suitable by the division.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3">
        <w:r>
          <w:rPr>
            <w:rStyle w:val="Hyperlink"/>
            <w:rFonts w:ascii="Times New Roman" w:hAnsi="Times New Roman"/>
            <w:b w:val="false"/>
            <w:i w:val="false"/>
            <w:color w:val="000000"/>
            <w:sz w:val="22"/>
          </w:rPr>
          <w:t>556.20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781—9.29</w:t>
      </w:r>
      <w:r>
        <w:rPr>
          <w:rFonts w:ascii="Times New Roman" w:hAnsi="Times New Roman"/>
          <w:b/>
          <w:i w:val="false"/>
          <w:color w:val="000000"/>
          <w:sz w:val="22"/>
        </w:rPr>
        <w:t xml:space="preserve">(556) </w:t>
      </w:r>
      <w:r>
        <w:rPr>
          <w:rFonts w:ascii="Times New Roman" w:hAnsi="Times New Roman"/>
          <w:b/>
          <w:i w:val="false"/>
          <w:color w:val="000000"/>
          <w:sz w:val="22"/>
        </w:rPr>
        <w:t xml:space="preserve">Certification of entitlement by claimant. </w:t>
      </w:r>
      <w:r>
        <w:rPr>
          <w:rFonts w:ascii="Times New Roman" w:hAnsi="Times New Roman"/>
          <w:b w:val="false"/>
          <w:i w:val="false"/>
          <w:color w:val="000000"/>
          <w:sz w:val="22"/>
        </w:rPr>
        <w:t>The claimant shall affirmatively certify that the claimant is the true owner of the unclaimed property and agree to hold harmless and indemnify the division, its employees, and the state in the event of a superior claim to such property by another claimant or person.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4">
        <w:r>
          <w:rPr>
            <w:rStyle w:val="Hyperlink"/>
            <w:rFonts w:ascii="Times New Roman" w:hAnsi="Times New Roman"/>
            <w:b w:val="false"/>
            <w:i w:val="false"/>
            <w:color w:val="000000"/>
            <w:sz w:val="22"/>
          </w:rPr>
          <w:t>556.19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781—9.30</w:t>
      </w:r>
      <w:r>
        <w:rPr>
          <w:rFonts w:ascii="Times New Roman" w:hAnsi="Times New Roman"/>
          <w:b/>
          <w:i w:val="false"/>
          <w:color w:val="000000"/>
          <w:sz w:val="22"/>
        </w:rPr>
        <w:t xml:space="preserve">(556) </w:t>
      </w:r>
      <w:r>
        <w:rPr>
          <w:rFonts w:ascii="Times New Roman" w:hAnsi="Times New Roman"/>
          <w:b/>
          <w:i w:val="false"/>
          <w:color w:val="000000"/>
          <w:sz w:val="22"/>
        </w:rPr>
        <w:t xml:space="preserve">Claims by holders for owner reimbursements. </w:t>
      </w:r>
      <w:r>
        <w:rPr>
          <w:rFonts w:ascii="Times New Roman" w:hAnsi="Times New Roman"/>
          <w:b w:val="false"/>
          <w:i w:val="false"/>
          <w:color w:val="000000"/>
          <w:sz w:val="22"/>
        </w:rPr>
        <w:t>A holder may request payment from the division under the circumstances set forth below. Regardless of whether the holder is represented by a bona fide third party, the claim must be signed by an officer of the holder. A third party may not act on behalf of the holder to request payment from the division unless such third party provides evidence satisfactory to the division in its sole discretion that such third party is acting as the holder’s bona fide representative through general power of attorney, court designation, or similar legal authority. The division may, in its sole discretion, establish a policy that allows a transfer agent or a reporting agent to sign a holder reimbursement subject to meeting all the requirements set forth by the division under that policy. The establishment of such a policy shall not be construed as creating any right or entitlement of transfer or of reporting agents to sign holder reimbursements, and any such policy may be rescinded or modified at any time at the sole discretion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9.30(1)</w:t>
      </w:r>
      <w:r>
        <w:rPr>
          <w:rFonts w:ascii="Times New Roman" w:hAnsi="Times New Roman"/>
          <w:b w:val="false"/>
          <w:i w:val="false"/>
          <w:color w:val="000000"/>
          <w:sz w:val="22"/>
        </w:rPr>
        <w:t> </w:t>
      </w:r>
      <w:r>
        <w:rPr>
          <w:rFonts w:ascii="Times New Roman" w:hAnsi="Times New Roman"/>
          <w:b w:val="false"/>
          <w:i w:val="false"/>
          <w:color w:val="000000"/>
          <w:sz w:val="22"/>
        </w:rPr>
        <w:t>The holder has made payment to the apparent owner and filed proof of payment with the division for such a reclaimed asset. As a condition precedent to receiving reimbursement from the division, the holder shall assume liability for the reclaimed assets and indemnify and hold harmless the division from all future claims related to the reclaimed assets.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9.30(2)</w:t>
      </w:r>
      <w:r>
        <w:rPr>
          <w:rFonts w:ascii="Times New Roman" w:hAnsi="Times New Roman"/>
          <w:b w:val="false"/>
          <w:i w:val="false"/>
          <w:color w:val="000000"/>
          <w:sz w:val="22"/>
        </w:rPr>
        <w:t> </w:t>
      </w:r>
      <w:r>
        <w:rPr>
          <w:rFonts w:ascii="Times New Roman" w:hAnsi="Times New Roman"/>
          <w:b w:val="false"/>
          <w:i w:val="false"/>
          <w:color w:val="000000"/>
          <w:sz w:val="22"/>
        </w:rPr>
        <w:t>The holder reported the asset in error. As a condition for receiving reimbursement from the division, the holder shall assume liability for the reclaimed asset and indemnify and hold harmless the division from all future claims related to the reclaimed asset.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5">
        <w:r>
          <w:rPr>
            <w:rStyle w:val="Hyperlink"/>
            <w:rFonts w:ascii="Times New Roman" w:hAnsi="Times New Roman"/>
            <w:b w:val="false"/>
            <w:i w:val="false"/>
            <w:color w:val="000000"/>
            <w:sz w:val="22"/>
          </w:rPr>
          <w:t>556.19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781—9.31</w:t>
      </w:r>
      <w:r>
        <w:rPr>
          <w:rFonts w:ascii="Times New Roman" w:hAnsi="Times New Roman"/>
          <w:b/>
          <w:i w:val="false"/>
          <w:color w:val="000000"/>
          <w:sz w:val="22"/>
        </w:rPr>
        <w:t xml:space="preserve">(556) </w:t>
      </w:r>
      <w:r>
        <w:rPr>
          <w:rFonts w:ascii="Times New Roman" w:hAnsi="Times New Roman"/>
          <w:b/>
          <w:i w:val="false"/>
          <w:color w:val="000000"/>
          <w:sz w:val="22"/>
        </w:rPr>
        <w:t xml:space="preserve">Claims to custodial property under the Iowa UTMA or similar 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9.31(1)</w:t>
      </w:r>
      <w:r>
        <w:rPr>
          <w:rFonts w:ascii="Times New Roman" w:hAnsi="Times New Roman"/>
          <w:b w:val="false"/>
          <w:i w:val="false"/>
          <w:color w:val="000000"/>
          <w:sz w:val="22"/>
        </w:rPr>
        <w:t> </w:t>
      </w:r>
      <w:r>
        <w:rPr>
          <w:rFonts w:ascii="Times New Roman" w:hAnsi="Times New Roman"/>
          <w:b w:val="false"/>
          <w:i w:val="false"/>
          <w:color w:val="000000"/>
          <w:sz w:val="22"/>
        </w:rPr>
        <w:t>A claim to custodial property may be made by the custodian of the property, or the legal representative thereof, provided that the minor has not yet reached the age of 21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9.31(2)</w:t>
      </w:r>
      <w:r>
        <w:rPr>
          <w:rFonts w:ascii="Times New Roman" w:hAnsi="Times New Roman"/>
          <w:b w:val="false"/>
          <w:i w:val="false"/>
          <w:color w:val="000000"/>
          <w:sz w:val="22"/>
        </w:rPr>
        <w:t> </w:t>
      </w:r>
      <w:r>
        <w:rPr>
          <w:rFonts w:ascii="Times New Roman" w:hAnsi="Times New Roman"/>
          <w:b w:val="false"/>
          <w:i w:val="false"/>
          <w:color w:val="000000"/>
          <w:sz w:val="22"/>
        </w:rPr>
        <w:t>Upon reaching the age of 21 years, a minor may file a claim to custodial property.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6">
        <w:r>
          <w:rPr>
            <w:rStyle w:val="Hyperlink"/>
            <w:rFonts w:ascii="Times New Roman" w:hAnsi="Times New Roman"/>
            <w:b w:val="false"/>
            <w:i w:val="false"/>
            <w:color w:val="000000"/>
            <w:sz w:val="22"/>
          </w:rPr>
          <w:t>556.19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781—9.32</w:t>
      </w:r>
      <w:r>
        <w:rPr>
          <w:rFonts w:ascii="Times New Roman" w:hAnsi="Times New Roman"/>
          <w:b/>
          <w:i w:val="false"/>
          <w:color w:val="000000"/>
          <w:sz w:val="22"/>
        </w:rPr>
        <w:t xml:space="preserve">(556) </w:t>
      </w:r>
      <w:r>
        <w:rPr>
          <w:rFonts w:ascii="Times New Roman" w:hAnsi="Times New Roman"/>
          <w:b/>
          <w:i w:val="false"/>
          <w:color w:val="000000"/>
          <w:sz w:val="22"/>
        </w:rPr>
        <w:t xml:space="preserve">Claim of another state to property in the custody of the treasurer of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9.32(1)</w:t>
      </w:r>
      <w:r>
        <w:rPr>
          <w:rFonts w:ascii="Times New Roman" w:hAnsi="Times New Roman"/>
          <w:b w:val="false"/>
          <w:i w:val="false"/>
          <w:color w:val="000000"/>
          <w:sz w:val="22"/>
        </w:rPr>
        <w:t> </w:t>
      </w:r>
      <w:r>
        <w:rPr>
          <w:rFonts w:ascii="Times New Roman" w:hAnsi="Times New Roman"/>
          <w:b w:val="false"/>
          <w:i w:val="false"/>
          <w:color w:val="000000"/>
          <w:sz w:val="22"/>
        </w:rPr>
        <w:t>If property is received by the division and the division is aware that the property is subject to a superior claim of another state, the division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 and deliver the property to the other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Return the property to the holder so that the property may be paid or delivered to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9.32(2)</w:t>
      </w:r>
      <w:r>
        <w:rPr>
          <w:rFonts w:ascii="Times New Roman" w:hAnsi="Times New Roman"/>
          <w:b w:val="false"/>
          <w:i w:val="false"/>
          <w:color w:val="000000"/>
          <w:sz w:val="22"/>
        </w:rPr>
        <w:t> </w:t>
      </w:r>
      <w:r>
        <w:rPr>
          <w:rFonts w:ascii="Times New Roman" w:hAnsi="Times New Roman"/>
          <w:b w:val="false"/>
          <w:i w:val="false"/>
          <w:color w:val="000000"/>
          <w:sz w:val="22"/>
        </w:rPr>
        <w:t>Except for an agreement to indemnify the state of Iowa, no formal agreement shall be required of the division to undertake such transfer to the correct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7">
        <w:r>
          <w:rPr>
            <w:rStyle w:val="Hyperlink"/>
            <w:rFonts w:ascii="Times New Roman" w:hAnsi="Times New Roman"/>
            <w:b w:val="false"/>
            <w:i w:val="false"/>
            <w:color w:val="000000"/>
            <w:sz w:val="22"/>
          </w:rPr>
          <w:t>556.20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781—9.33</w:t>
      </w:r>
      <w:r>
        <w:rPr>
          <w:rFonts w:ascii="Times New Roman" w:hAnsi="Times New Roman"/>
          <w:b/>
          <w:i w:val="false"/>
          <w:color w:val="000000"/>
          <w:sz w:val="22"/>
        </w:rPr>
        <w:t xml:space="preserve">(556) </w:t>
      </w:r>
      <w:r>
        <w:rPr>
          <w:rFonts w:ascii="Times New Roman" w:hAnsi="Times New Roman"/>
          <w:b/>
          <w:i w:val="false"/>
          <w:color w:val="000000"/>
          <w:sz w:val="22"/>
        </w:rPr>
        <w:t xml:space="preserve">Claimant interest in unclaimed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9.33(1)</w:t>
      </w:r>
      <w:r>
        <w:rPr>
          <w:rFonts w:ascii="Times New Roman" w:hAnsi="Times New Roman"/>
          <w:b w:val="false"/>
          <w:i w:val="false"/>
          <w:color w:val="000000"/>
          <w:sz w:val="22"/>
        </w:rPr>
        <w:t> </w:t>
      </w:r>
      <w:r>
        <w:rPr>
          <w:rFonts w:ascii="Times New Roman" w:hAnsi="Times New Roman"/>
          <w:b w:val="false"/>
          <w:i w:val="false"/>
          <w:color w:val="000000"/>
          <w:sz w:val="22"/>
        </w:rPr>
        <w:t>The division shall have the exclusive authority to determine a claimant’s interest in unclaimed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9.33(2)</w:t>
      </w:r>
      <w:r>
        <w:rPr>
          <w:rFonts w:ascii="Times New Roman" w:hAnsi="Times New Roman"/>
          <w:b w:val="false"/>
          <w:i w:val="false"/>
          <w:color w:val="000000"/>
          <w:sz w:val="22"/>
        </w:rPr>
        <w:t> </w:t>
      </w:r>
      <w:r>
        <w:rPr>
          <w:rFonts w:ascii="Times New Roman" w:hAnsi="Times New Roman"/>
          <w:b w:val="false"/>
          <w:i w:val="false"/>
          <w:color w:val="000000"/>
          <w:sz w:val="22"/>
        </w:rPr>
        <w:t>Absent an order of a court of competent jurisdiction or by operation of the Iowa probate code or other applicable law, an owner’s interest in unclaimed property held by the division may not be transferred to a third party except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remnant asset in bankruptcy;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 an agreement that assigns the apparent owner’s interest in the unclaimed property where the agreement is otherwise valid and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agreement is made at least 24 months after the date payment or delivery is made under Iowa Code section </w:t>
      </w:r>
      <w:hyperlink r:id="rId68">
        <w:r>
          <w:rPr>
            <w:rStyle w:val="Hyperlink"/>
            <w:rFonts w:ascii="Times New Roman" w:hAnsi="Times New Roman"/>
            <w:b w:val="false"/>
            <w:i w:val="false"/>
            <w:color w:val="000000"/>
            <w:sz w:val="22"/>
          </w:rPr>
          <w:t>556.13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agreement is in writing and signed by the apparent owner;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agreement discloses the nature and value of the property and the name and address of the person in possession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9.33(3)</w:t>
      </w:r>
      <w:r>
        <w:rPr>
          <w:rFonts w:ascii="Times New Roman" w:hAnsi="Times New Roman"/>
          <w:b w:val="false"/>
          <w:i w:val="false"/>
          <w:color w:val="000000"/>
          <w:sz w:val="22"/>
        </w:rPr>
        <w:t> </w:t>
      </w:r>
      <w:r>
        <w:rPr>
          <w:rFonts w:ascii="Times New Roman" w:hAnsi="Times New Roman"/>
          <w:b w:val="false"/>
          <w:i w:val="false"/>
          <w:color w:val="000000"/>
          <w:sz w:val="22"/>
        </w:rPr>
        <w:t>For the purposes of the Act, a money or similar judgment against an apparent owner does not create an interest in the specific property held by the division on behalf of the apparent owner.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9">
        <w:r>
          <w:rPr>
            <w:rStyle w:val="Hyperlink"/>
            <w:rFonts w:ascii="Times New Roman" w:hAnsi="Times New Roman"/>
            <w:b w:val="false"/>
            <w:i w:val="false"/>
            <w:color w:val="000000"/>
            <w:sz w:val="22"/>
          </w:rPr>
          <w:t>556.19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781—9.34</w:t>
      </w:r>
      <w:r>
        <w:rPr>
          <w:rFonts w:ascii="Times New Roman" w:hAnsi="Times New Roman"/>
          <w:b/>
          <w:i w:val="false"/>
          <w:color w:val="000000"/>
          <w:sz w:val="22"/>
        </w:rPr>
        <w:t xml:space="preserve">(556) </w:t>
      </w:r>
      <w:r>
        <w:rPr>
          <w:rFonts w:ascii="Times New Roman" w:hAnsi="Times New Roman"/>
          <w:b/>
          <w:i w:val="false"/>
          <w:color w:val="000000"/>
          <w:sz w:val="22"/>
        </w:rPr>
        <w:t xml:space="preserve">Approval of claims. </w:t>
      </w:r>
      <w:r>
        <w:rPr>
          <w:rFonts w:ascii="Times New Roman" w:hAnsi="Times New Roman"/>
          <w:b w:val="false"/>
          <w:i w:val="false"/>
          <w:color w:val="000000"/>
          <w:sz w:val="22"/>
        </w:rPr>
        <w:t>Each claim submitted to the division is subject to the approval process outlined below. Claims with a cash value of greater than $5,000 must undergo electronic authentication or undergo such other or additional approval process as may be determined by the division. The treasurer may enter into a contract with a suitable third party that provides identity authentication. Claims over a cash value of $5,000 must receive an additional level of approval from a division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9.34(1)</w:t>
      </w:r>
      <w:r>
        <w:rPr>
          <w:rFonts w:ascii="Times New Roman" w:hAnsi="Times New Roman"/>
          <w:b w:val="false"/>
          <w:i w:val="false"/>
          <w:color w:val="000000"/>
          <w:sz w:val="22"/>
        </w:rPr>
        <w:t> </w:t>
      </w:r>
      <w:r>
        <w:rPr>
          <w:rFonts w:ascii="Times New Roman" w:hAnsi="Times New Roman"/>
          <w:b w:val="false"/>
          <w:i w:val="false"/>
          <w:color w:val="000000"/>
          <w:sz w:val="22"/>
        </w:rPr>
        <w:t>Cash claims that pass electronic authentication will be considered approved. The treasurer may implement a dollar threshold which would require a review by a division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9.34(2)</w:t>
      </w:r>
      <w:r>
        <w:rPr>
          <w:rFonts w:ascii="Times New Roman" w:hAnsi="Times New Roman"/>
          <w:b w:val="false"/>
          <w:i w:val="false"/>
          <w:color w:val="000000"/>
          <w:sz w:val="22"/>
        </w:rPr>
        <w:t> </w:t>
      </w:r>
      <w:r>
        <w:rPr>
          <w:rFonts w:ascii="Times New Roman" w:hAnsi="Times New Roman"/>
          <w:b w:val="false"/>
          <w:i w:val="false"/>
          <w:color w:val="000000"/>
          <w:sz w:val="22"/>
        </w:rPr>
        <w:t>Cash claims not subject to the dollar limit threshold that do not pass electronic authentication will be subject to one level of approval by division staff authorized to approve claims at this level. If the claimant does not provide adequate documentation, division staff will communicate with the claimant explaining what documentation is missing. Level One approval shall then be applied only if all required documentation is subsequently submitted by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9.34(3)</w:t>
      </w:r>
      <w:r>
        <w:rPr>
          <w:rFonts w:ascii="Times New Roman" w:hAnsi="Times New Roman"/>
          <w:b w:val="false"/>
          <w:i w:val="false"/>
          <w:color w:val="000000"/>
          <w:sz w:val="22"/>
        </w:rPr>
        <w:t> </w:t>
      </w:r>
      <w:r>
        <w:rPr>
          <w:rFonts w:ascii="Times New Roman" w:hAnsi="Times New Roman"/>
          <w:b w:val="false"/>
          <w:i w:val="false"/>
          <w:color w:val="000000"/>
          <w:sz w:val="22"/>
        </w:rPr>
        <w:t>Cash claims subject to the dollar limit threshold, claims involving the transfer of stock or mutual fund share, or claims involving the delivery of safe deposit box contents will be subject to two levels of approval by division staff authorized to approve claims. If the claimant does not provide adequate documentation, division staff will communicate with the claimant explaining what documentation is missing. Level One approval shall then be applied only if all required documentation is subsequently submitted by the claimant. Level Two approval shall be obtained from the division staff person(s) designated to approve claims at this level.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556.19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781—9.35</w:t>
      </w:r>
      <w:r>
        <w:rPr>
          <w:rFonts w:ascii="Times New Roman" w:hAnsi="Times New Roman"/>
          <w:b/>
          <w:i w:val="false"/>
          <w:color w:val="000000"/>
          <w:sz w:val="22"/>
        </w:rPr>
        <w:t xml:space="preserve">(556) </w:t>
      </w:r>
      <w:r>
        <w:rPr>
          <w:rFonts w:ascii="Times New Roman" w:hAnsi="Times New Roman"/>
          <w:b/>
          <w:i w:val="false"/>
          <w:color w:val="000000"/>
          <w:sz w:val="22"/>
        </w:rPr>
        <w:t xml:space="preserve">Process for payment of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w:t>
      </w:r>
      <w:r>
        <w:rPr>
          <w:rFonts w:ascii="Times New Roman" w:hAnsi="Times New Roman"/>
          <w:b w:val="false"/>
          <w:i w:val="false"/>
          <w:color w:val="000000"/>
          <w:sz w:val="22"/>
        </w:rPr>
        <w:t> </w:t>
      </w:r>
      <w:r>
        <w:rPr>
          <w:rFonts w:ascii="Times New Roman" w:hAnsi="Times New Roman"/>
          <w:b w:val="false"/>
          <w:i w:val="false"/>
          <w:color w:val="000000"/>
          <w:sz w:val="22"/>
        </w:rPr>
        <w:t>Claims shall be paid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cash claims, final approval shall cause the claim to become part of the settlement process. The settlement file will be submitted to the department of administrative services for payment. State warrants will be mailed or may be obtained from the treasurer’s office. At the treasurer’s discretion, the division may electronically deliver funds to a claimant’s financial institution account. Fees associated with the electronic delivery of funds may be assessed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a claim requiring the transfer of securities, final approval shall result in the division’s sending a notification to a third-party agent responsible for the transfer of ownership of the stocks/mutual funds, instructing the agent to have ownership of the appropriate number of shares of the property reregistered in the name of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9.35(2)</w:t>
      </w:r>
      <w:r>
        <w:rPr>
          <w:rFonts w:ascii="Times New Roman" w:hAnsi="Times New Roman"/>
          <w:b w:val="false"/>
          <w:i w:val="false"/>
          <w:color w:val="000000"/>
          <w:sz w:val="22"/>
        </w:rPr>
        <w:t> </w:t>
      </w:r>
      <w:r>
        <w:rPr>
          <w:rFonts w:ascii="Times New Roman" w:hAnsi="Times New Roman"/>
          <w:b w:val="false"/>
          <w:i w:val="false"/>
          <w:color w:val="000000"/>
          <w:sz w:val="22"/>
        </w:rPr>
        <w:t>In the case of safe deposit box contents that have not been liquidated, the claimant may assume physical custody of the contents from the division. The claimant may also request that the contents be mailed to the claimant. Any contents mailed to claimants will be sent via the United States Postal Service (USPS) or other suitable delivery service. The division is not responsible for items lost, damaged, or not delivered by the delivery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9.35(3)</w:t>
      </w:r>
      <w:r>
        <w:rPr>
          <w:rFonts w:ascii="Times New Roman" w:hAnsi="Times New Roman"/>
          <w:b w:val="false"/>
          <w:i w:val="false"/>
          <w:color w:val="000000"/>
          <w:sz w:val="22"/>
        </w:rPr>
        <w:t> </w:t>
      </w:r>
      <w:r>
        <w:rPr>
          <w:rFonts w:ascii="Times New Roman" w:hAnsi="Times New Roman"/>
          <w:b w:val="false"/>
          <w:i w:val="false"/>
          <w:color w:val="000000"/>
          <w:sz w:val="22"/>
        </w:rPr>
        <w:t>Payment for all claims made to an owner who has been assisted by a finder shall be made only to the owner and in no instance to the finder.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1">
        <w:r>
          <w:rPr>
            <w:rStyle w:val="Hyperlink"/>
            <w:rFonts w:ascii="Times New Roman" w:hAnsi="Times New Roman"/>
            <w:b w:val="false"/>
            <w:i w:val="false"/>
            <w:color w:val="000000"/>
            <w:sz w:val="22"/>
          </w:rPr>
          <w:t>556.19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781—9.36</w:t>
      </w:r>
      <w:r>
        <w:rPr>
          <w:rFonts w:ascii="Times New Roman" w:hAnsi="Times New Roman"/>
          <w:b/>
          <w:i w:val="false"/>
          <w:color w:val="000000"/>
          <w:sz w:val="22"/>
        </w:rPr>
        <w:t xml:space="preserve">(556) </w:t>
      </w:r>
      <w:r>
        <w:rPr>
          <w:rFonts w:ascii="Times New Roman" w:hAnsi="Times New Roman"/>
          <w:b/>
          <w:i w:val="false"/>
          <w:color w:val="000000"/>
          <w:sz w:val="22"/>
        </w:rPr>
        <w:t xml:space="preserve">Surety bonds. </w:t>
      </w:r>
      <w:r>
        <w:rPr>
          <w:rFonts w:ascii="Times New Roman" w:hAnsi="Times New Roman"/>
          <w:b w:val="false"/>
          <w:i w:val="false"/>
          <w:color w:val="000000"/>
          <w:sz w:val="22"/>
        </w:rPr>
        <w:t xml:space="preserve">If the property subject to claim is a security and the original stock certificate is not available, in addition to the documentation required by rules </w:t>
      </w:r>
      <w:hyperlink r:id="rId72">
        <w:r>
          <w:rPr>
            <w:rStyle w:val="Hyperlink"/>
            <w:rFonts w:ascii="Times New Roman" w:hAnsi="Times New Roman"/>
            <w:b w:val="false"/>
            <w:i w:val="false"/>
            <w:color w:val="000000"/>
            <w:sz w:val="22"/>
          </w:rPr>
          <w:t>781—9.25</w:t>
        </w:r>
      </w:hyperlink>
      <w:r>
        <w:rPr>
          <w:rFonts w:ascii="Times New Roman" w:hAnsi="Times New Roman"/>
          <w:b w:val="false"/>
          <w:i w:val="false"/>
          <w:color w:val="000000"/>
          <w:sz w:val="22"/>
        </w:rPr>
        <w:t xml:space="preserve">(556) and </w:t>
      </w:r>
      <w:hyperlink r:id="rId73">
        <w:r>
          <w:rPr>
            <w:rStyle w:val="Hyperlink"/>
            <w:rFonts w:ascii="Times New Roman" w:hAnsi="Times New Roman"/>
            <w:b w:val="false"/>
            <w:i w:val="false"/>
            <w:color w:val="000000"/>
            <w:sz w:val="22"/>
          </w:rPr>
          <w:t>781—9.26</w:t>
        </w:r>
      </w:hyperlink>
      <w:r>
        <w:rPr>
          <w:rFonts w:ascii="Times New Roman" w:hAnsi="Times New Roman"/>
          <w:b w:val="false"/>
          <w:i w:val="false"/>
          <w:color w:val="000000"/>
          <w:sz w:val="22"/>
        </w:rPr>
        <w:t>(556), the claimant may be required to complete the Affidavit of Lost Certificate. The treasurer of state may require the claimant to furnish the treasurer with a surety bond containing terms and provisions acceptable to the treasurer and issued by a corporate surety. The claimant shall be responsible for all premiums, costs, fees or other expenses associated with any such surety bond.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556.20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781—9.37</w:t>
      </w:r>
      <w:r>
        <w:rPr>
          <w:rFonts w:ascii="Times New Roman" w:hAnsi="Times New Roman"/>
          <w:b/>
          <w:i w:val="false"/>
          <w:color w:val="000000"/>
          <w:sz w:val="22"/>
        </w:rPr>
        <w:t xml:space="preserve">(556) </w:t>
      </w:r>
      <w:r>
        <w:rPr>
          <w:rFonts w:ascii="Times New Roman" w:hAnsi="Times New Roman"/>
          <w:b/>
          <w:i w:val="false"/>
          <w:color w:val="000000"/>
          <w:sz w:val="22"/>
        </w:rPr>
        <w:t xml:space="preserve">Examination of holders. </w:t>
      </w:r>
      <w:r>
        <w:rPr>
          <w:rFonts w:ascii="Times New Roman" w:hAnsi="Times New Roman"/>
          <w:b w:val="false"/>
          <w:i w:val="false"/>
          <w:color w:val="000000"/>
          <w:sz w:val="22"/>
        </w:rPr>
        <w:t>The division may conduct an examination of a holder if the division has reason to believe a holder has failed to report or has underreported unclaimed property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9.37(1)</w:t>
      </w:r>
      <w:r>
        <w:rPr>
          <w:rFonts w:ascii="Times New Roman" w:hAnsi="Times New Roman"/>
          <w:b w:val="false"/>
          <w:i w:val="false"/>
          <w:color w:val="000000"/>
          <w:sz w:val="22"/>
        </w:rPr>
        <w:t> </w:t>
      </w:r>
      <w:r>
        <w:rPr>
          <w:rFonts w:ascii="Times New Roman" w:hAnsi="Times New Roman"/>
          <w:b w:val="false"/>
          <w:i/>
          <w:color w:val="000000"/>
          <w:sz w:val="22"/>
        </w:rPr>
        <w:t xml:space="preserve">Examination and review. </w:t>
      </w:r>
      <w:r>
        <w:rPr>
          <w:rFonts w:ascii="Times New Roman" w:hAnsi="Times New Roman"/>
          <w:b w:val="false"/>
          <w:i w:val="false"/>
          <w:color w:val="000000"/>
          <w:sz w:val="22"/>
        </w:rPr>
        <w:t>The treasurer may authorize employees of the treasurer and contract auditors to conduct examinations and review records in the course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9.37(2)</w:t>
      </w:r>
      <w:r>
        <w:rPr>
          <w:rFonts w:ascii="Times New Roman" w:hAnsi="Times New Roman"/>
          <w:b w:val="false"/>
          <w:i w:val="false"/>
          <w:color w:val="000000"/>
          <w:sz w:val="22"/>
        </w:rPr>
        <w:t> </w:t>
      </w:r>
      <w:r>
        <w:rPr>
          <w:rFonts w:ascii="Times New Roman" w:hAnsi="Times New Roman"/>
          <w:b w:val="false"/>
          <w:i/>
          <w:color w:val="000000"/>
          <w:sz w:val="22"/>
        </w:rPr>
        <w:t xml:space="preserve">Examination entrance letter. </w:t>
      </w:r>
      <w:r>
        <w:rPr>
          <w:rFonts w:ascii="Times New Roman" w:hAnsi="Times New Roman"/>
          <w:b w:val="false"/>
          <w:i w:val="false"/>
          <w:color w:val="000000"/>
          <w:sz w:val="22"/>
        </w:rPr>
        <w:t>The division shall send an examination entrance letter to holders selected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9.37(3)</w:t>
      </w:r>
      <w:r>
        <w:rPr>
          <w:rFonts w:ascii="Times New Roman" w:hAnsi="Times New Roman"/>
          <w:b w:val="false"/>
          <w:i w:val="false"/>
          <w:color w:val="000000"/>
          <w:sz w:val="22"/>
        </w:rPr>
        <w:t> </w:t>
      </w:r>
      <w:r>
        <w:rPr>
          <w:rFonts w:ascii="Times New Roman" w:hAnsi="Times New Roman"/>
          <w:b w:val="false"/>
          <w:i/>
          <w:color w:val="000000"/>
          <w:sz w:val="22"/>
        </w:rPr>
        <w:t xml:space="preserve">Examination records request. </w:t>
      </w:r>
      <w:r>
        <w:rPr>
          <w:rFonts w:ascii="Times New Roman" w:hAnsi="Times New Roman"/>
          <w:b w:val="false"/>
          <w:i w:val="false"/>
          <w:color w:val="000000"/>
          <w:sz w:val="22"/>
        </w:rPr>
        <w:t>Holders subject to examination are required to comply with any and all requests for records that are made by the division or any contract auditor conducting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9.37(4)</w:t>
      </w:r>
      <w:r>
        <w:rPr>
          <w:rFonts w:ascii="Times New Roman" w:hAnsi="Times New Roman"/>
          <w:b w:val="false"/>
          <w:i w:val="false"/>
          <w:color w:val="000000"/>
          <w:sz w:val="22"/>
        </w:rPr>
        <w:t> </w:t>
      </w:r>
      <w:r>
        <w:rPr>
          <w:rFonts w:ascii="Times New Roman" w:hAnsi="Times New Roman"/>
          <w:b w:val="false"/>
          <w:i/>
          <w:color w:val="000000"/>
          <w:sz w:val="22"/>
        </w:rPr>
        <w:t xml:space="preserve">Examination entrance conference. </w:t>
      </w:r>
      <w:r>
        <w:rPr>
          <w:rFonts w:ascii="Times New Roman" w:hAnsi="Times New Roman"/>
          <w:b w:val="false"/>
          <w:i w:val="false"/>
          <w:color w:val="000000"/>
          <w:sz w:val="22"/>
        </w:rPr>
        <w:t>The division, at its option, shall conduct an examination entrance conference with a holder prior to the commencement of an examination, at which the division shall identify the examination period and describe the general examination methods that will be used including, but not limited to, any estimation techniques that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9.37(5)</w:t>
      </w:r>
      <w:r>
        <w:rPr>
          <w:rFonts w:ascii="Times New Roman" w:hAnsi="Times New Roman"/>
          <w:b w:val="false"/>
          <w:i w:val="false"/>
          <w:color w:val="000000"/>
          <w:sz w:val="22"/>
        </w:rPr>
        <w:t> </w:t>
      </w:r>
      <w:r>
        <w:rPr>
          <w:rFonts w:ascii="Times New Roman" w:hAnsi="Times New Roman"/>
          <w:b w:val="false"/>
          <w:i/>
          <w:color w:val="000000"/>
          <w:sz w:val="22"/>
        </w:rPr>
        <w:t xml:space="preserve">Report of the examination findings and demand for delivery. </w:t>
      </w:r>
      <w:r>
        <w:rPr>
          <w:rFonts w:ascii="Times New Roman" w:hAnsi="Times New Roman"/>
          <w:b w:val="false"/>
          <w:i w:val="false"/>
          <w:color w:val="000000"/>
          <w:sz w:val="22"/>
        </w:rPr>
        <w:t>Upon completion of an examination, the division shall provide a written report reflecting the total unclaimed property reporting liability and, pursuant to the Act, any interest due on amounts due and owing for failure to report and deliver property due and payable for prior years. The division has the discretion to hold an audit exit conference with the holder to provide the written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9.37(6)</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r>
        <w:rPr>
          <w:rFonts w:ascii="Times New Roman" w:hAnsi="Times New Roman"/>
          <w:b w:val="false"/>
          <w:i w:val="false"/>
          <w:color w:val="000000"/>
          <w:sz w:val="22"/>
        </w:rPr>
        <w:t>During the course of an examination, the holder may request an informal conference within the division and its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9.37(7)</w:t>
      </w:r>
      <w:r>
        <w:rPr>
          <w:rFonts w:ascii="Times New Roman" w:hAnsi="Times New Roman"/>
          <w:b w:val="false"/>
          <w:i w:val="false"/>
          <w:color w:val="000000"/>
          <w:sz w:val="22"/>
        </w:rPr>
        <w:t> </w:t>
      </w:r>
      <w:r>
        <w:rPr>
          <w:rFonts w:ascii="Times New Roman" w:hAnsi="Times New Roman"/>
          <w:b w:val="false"/>
          <w:i/>
          <w:color w:val="000000"/>
          <w:sz w:val="22"/>
        </w:rPr>
        <w:t xml:space="preserve">Delivery of examination findings by the holder. </w:t>
      </w:r>
      <w:r>
        <w:rPr>
          <w:rFonts w:ascii="Times New Roman" w:hAnsi="Times New Roman"/>
          <w:b w:val="false"/>
          <w:i w:val="false"/>
          <w:color w:val="000000"/>
          <w:sz w:val="22"/>
        </w:rPr>
        <w:t>The holder shall deliver to the division within 30 calendar days of issuance of a report of examination and demand for delivery any unclaimed property and interest due, if any,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9.37(8)</w:t>
      </w:r>
      <w:r>
        <w:rPr>
          <w:rFonts w:ascii="Times New Roman" w:hAnsi="Times New Roman"/>
          <w:b w:val="false"/>
          <w:i w:val="false"/>
          <w:color w:val="000000"/>
          <w:sz w:val="22"/>
        </w:rPr>
        <w:t> </w:t>
      </w:r>
      <w:r>
        <w:rPr>
          <w:rFonts w:ascii="Times New Roman" w:hAnsi="Times New Roman"/>
          <w:b w:val="false"/>
          <w:i/>
          <w:color w:val="000000"/>
          <w:sz w:val="22"/>
        </w:rPr>
        <w:t xml:space="preserve">Examination closure letter. </w:t>
      </w:r>
      <w:r>
        <w:rPr>
          <w:rFonts w:ascii="Times New Roman" w:hAnsi="Times New Roman"/>
          <w:b w:val="false"/>
          <w:i w:val="false"/>
          <w:color w:val="000000"/>
          <w:sz w:val="22"/>
        </w:rPr>
        <w:t>Upon receipt of the examination report and delivery of unclaimed property resulting from the examination, the division or its agent shall issue an examination closure letter informing the holder that the examination is closed.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5">
        <w:r>
          <w:rPr>
            <w:rStyle w:val="Hyperlink"/>
            <w:rFonts w:ascii="Times New Roman" w:hAnsi="Times New Roman"/>
            <w:b w:val="false"/>
            <w:i w:val="false"/>
            <w:color w:val="000000"/>
            <w:sz w:val="22"/>
          </w:rPr>
          <w:t>556.23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781—9.38</w:t>
      </w:r>
      <w:r>
        <w:rPr>
          <w:rFonts w:ascii="Times New Roman" w:hAnsi="Times New Roman"/>
          <w:b/>
          <w:i w:val="false"/>
          <w:color w:val="000000"/>
          <w:sz w:val="22"/>
        </w:rPr>
        <w:t xml:space="preserve">(556) </w:t>
      </w:r>
      <w:r>
        <w:rPr>
          <w:rFonts w:ascii="Times New Roman" w:hAnsi="Times New Roman"/>
          <w:b/>
          <w:i w:val="false"/>
          <w:color w:val="000000"/>
          <w:sz w:val="22"/>
        </w:rPr>
        <w:t xml:space="preserve">Estimation. </w:t>
      </w:r>
      <w:r>
        <w:rPr>
          <w:rFonts w:ascii="Times New Roman" w:hAnsi="Times New Roman"/>
          <w:b w:val="false"/>
          <w:i w:val="false"/>
          <w:color w:val="000000"/>
          <w:sz w:val="22"/>
        </w:rPr>
        <w:t>The division may use estimation techniques where no holder records exist or the records are insufficient to determine the holder’s obligation due pursuant to the Act.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6">
        <w:r>
          <w:rPr>
            <w:rStyle w:val="Hyperlink"/>
            <w:rFonts w:ascii="Times New Roman" w:hAnsi="Times New Roman"/>
            <w:b w:val="false"/>
            <w:i w:val="false"/>
            <w:color w:val="000000"/>
            <w:sz w:val="22"/>
          </w:rPr>
          <w:t>556.23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781—9.39</w:t>
      </w:r>
      <w:r>
        <w:rPr>
          <w:rFonts w:ascii="Times New Roman" w:hAnsi="Times New Roman"/>
          <w:b/>
          <w:i w:val="false"/>
          <w:color w:val="000000"/>
          <w:sz w:val="22"/>
        </w:rPr>
        <w:t xml:space="preserve">(556) </w:t>
      </w:r>
      <w:r>
        <w:rPr>
          <w:rFonts w:ascii="Times New Roman" w:hAnsi="Times New Roman"/>
          <w:b/>
          <w:i w:val="false"/>
          <w:color w:val="000000"/>
          <w:sz w:val="22"/>
        </w:rPr>
        <w:t xml:space="preserve">Appeal of examination findings. </w:t>
      </w:r>
      <w:r>
        <w:rPr>
          <w:rFonts w:ascii="Times New Roman" w:hAnsi="Times New Roman"/>
          <w:b w:val="false"/>
          <w:i w:val="false"/>
          <w:color w:val="000000"/>
          <w:sz w:val="22"/>
        </w:rPr>
        <w:t>A holder may appeal the examination findings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9.39(1)</w:t>
      </w:r>
      <w:r>
        <w:rPr>
          <w:rFonts w:ascii="Times New Roman" w:hAnsi="Times New Roman"/>
          <w:b w:val="false"/>
          <w:i w:val="false"/>
          <w:color w:val="000000"/>
          <w:sz w:val="22"/>
        </w:rPr>
        <w:t> </w:t>
      </w:r>
      <w:r>
        <w:rPr>
          <w:rFonts w:ascii="Times New Roman" w:hAnsi="Times New Roman"/>
          <w:b w:val="false"/>
          <w:i w:val="false"/>
          <w:color w:val="000000"/>
          <w:sz w:val="22"/>
        </w:rPr>
        <w:t>The holder may utilize the appeals process after receipt of the examination report from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9.39(2)</w:t>
      </w:r>
      <w:r>
        <w:rPr>
          <w:rFonts w:ascii="Times New Roman" w:hAnsi="Times New Roman"/>
          <w:b w:val="false"/>
          <w:i w:val="false"/>
          <w:color w:val="000000"/>
          <w:sz w:val="22"/>
        </w:rPr>
        <w:t> </w:t>
      </w:r>
      <w:r>
        <w:rPr>
          <w:rFonts w:ascii="Times New Roman" w:hAnsi="Times New Roman"/>
          <w:b w:val="false"/>
          <w:i w:val="false"/>
          <w:color w:val="000000"/>
          <w:sz w:val="22"/>
        </w:rPr>
        <w:t>Failure to submit the appeal request within 30 calendar days shall constitute an acceptance of the total unclaimed property reporting liability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9.39(3)</w:t>
      </w:r>
      <w:r>
        <w:rPr>
          <w:rFonts w:ascii="Times New Roman" w:hAnsi="Times New Roman"/>
          <w:b w:val="false"/>
          <w:i w:val="false"/>
          <w:color w:val="000000"/>
          <w:sz w:val="22"/>
        </w:rPr>
        <w:t> </w:t>
      </w:r>
      <w:r>
        <w:rPr>
          <w:rFonts w:ascii="Times New Roman" w:hAnsi="Times New Roman"/>
          <w:b w:val="false"/>
          <w:i w:val="false"/>
          <w:color w:val="000000"/>
          <w:sz w:val="22"/>
        </w:rPr>
        <w:t>The holder shall submit to the division a written request for an appeal along with all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9.39(4)</w:t>
      </w:r>
      <w:r>
        <w:rPr>
          <w:rFonts w:ascii="Times New Roman" w:hAnsi="Times New Roman"/>
          <w:b w:val="false"/>
          <w:i w:val="false"/>
          <w:color w:val="000000"/>
          <w:sz w:val="22"/>
        </w:rPr>
        <w:t> </w:t>
      </w:r>
      <w:r>
        <w:rPr>
          <w:rFonts w:ascii="Times New Roman" w:hAnsi="Times New Roman"/>
          <w:b w:val="false"/>
          <w:i w:val="false"/>
          <w:color w:val="000000"/>
          <w:sz w:val="22"/>
        </w:rPr>
        <w:t>The division shall contact the holder and schedule an appeal meeting within 20 calendar days of receipt of the holder’s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9.39(5)</w:t>
      </w:r>
      <w:r>
        <w:rPr>
          <w:rFonts w:ascii="Times New Roman" w:hAnsi="Times New Roman"/>
          <w:b w:val="false"/>
          <w:i w:val="false"/>
          <w:color w:val="000000"/>
          <w:sz w:val="22"/>
        </w:rPr>
        <w:t> </w:t>
      </w:r>
      <w:r>
        <w:rPr>
          <w:rFonts w:ascii="Times New Roman" w:hAnsi="Times New Roman"/>
          <w:b w:val="false"/>
          <w:i w:val="false"/>
          <w:color w:val="000000"/>
          <w:sz w:val="22"/>
        </w:rPr>
        <w:t>An appeal review shall be conducted at which time the holder shall present evidence supporting the holder’s basis for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9.39(6)</w:t>
      </w:r>
      <w:r>
        <w:rPr>
          <w:rFonts w:ascii="Times New Roman" w:hAnsi="Times New Roman"/>
          <w:b w:val="false"/>
          <w:i w:val="false"/>
          <w:color w:val="000000"/>
          <w:sz w:val="22"/>
        </w:rPr>
        <w:t> </w:t>
      </w:r>
      <w:r>
        <w:rPr>
          <w:rFonts w:ascii="Times New Roman" w:hAnsi="Times New Roman"/>
          <w:b w:val="false"/>
          <w:i w:val="false"/>
          <w:color w:val="000000"/>
          <w:sz w:val="22"/>
        </w:rPr>
        <w:t>Based on the evidence and additional information presented during the appeal, the division will render a decision. Such final decision will be written and sent to the holder within 30 calendar days of the appeal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9.39(7)</w:t>
      </w:r>
      <w:r>
        <w:rPr>
          <w:rFonts w:ascii="Times New Roman" w:hAnsi="Times New Roman"/>
          <w:b w:val="false"/>
          <w:i w:val="false"/>
          <w:color w:val="000000"/>
          <w:sz w:val="22"/>
        </w:rPr>
        <w:t> </w:t>
      </w:r>
      <w:r>
        <w:rPr>
          <w:rFonts w:ascii="Times New Roman" w:hAnsi="Times New Roman"/>
          <w:b w:val="false"/>
          <w:i w:val="false"/>
          <w:color w:val="000000"/>
          <w:sz w:val="22"/>
        </w:rPr>
        <w:t>The holder shall file a report with the division and deliver unclaimed property to the division reflecting the unclaimed property reporting liability and interest due on amounts due and owing as determined by the division within 30 calendar days.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556.23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781—9.40</w:t>
      </w:r>
      <w:r>
        <w:rPr>
          <w:rFonts w:ascii="Times New Roman" w:hAnsi="Times New Roman"/>
          <w:b/>
          <w:i w:val="false"/>
          <w:color w:val="000000"/>
          <w:sz w:val="22"/>
        </w:rPr>
        <w:t xml:space="preserve">(556) </w:t>
      </w:r>
      <w:r>
        <w:rPr>
          <w:rFonts w:ascii="Times New Roman" w:hAnsi="Times New Roman"/>
          <w:b/>
          <w:i w:val="false"/>
          <w:color w:val="000000"/>
          <w:sz w:val="22"/>
        </w:rPr>
        <w:t xml:space="preserve">Entering into contracts with contract auditors. </w:t>
      </w:r>
      <w:r>
        <w:rPr>
          <w:rFonts w:ascii="Times New Roman" w:hAnsi="Times New Roman"/>
          <w:b w:val="false"/>
          <w:i w:val="false"/>
          <w:color w:val="000000"/>
          <w:sz w:val="22"/>
        </w:rPr>
        <w:t>The treasurer may enter into contracts with persons, pursuant to procedures prescribed by the treasurer, for the sole purpose of examining the records of holders to determine compliance with the Act. The treasurer may consider any relevant factors when entering into a contract for services requested in the performance of an unclaimed property examination.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8">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781—9.41</w:t>
      </w:r>
      <w:r>
        <w:rPr>
          <w:rFonts w:ascii="Times New Roman" w:hAnsi="Times New Roman"/>
          <w:b/>
          <w:i w:val="false"/>
          <w:color w:val="000000"/>
          <w:sz w:val="22"/>
        </w:rPr>
        <w:t xml:space="preserve">(556) </w:t>
      </w:r>
      <w:r>
        <w:rPr>
          <w:rFonts w:ascii="Times New Roman" w:hAnsi="Times New Roman"/>
          <w:b/>
          <w:i w:val="false"/>
          <w:color w:val="000000"/>
          <w:sz w:val="22"/>
        </w:rPr>
        <w:t xml:space="preserve">Guidelines. </w:t>
      </w:r>
      <w:r>
        <w:rPr>
          <w:rFonts w:ascii="Times New Roman" w:hAnsi="Times New Roman"/>
          <w:b w:val="false"/>
          <w:i w:val="false"/>
          <w:color w:val="000000"/>
          <w:sz w:val="22"/>
        </w:rPr>
        <w:t>Contract auditors shall adhere to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w:t>
      </w:r>
      <w:r>
        <w:rPr>
          <w:rFonts w:ascii="Times New Roman" w:hAnsi="Times New Roman"/>
          <w:b w:val="false"/>
          <w:i w:val="false"/>
          <w:color w:val="000000"/>
          <w:sz w:val="22"/>
        </w:rPr>
        <w:t> </w:t>
      </w:r>
      <w:r>
        <w:rPr>
          <w:rFonts w:ascii="Times New Roman" w:hAnsi="Times New Roman"/>
          <w:b w:val="false"/>
          <w:i w:val="false"/>
          <w:color w:val="000000"/>
          <w:sz w:val="22"/>
        </w:rPr>
        <w:t>Contract auditors shall not participate in examinations in which such participation could be construed or perceived as a conflict of interest. Should the contract auditor believe that the contract auditor could not conduct an assigned examination due to a conflict of interest or for any other reason, the contract auditor shall notify the division. The division shall then determine whether recusal of the contract auditor from the assignment is appropriate or necessary. If the contract auditor is recused from conducting the examination of a holder, another contract auditor may be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w:t>
      </w:r>
      <w:r>
        <w:rPr>
          <w:rFonts w:ascii="Times New Roman" w:hAnsi="Times New Roman"/>
          <w:b w:val="false"/>
          <w:i w:val="false"/>
          <w:color w:val="000000"/>
          <w:sz w:val="22"/>
        </w:rPr>
        <w:t> </w:t>
      </w:r>
      <w:r>
        <w:rPr>
          <w:rFonts w:ascii="Times New Roman" w:hAnsi="Times New Roman"/>
          <w:b w:val="false"/>
          <w:i w:val="false"/>
          <w:color w:val="000000"/>
          <w:sz w:val="22"/>
        </w:rPr>
        <w:t>Contract auditors shall maintain strict confidentiality of any nonpublic records or documents gathered during the course of an examination in accordance with the auditors’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w:t>
      </w:r>
      <w:r>
        <w:rPr>
          <w:rFonts w:ascii="Times New Roman" w:hAnsi="Times New Roman"/>
          <w:b w:val="false"/>
          <w:i w:val="false"/>
          <w:color w:val="000000"/>
          <w:sz w:val="22"/>
        </w:rPr>
        <w:t> </w:t>
      </w:r>
      <w:r>
        <w:rPr>
          <w:rFonts w:ascii="Times New Roman" w:hAnsi="Times New Roman"/>
          <w:b w:val="false"/>
          <w:i w:val="false"/>
          <w:color w:val="000000"/>
          <w:sz w:val="22"/>
        </w:rPr>
        <w:t>Contract auditors shall properly document their review and make their working papers gathered during examinations available on demand for review by the treasurer and the attorney general’s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w:t>
      </w:r>
      <w:r>
        <w:rPr>
          <w:rFonts w:ascii="Times New Roman" w:hAnsi="Times New Roman"/>
          <w:b w:val="false"/>
          <w:i w:val="false"/>
          <w:color w:val="000000"/>
          <w:sz w:val="22"/>
        </w:rPr>
        <w:t> </w:t>
      </w:r>
      <w:r>
        <w:rPr>
          <w:rFonts w:ascii="Times New Roman" w:hAnsi="Times New Roman"/>
          <w:b w:val="false"/>
          <w:i w:val="false"/>
          <w:color w:val="000000"/>
          <w:sz w:val="22"/>
        </w:rPr>
        <w:t>Upon request, contract auditors shall provide the holder with relevant copies of working papers supporting any calculation made of unclaimed property reportable and deliverable to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9.41(5)</w:t>
      </w:r>
      <w:r>
        <w:rPr>
          <w:rFonts w:ascii="Times New Roman" w:hAnsi="Times New Roman"/>
          <w:b w:val="false"/>
          <w:i w:val="false"/>
          <w:color w:val="000000"/>
          <w:sz w:val="22"/>
        </w:rPr>
        <w:t> </w:t>
      </w:r>
      <w:r>
        <w:rPr>
          <w:rFonts w:ascii="Times New Roman" w:hAnsi="Times New Roman"/>
          <w:b w:val="false"/>
          <w:i w:val="false"/>
          <w:color w:val="000000"/>
          <w:sz w:val="22"/>
        </w:rPr>
        <w:t>Contract auditors shall maintain working papers for a minimum of seven years following the completion of the examination assignment, the delivery of unclaimed property, the resolution of any appeal, or the finality of judgment in any litigation,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w:t>
      </w:r>
      <w:r>
        <w:rPr>
          <w:rFonts w:ascii="Times New Roman" w:hAnsi="Times New Roman"/>
          <w:b w:val="false"/>
          <w:i w:val="false"/>
          <w:color w:val="000000"/>
          <w:sz w:val="22"/>
        </w:rPr>
        <w:t> </w:t>
      </w:r>
      <w:r>
        <w:rPr>
          <w:rFonts w:ascii="Times New Roman" w:hAnsi="Times New Roman"/>
          <w:b w:val="false"/>
          <w:i w:val="false"/>
          <w:color w:val="000000"/>
          <w:sz w:val="22"/>
        </w:rPr>
        <w:t>Contract auditors shall conduct examinations consistent with the Act and other applicable law, policies of the treasurer, generally accepted accounting principles, generally accepted auditing standards, and any relevant examination rules promulgated pursuant to the Act as they relate to the reporting and delivery of unclaimed property from holders or persons.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9">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781—9.42</w:t>
      </w:r>
      <w:r>
        <w:rPr>
          <w:rFonts w:ascii="Times New Roman" w:hAnsi="Times New Roman"/>
          <w:b/>
          <w:i w:val="false"/>
          <w:color w:val="000000"/>
          <w:sz w:val="22"/>
        </w:rPr>
        <w:t xml:space="preserve">(556) </w:t>
      </w:r>
      <w:r>
        <w:rPr>
          <w:rFonts w:ascii="Times New Roman" w:hAnsi="Times New Roman"/>
          <w:b/>
          <w:i w:val="false"/>
          <w:color w:val="000000"/>
          <w:sz w:val="22"/>
        </w:rPr>
        <w:t xml:space="preserve">Confidentiality of holder data. </w:t>
      </w:r>
      <w:r>
        <w:rPr>
          <w:rFonts w:ascii="Times New Roman" w:hAnsi="Times New Roman"/>
          <w:b w:val="false"/>
          <w:i w:val="false"/>
          <w:color w:val="000000"/>
          <w:sz w:val="22"/>
        </w:rPr>
        <w:t xml:space="preserve">All information provided by a holder in the form of any report, record, claim, or other document submitted to the division or its agents, with the exception of the name and last-known address of a person appearing to be entitled to unclaimed property actually delivered to the division, shall be confidential and not subject to public release or disclosure.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0">
        <w:r>
          <w:rPr>
            <w:rStyle w:val="Hyperlink"/>
            <w:rFonts w:ascii="Times New Roman" w:hAnsi="Times New Roman"/>
            <w:b w:val="false"/>
            <w:i w:val="false"/>
            <w:color w:val="000000"/>
            <w:sz w:val="22"/>
          </w:rPr>
          <w:t>22.7(59)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781—9.43</w:t>
      </w:r>
      <w:r>
        <w:rPr>
          <w:rFonts w:ascii="Times New Roman" w:hAnsi="Times New Roman"/>
          <w:b/>
          <w:i w:val="false"/>
          <w:color w:val="000000"/>
          <w:sz w:val="22"/>
        </w:rPr>
        <w:t xml:space="preserve">(556) </w:t>
      </w:r>
      <w:r>
        <w:rPr>
          <w:rFonts w:ascii="Times New Roman" w:hAnsi="Times New Roman"/>
          <w:b/>
          <w:i w:val="false"/>
          <w:color w:val="000000"/>
          <w:sz w:val="22"/>
        </w:rPr>
        <w:t xml:space="preserve">Holder voluntary disclosure of unreported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w:t>
      </w:r>
      <w:r>
        <w:rPr>
          <w:rFonts w:ascii="Times New Roman" w:hAnsi="Times New Roman"/>
          <w:b w:val="false"/>
          <w:i w:val="false"/>
          <w:color w:val="000000"/>
          <w:sz w:val="22"/>
        </w:rPr>
        <w:t> </w:t>
      </w:r>
      <w:r>
        <w:rPr>
          <w:rFonts w:ascii="Times New Roman" w:hAnsi="Times New Roman"/>
          <w:b w:val="false"/>
          <w:i w:val="false"/>
          <w:color w:val="000000"/>
          <w:sz w:val="22"/>
        </w:rPr>
        <w:t>The division may offer a holder Voluntary Compliance Self-Audit (VCSA) program in order to facilitate compliance by holders that have never reported unclaimed property or have substantially underreported unclaimed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w:t>
      </w:r>
      <w:r>
        <w:rPr>
          <w:rFonts w:ascii="Times New Roman" w:hAnsi="Times New Roman"/>
          <w:b w:val="false"/>
          <w:i w:val="false"/>
          <w:color w:val="000000"/>
          <w:sz w:val="22"/>
        </w:rPr>
        <w:t> </w:t>
      </w:r>
      <w:r>
        <w:rPr>
          <w:rFonts w:ascii="Times New Roman" w:hAnsi="Times New Roman"/>
          <w:b w:val="false"/>
          <w:i w:val="false"/>
          <w:color w:val="000000"/>
          <w:sz w:val="22"/>
        </w:rPr>
        <w:t>The operation of the VCSA program process will be conducted as follows. The division will promulgate terms, conditions and forms for the VCSA program. A holder shall provide all required information in the format determined by the division in order to participate in the VCSA program. The division will have the discretion to approve or reject a VCSA submission. An incomplete VCSA submission will result in disapproval of the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9.43(3)</w:t>
      </w:r>
      <w:r>
        <w:rPr>
          <w:rFonts w:ascii="Times New Roman" w:hAnsi="Times New Roman"/>
          <w:b w:val="false"/>
          <w:i w:val="false"/>
          <w:color w:val="000000"/>
          <w:sz w:val="22"/>
        </w:rPr>
        <w:t> </w:t>
      </w:r>
      <w:r>
        <w:rPr>
          <w:rFonts w:ascii="Times New Roman" w:hAnsi="Times New Roman"/>
          <w:b w:val="false"/>
          <w:i w:val="false"/>
          <w:color w:val="000000"/>
          <w:sz w:val="22"/>
        </w:rPr>
        <w:t>The division will not impose any interest or penalties for property reported under an approved VCSA submission.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1">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781—9.44</w:t>
      </w:r>
      <w:r>
        <w:rPr>
          <w:rFonts w:ascii="Times New Roman" w:hAnsi="Times New Roman"/>
          <w:b/>
          <w:i w:val="false"/>
          <w:color w:val="000000"/>
          <w:sz w:val="22"/>
        </w:rPr>
        <w:t xml:space="preserve">(556) </w:t>
      </w:r>
      <w:r>
        <w:rPr>
          <w:rFonts w:ascii="Times New Roman" w:hAnsi="Times New Roman"/>
          <w:b/>
          <w:i w:val="false"/>
          <w:color w:val="000000"/>
          <w:sz w:val="22"/>
        </w:rPr>
        <w:t xml:space="preserve">Holder amnesty program. </w:t>
      </w:r>
      <w:r>
        <w:rPr>
          <w:rFonts w:ascii="Times New Roman" w:hAnsi="Times New Roman"/>
          <w:b w:val="false"/>
          <w:i w:val="false"/>
          <w:color w:val="000000"/>
          <w:sz w:val="22"/>
        </w:rPr>
        <w:t>The division may offer a holder amnesty program in order to facilitate compliance by holders that have never reported unclaimed property or have not reported in the last three years. The treasurer may provide notification of an amnesty program via the treasurer’s website. The treasurer may waive interest and penalties for the amnesty program.</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2">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2809C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8844C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10/12/77, Notice 7/13/77—published 11/12/77, effective 12/7/77]</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6/5/01, Notice 1/24/01—published 6/27/01, effective 8/1/01]</w:t>
      </w:r>
    </w:p>
    <w:p>
      <w:pPr>
        <w:spacing w:before="0" w:after="0"/>
        <w:ind w:left="120"/>
        <w:jc w:val="center"/>
      </w:pPr>
      <w:r>
        <w:rPr>
          <w:rFonts w:ascii="Times New Roman" w:hAnsi="Times New Roman"/>
          <w:b w:val="false"/>
          <w:i w:val="false"/>
          <w:color w:val="000000"/>
          <w:sz w:val="21"/>
        </w:rPr>
        <w:t>[Filed ARC 9936B</w:t>
      </w:r>
      <w:r>
        <w:rPr>
          <w:rFonts w:ascii="Times New Roman" w:hAnsi="Times New Roman"/>
          <w:b w:val="false"/>
          <w:i w:val="false"/>
          <w:color w:val="000000"/>
          <w:sz w:val="21"/>
        </w:rPr>
        <w:t xml:space="preserve"> (Notice ARC 9813B, IAB 10/19/11)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2809C</w:t>
      </w:r>
      <w:r>
        <w:rPr>
          <w:rFonts w:ascii="Times New Roman" w:hAnsi="Times New Roman"/>
          <w:b w:val="false"/>
          <w:i w:val="false"/>
          <w:color w:val="000000"/>
          <w:sz w:val="21"/>
        </w:rPr>
        <w:t xml:space="preserve"> (Notice ARC 2716C, IAB 9/14/16)</w:t>
      </w:r>
      <w:r>
        <w:rPr>
          <w:rFonts w:ascii="Times New Roman" w:hAnsi="Times New Roman"/>
          <w:b w:val="false"/>
          <w:i w:val="false"/>
          <w:color w:val="000000"/>
          <w:sz w:val="21"/>
        </w:rPr>
        <w:t>, IAB 11/9/16, effective 12/14/16]</w:t>
      </w:r>
    </w:p>
    <w:p>
      <w:pPr>
        <w:spacing w:before="0" w:after="0"/>
        <w:ind w:left="120"/>
        <w:jc w:val="center"/>
      </w:pPr>
      <w:r>
        <w:rPr>
          <w:rFonts w:ascii="Times New Roman" w:hAnsi="Times New Roman"/>
          <w:b w:val="false"/>
          <w:i w:val="false"/>
          <w:color w:val="000000"/>
          <w:sz w:val="21"/>
        </w:rPr>
        <w:t>[Filed ARC 8844C</w:t>
      </w:r>
      <w:r>
        <w:rPr>
          <w:rFonts w:ascii="Times New Roman" w:hAnsi="Times New Roman"/>
          <w:b w:val="false"/>
          <w:i w:val="false"/>
          <w:color w:val="000000"/>
          <w:sz w:val="21"/>
        </w:rPr>
        <w:t xml:space="preserve"> (Notice ARC 8129C, IAB 7/10/24)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56.pdf" Type="http://schemas.openxmlformats.org/officeDocument/2006/relationships/hyperlink" Id="rId5"/>
    <Relationship TargetMode="External" Target="https://www.legis.iowa.gov/docs/ico/chapter/556.pdf" Type="http://schemas.openxmlformats.org/officeDocument/2006/relationships/hyperlink" Id="rId6"/>
    <Relationship TargetMode="External" Target="https://www.legis.iowa.gov/docs/ico/chapter/556.pdf" Type="http://schemas.openxmlformats.org/officeDocument/2006/relationships/hyperlink" Id="rId7"/>
    <Relationship TargetMode="External" Target="http://www.greatiowatreasurehunt.com" Type="http://schemas.openxmlformats.org/officeDocument/2006/relationships/hyperlink" Id="rId8"/>
    <Relationship TargetMode="External" Target="https://www.legis.iowa.gov/docs/ico/chapter/556.pdf" Type="http://schemas.openxmlformats.org/officeDocument/2006/relationships/hyperlink" Id="rId9"/>
    <Relationship TargetMode="External" Target="https://www.legis.iowa.gov/docs/ico/chapter/556.1.pdf" Type="http://schemas.openxmlformats.org/officeDocument/2006/relationships/hyperlink" Id="rId10"/>
    <Relationship TargetMode="External" Target="https://www.legis.iowa.gov/docs/ico/chapter/556.pdf" Type="http://schemas.openxmlformats.org/officeDocument/2006/relationships/hyperlink" Id="rId11"/>
    <Relationship TargetMode="External" Target="https://www.legis.iowa.gov/docs/ico/chapter/556.1.pdf" Type="http://schemas.openxmlformats.org/officeDocument/2006/relationships/hyperlink" Id="rId12"/>
    <Relationship TargetMode="External" Target="https://www.legis.iowa.gov/docs/ico/chapter/556.1.pdf" Type="http://schemas.openxmlformats.org/officeDocument/2006/relationships/hyperlink" Id="rId13"/>
    <Relationship TargetMode="External" Target="https://www.legis.iowa.gov/docs/ico/chapter/556.1.pdf" Type="http://schemas.openxmlformats.org/officeDocument/2006/relationships/hyperlink" Id="rId14"/>
    <Relationship TargetMode="External" Target="https://www.legis.iowa.gov/docs/ico/chapter/565B.pdf" Type="http://schemas.openxmlformats.org/officeDocument/2006/relationships/hyperlink" Id="rId15"/>
    <Relationship TargetMode="External" Target="https://www.legis.iowa.gov/docs/ico/chapter/556.1.pdf" Type="http://schemas.openxmlformats.org/officeDocument/2006/relationships/hyperlink" Id="rId16"/>
    <Relationship TargetMode="External" Target="https://www.legis.iowa.gov/docs/ico/chapter/556.pdf" Type="http://schemas.openxmlformats.org/officeDocument/2006/relationships/hyperlink" Id="rId17"/>
    <Relationship TargetMode="External" Target="https://www.legis.iowa.gov/docs/ico/chapter/556.pdf" Type="http://schemas.openxmlformats.org/officeDocument/2006/relationships/hyperlink" Id="rId18"/>
    <Relationship TargetMode="External" Target="https://www.legis.iowa.gov/docs/ico/chapter/556.pdf" Type="http://schemas.openxmlformats.org/officeDocument/2006/relationships/hyperlink" Id="rId19"/>
    <Relationship TargetMode="External" Target="https://www.legis.iowa.gov/docs/ico/chapter/556.11.pdf" Type="http://schemas.openxmlformats.org/officeDocument/2006/relationships/hyperlink" Id="rId20"/>
    <Relationship TargetMode="External" Target="https://www.legis.iowa.gov/docs/ico/chapter/556.2.pdf" Type="http://schemas.openxmlformats.org/officeDocument/2006/relationships/hyperlink" Id="rId21"/>
    <Relationship TargetMode="External" Target="https://www.legis.iowa.gov/docs/ico/chapter/556.2.pdf" Type="http://schemas.openxmlformats.org/officeDocument/2006/relationships/hyperlink" Id="rId22"/>
    <Relationship TargetMode="External" Target="https://www.legis.iowa.gov/docs/ico/chapter/556.5.pdf" Type="http://schemas.openxmlformats.org/officeDocument/2006/relationships/hyperlink" Id="rId23"/>
    <Relationship TargetMode="External" Target="https://www.legis.iowa.gov/docs/iac/rule/781.9.8.pdf" Type="http://schemas.openxmlformats.org/officeDocument/2006/relationships/hyperlink" Id="rId24"/>
    <Relationship TargetMode="External" Target="https://www.legis.iowa.gov/docs/ico/chapter/556.7.pdf" Type="http://schemas.openxmlformats.org/officeDocument/2006/relationships/hyperlink" Id="rId25"/>
    <Relationship TargetMode="External" Target="https://www.legis.iowa.gov/docs/ico/chapter/556.7.pdf" Type="http://schemas.openxmlformats.org/officeDocument/2006/relationships/hyperlink" Id="rId26"/>
    <Relationship TargetMode="External" Target="https://www.legis.iowa.gov/docs/iac/rule/781.9.10.pdf" Type="http://schemas.openxmlformats.org/officeDocument/2006/relationships/hyperlink" Id="rId27"/>
    <Relationship TargetMode="External" Target="https://www.legis.iowa.gov/docs/iac/rule/781.9.10.pdf" Type="http://schemas.openxmlformats.org/officeDocument/2006/relationships/hyperlink" Id="rId28"/>
    <Relationship TargetMode="External" Target="https://www.legis.iowa.gov/docs/iac/rule/781.9.10.pdf" Type="http://schemas.openxmlformats.org/officeDocument/2006/relationships/hyperlink" Id="rId29"/>
    <Relationship TargetMode="External" Target="https://www.legis.iowa.gov/docs/ico/chapter/556.7.pdf" Type="http://schemas.openxmlformats.org/officeDocument/2006/relationships/hyperlink" Id="rId30"/>
    <Relationship TargetMode="External" Target="https://www.legis.iowa.gov/docs/ico/chapter/556.9.pdf" Type="http://schemas.openxmlformats.org/officeDocument/2006/relationships/hyperlink" Id="rId31"/>
    <Relationship TargetMode="External" Target="https://www.legis.iowa.gov/docs/ico/chapter/556.7.pdf" Type="http://schemas.openxmlformats.org/officeDocument/2006/relationships/hyperlink" Id="rId32"/>
    <Relationship TargetMode="External" Target="https://www.legis.iowa.gov/docs/ico/chapter/556.7.pdf" Type="http://schemas.openxmlformats.org/officeDocument/2006/relationships/hyperlink" Id="rId33"/>
    <Relationship TargetMode="External" Target="https://www.legis.iowa.gov/docs/iac/rule/781.9.13.pdf" Type="http://schemas.openxmlformats.org/officeDocument/2006/relationships/hyperlink" Id="rId34"/>
    <Relationship TargetMode="External" Target="https://www.legis.iowa.gov/docs/iac/rule/781.9.13.pdf" Type="http://schemas.openxmlformats.org/officeDocument/2006/relationships/hyperlink" Id="rId35"/>
    <Relationship TargetMode="External" Target="https://www.legis.iowa.gov/docs/ico/chapter/556.pdf" Type="http://schemas.openxmlformats.org/officeDocument/2006/relationships/hyperlink" Id="rId36"/>
    <Relationship TargetMode="External" Target="https://www.legis.iowa.gov/docs/ico/chapter/556.pdf" Type="http://schemas.openxmlformats.org/officeDocument/2006/relationships/hyperlink" Id="rId37"/>
    <Relationship TargetMode="External" Target="https://www.legis.iowa.gov/docs/ico/chapter/556.9.pdf" Type="http://schemas.openxmlformats.org/officeDocument/2006/relationships/hyperlink" Id="rId38"/>
    <Relationship TargetMode="External" Target="https://www.legis.iowa.gov/docs/ico/chapter/556.pdf" Type="http://schemas.openxmlformats.org/officeDocument/2006/relationships/hyperlink" Id="rId39"/>
    <Relationship TargetMode="External" Target="https://www.legis.iowa.gov/docs/ico/chapter/556.11.pdf" Type="http://schemas.openxmlformats.org/officeDocument/2006/relationships/hyperlink" Id="rId40"/>
    <Relationship TargetMode="External" Target="https://www.legis.iowa.gov/docs/ico/chapter/556.7.pdf" Type="http://schemas.openxmlformats.org/officeDocument/2006/relationships/hyperlink" Id="rId41"/>
    <Relationship TargetMode="External" Target="https://www.legis.iowa.gov/docs/ico/chapter/556.11.pdf" Type="http://schemas.openxmlformats.org/officeDocument/2006/relationships/hyperlink" Id="rId42"/>
    <Relationship TargetMode="External" Target="https://www.legis.iowa.gov/docs/ico/chapter/556.11.pdf" Type="http://schemas.openxmlformats.org/officeDocument/2006/relationships/hyperlink" Id="rId43"/>
    <Relationship TargetMode="External" Target="https://www.legis.iowa.gov/docs/ico/chapter/556.11.pdf" Type="http://schemas.openxmlformats.org/officeDocument/2006/relationships/hyperlink" Id="rId44"/>
    <Relationship TargetMode="External" Target="https://www.legis.iowa.gov/docs/ico/chapter/556.14.pdf" Type="http://schemas.openxmlformats.org/officeDocument/2006/relationships/hyperlink" Id="rId45"/>
    <Relationship TargetMode="External" Target="https://www.legis.iowa.gov/docs/ico/chapter/556.11.pdf" Type="http://schemas.openxmlformats.org/officeDocument/2006/relationships/hyperlink" Id="rId46"/>
    <Relationship TargetMode="External" Target="https://www.legis.iowa.gov/docs/ico/chapter/556.11.pdf" Type="http://schemas.openxmlformats.org/officeDocument/2006/relationships/hyperlink" Id="rId47"/>
    <Relationship TargetMode="External" Target="https://www.legis.iowa.gov/docs/ico/chapter/556.pdf" Type="http://schemas.openxmlformats.org/officeDocument/2006/relationships/hyperlink" Id="rId48"/>
    <Relationship TargetMode="External" Target="https://www.legis.iowa.gov/docs/ico/chapter/556.pdf" Type="http://schemas.openxmlformats.org/officeDocument/2006/relationships/hyperlink" Id="rId49"/>
    <Relationship TargetMode="External" Target="https://www.legis.iowa.gov/docs/ico/chapter/556.pdf" Type="http://schemas.openxmlformats.org/officeDocument/2006/relationships/hyperlink" Id="rId50"/>
    <Relationship TargetMode="External" Target="https://www.legis.iowa.gov/docs/ico/chapter/556.11.pdf" Type="http://schemas.openxmlformats.org/officeDocument/2006/relationships/hyperlink" Id="rId51"/>
    <Relationship TargetMode="External" Target="https://www.legis.iowa.gov/docs/ico/chapter/22.7.pdf" Type="http://schemas.openxmlformats.org/officeDocument/2006/relationships/hyperlink" Id="rId52"/>
    <Relationship TargetMode="External" Target="https://www.legis.iowa.gov/docs/ico/chapter/22.7.pdf" Type="http://schemas.openxmlformats.org/officeDocument/2006/relationships/hyperlink" Id="rId53"/>
    <Relationship TargetMode="External" Target="https://www.legis.iowa.gov/docs/ico/chapter/556.11.pdf" Type="http://schemas.openxmlformats.org/officeDocument/2006/relationships/hyperlink" Id="rId54"/>
    <Relationship TargetMode="External" Target="https://www.legis.iowa.gov/docs/iac/rule/781.9.24.pdf" Type="http://schemas.openxmlformats.org/officeDocument/2006/relationships/hyperlink" Id="rId55"/>
    <Relationship TargetMode="External" Target="https://www.legis.iowa.gov/docs/iac/rule/781.9.24.pdf" Type="http://schemas.openxmlformats.org/officeDocument/2006/relationships/hyperlink" Id="rId56"/>
    <Relationship TargetMode="External" Target="https://www.legis.iowa.gov/docs/ico/chapter/556.17.pdf" Type="http://schemas.openxmlformats.org/officeDocument/2006/relationships/hyperlink" Id="rId57"/>
    <Relationship TargetMode="External" Target="https://www.legis.iowa.gov/docs/ico/chapter/556.19.pdf" Type="http://schemas.openxmlformats.org/officeDocument/2006/relationships/hyperlink" Id="rId58"/>
    <Relationship TargetMode="External" Target="https://www.legis.iowa.gov/docs/ico/chapter/556.19.pdf" Type="http://schemas.openxmlformats.org/officeDocument/2006/relationships/hyperlink" Id="rId59"/>
    <Relationship TargetMode="External" Target="https://www.legis.iowa.gov/docs/iac/rule/781.9.26.pdf" Type="http://schemas.openxmlformats.org/officeDocument/2006/relationships/hyperlink" Id="rId60"/>
    <Relationship TargetMode="External" Target="https://www.legis.iowa.gov/docs/ico/chapter/556.19.pdf" Type="http://schemas.openxmlformats.org/officeDocument/2006/relationships/hyperlink" Id="rId61"/>
    <Relationship TargetMode="External" Target="https://www.legis.iowa.gov/docs/ico/chapter/556.19.pdf" Type="http://schemas.openxmlformats.org/officeDocument/2006/relationships/hyperlink" Id="rId62"/>
    <Relationship TargetMode="External" Target="https://www.legis.iowa.gov/docs/ico/chapter/556.20.pdf" Type="http://schemas.openxmlformats.org/officeDocument/2006/relationships/hyperlink" Id="rId63"/>
    <Relationship TargetMode="External" Target="https://www.legis.iowa.gov/docs/ico/chapter/556.19.pdf" Type="http://schemas.openxmlformats.org/officeDocument/2006/relationships/hyperlink" Id="rId64"/>
    <Relationship TargetMode="External" Target="https://www.legis.iowa.gov/docs/ico/chapter/556.19.pdf" Type="http://schemas.openxmlformats.org/officeDocument/2006/relationships/hyperlink" Id="rId65"/>
    <Relationship TargetMode="External" Target="https://www.legis.iowa.gov/docs/ico/chapter/556.19.pdf" Type="http://schemas.openxmlformats.org/officeDocument/2006/relationships/hyperlink" Id="rId66"/>
    <Relationship TargetMode="External" Target="https://www.legis.iowa.gov/docs/ico/chapter/556.20.pdf" Type="http://schemas.openxmlformats.org/officeDocument/2006/relationships/hyperlink" Id="rId67"/>
    <Relationship TargetMode="External" Target="https://www.legis.iowa.gov/docs/ico/chapter/556.13.pdf" Type="http://schemas.openxmlformats.org/officeDocument/2006/relationships/hyperlink" Id="rId68"/>
    <Relationship TargetMode="External" Target="https://www.legis.iowa.gov/docs/ico/chapter/556.19.pdf" Type="http://schemas.openxmlformats.org/officeDocument/2006/relationships/hyperlink" Id="rId69"/>
    <Relationship TargetMode="External" Target="https://www.legis.iowa.gov/docs/ico/chapter/556.19.pdf" Type="http://schemas.openxmlformats.org/officeDocument/2006/relationships/hyperlink" Id="rId70"/>
    <Relationship TargetMode="External" Target="https://www.legis.iowa.gov/docs/ico/chapter/556.19.pdf" Type="http://schemas.openxmlformats.org/officeDocument/2006/relationships/hyperlink" Id="rId71"/>
    <Relationship TargetMode="External" Target="https://www.legis.iowa.gov/docs/iac/rule/781.9.25.pdf" Type="http://schemas.openxmlformats.org/officeDocument/2006/relationships/hyperlink" Id="rId72"/>
    <Relationship TargetMode="External" Target="https://www.legis.iowa.gov/docs/iac/rule/781.9.26.pdf" Type="http://schemas.openxmlformats.org/officeDocument/2006/relationships/hyperlink" Id="rId73"/>
    <Relationship TargetMode="External" Target="https://www.legis.iowa.gov/docs/ico/chapter/556.20.pdf" Type="http://schemas.openxmlformats.org/officeDocument/2006/relationships/hyperlink" Id="rId74"/>
    <Relationship TargetMode="External" Target="https://www.legis.iowa.gov/docs/ico/chapter/556.23.pdf" Type="http://schemas.openxmlformats.org/officeDocument/2006/relationships/hyperlink" Id="rId75"/>
    <Relationship TargetMode="External" Target="https://www.legis.iowa.gov/docs/ico/chapter/556.23.pdf" Type="http://schemas.openxmlformats.org/officeDocument/2006/relationships/hyperlink" Id="rId76"/>
    <Relationship TargetMode="External" Target="https://www.legis.iowa.gov/docs/ico/chapter/556.23.pdf" Type="http://schemas.openxmlformats.org/officeDocument/2006/relationships/hyperlink" Id="rId77"/>
    <Relationship TargetMode="External" Target="https://www.legis.iowa.gov/docs/ico/chapter/556.pdf" Type="http://schemas.openxmlformats.org/officeDocument/2006/relationships/hyperlink" Id="rId78"/>
    <Relationship TargetMode="External" Target="https://www.legis.iowa.gov/docs/ico/chapter/556.pdf" Type="http://schemas.openxmlformats.org/officeDocument/2006/relationships/hyperlink" Id="rId79"/>
    <Relationship TargetMode="External" Target="https://www.legis.iowa.gov/docs/ico/chapter/22.7.pdf" Type="http://schemas.openxmlformats.org/officeDocument/2006/relationships/hyperlink" Id="rId80"/>
    <Relationship TargetMode="External" Target="https://www.legis.iowa.gov/docs/ico/chapter/556.pdf" Type="http://schemas.openxmlformats.org/officeDocument/2006/relationships/hyperlink" Id="rId81"/>
    <Relationship TargetMode="External" Target="https://www.legis.iowa.gov/docs/ico/chapter/556.pdf" Type="http://schemas.openxmlformats.org/officeDocument/2006/relationships/hyperlink" Id="rId8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