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w:t>
      </w:r>
    </w:p>
    <w:p>
      <w:pPr>
        <w:spacing w:before="0" w:after="0"/>
        <w:ind w:left="120"/>
        <w:jc w:val="center"/>
      </w:pPr>
      <w:r>
        <w:rPr>
          <w:rFonts w:ascii="Times New Roman" w:hAnsi="Times New Roman"/>
          <w:b w:val="false"/>
          <w:i w:val="false"/>
          <w:color w:val="000000"/>
          <w:sz w:val="21"/>
        </w:rPr>
        <w:t>ACCEPTING CREDIT CARD PAYMENTS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781—8.1</w:t>
      </w:r>
      <w:r>
        <w:rPr>
          <w:rFonts w:ascii="Times New Roman" w:hAnsi="Times New Roman"/>
          <w:b/>
          <w:i w:val="false"/>
          <w:color w:val="000000"/>
          <w:sz w:val="22"/>
        </w:rPr>
        <w:t xml:space="preserve">(12)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Iowa Code section </w:t>
      </w:r>
      <w:hyperlink r:id="rId5">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 xml:space="preserve"> grants authority to the treasurer of state to enter into an agreement with a financial institution to provide credit card receipt processing for state departments and to establish administrative and other procedures as necessary to implement the acceptance of credit card payments by state departments that are authorized to accept such payments. The purpose of these rules is to provide for the administration and operation of credit card receipt processing for state departments.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9100B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781—8.2</w:t>
      </w:r>
      <w:r>
        <w:rPr>
          <w:rFonts w:ascii="Times New Roman" w:hAnsi="Times New Roman"/>
          <w:b/>
          <w:i w:val="false"/>
          <w:color w:val="000000"/>
          <w:sz w:val="22"/>
        </w:rPr>
        <w:t xml:space="preserve">(12) </w:t>
      </w:r>
      <w:r>
        <w:rPr>
          <w:rFonts w:ascii="Times New Roman" w:hAnsi="Times New Roman"/>
          <w:b/>
          <w:i w:val="false"/>
          <w:color w:val="000000"/>
          <w:sz w:val="22"/>
        </w:rPr>
        <w:t xml:space="preserve">Definitions. </w:t>
      </w:r>
      <w:r>
        <w:rPr>
          <w:rFonts w:ascii="Times New Roman" w:hAnsi="Times New Roman"/>
          <w:b w:val="false"/>
          <w:i w:val="false"/>
          <w:color w:val="000000"/>
          <w:sz w:val="22"/>
        </w:rPr>
        <w:t>As used in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“Acquiring bank” </w:t>
      </w:r>
      <w:r>
        <w:rPr>
          <w:rFonts w:ascii="Times New Roman" w:hAnsi="Times New Roman"/>
          <w:b w:val="false"/>
          <w:i w:val="false"/>
          <w:color w:val="000000"/>
          <w:sz w:val="22"/>
        </w:rPr>
        <w:t>means a financial institution that receives credit card transactions and then settles with the card-issuing banks.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“Chargeback” </w:t>
      </w:r>
      <w:r>
        <w:rPr>
          <w:rFonts w:ascii="Times New Roman" w:hAnsi="Times New Roman"/>
          <w:b w:val="false"/>
          <w:i w:val="false"/>
          <w:color w:val="000000"/>
          <w:sz w:val="22"/>
        </w:rPr>
        <w:t>means a transaction disputed by a cardholder or card issuer.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“Convenience fee” </w:t>
      </w:r>
      <w:r>
        <w:rPr>
          <w:rFonts w:ascii="Times New Roman" w:hAnsi="Times New Roman"/>
          <w:b w:val="false"/>
          <w:i w:val="false"/>
          <w:color w:val="000000"/>
          <w:sz w:val="22"/>
        </w:rPr>
        <w:t>means a fee charged to the cardholder for the convenience to that cardholder of using a particular method of payment in a credit or debit card transaction in accordance with the network regulations governing that transaction.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card” </w:t>
      </w:r>
      <w:r>
        <w:rPr>
          <w:rFonts w:ascii="Times New Roman" w:hAnsi="Times New Roman"/>
          <w:b w:val="false"/>
          <w:i w:val="false"/>
          <w:color w:val="000000"/>
          <w:sz w:val="22"/>
        </w:rPr>
        <w:t xml:space="preserve">means the same as defined in Iowa Code section </w:t>
      </w:r>
      <w:hyperlink r:id="rId6">
        <w:r>
          <w:rPr>
            <w:rStyle w:val="Hyperlink"/>
            <w:rFonts w:ascii="Times New Roman" w:hAnsi="Times New Roman"/>
            <w:b w:val="false"/>
            <w:i w:val="false"/>
            <w:color w:val="000000"/>
            <w:sz w:val="22"/>
          </w:rPr>
          <w:t>537.1301, subsection 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“Credit card associations” </w:t>
      </w:r>
      <w:r>
        <w:rPr>
          <w:rFonts w:ascii="Times New Roman" w:hAnsi="Times New Roman"/>
          <w:b w:val="false"/>
          <w:i w:val="false"/>
          <w:color w:val="000000"/>
          <w:sz w:val="22"/>
        </w:rPr>
        <w:t>means Visa, MasterCard, American Express, Discover Network, Diners, JCB, and any other organization that issues or sponsors credit cards or signature-based debit cards that are accepted by state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“Debit card” </w:t>
      </w:r>
      <w:r>
        <w:rPr>
          <w:rFonts w:ascii="Times New Roman" w:hAnsi="Times New Roman"/>
          <w:b w:val="false"/>
          <w:i w:val="false"/>
          <w:color w:val="000000"/>
          <w:sz w:val="22"/>
        </w:rPr>
        <w:t>means a card used to purchase goods or services and to obtain cash in which the cardholder’s personal deposit account is reduced by the transaction amount. Debit card transactions that are processed on credit card association networks are typically called signature-based debit card transactions, while debit card transactions processed on electronic funds transfer networks are generally referred to as PIN-based transactions.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institution”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527.2</w:t>
        </w:r>
      </w:hyperlink>
      <w:r>
        <w:rPr>
          <w:rFonts w:ascii="Times New Roman" w:hAnsi="Times New Roman"/>
          <w:b w:val="false"/>
          <w:i w:val="false"/>
          <w:color w:val="000000"/>
          <w:sz w:val="22"/>
        </w:rPr>
        <w:t xml:space="preserve"> and includes any bank incorporated under the provisions of any state or federal law, any savings and loan association incorporated under the provisions of any state or federal law, any credit union organized under the provisions of any state or federal law, any corporation licensed as an industrial loan company under Iowa Code chapter </w:t>
      </w:r>
      <w:hyperlink r:id="rId8">
        <w:r>
          <w:rPr>
            <w:rStyle w:val="Hyperlink"/>
            <w:rFonts w:ascii="Times New Roman" w:hAnsi="Times New Roman"/>
            <w:b w:val="false"/>
            <w:i w:val="false"/>
            <w:color w:val="000000"/>
            <w:sz w:val="22"/>
          </w:rPr>
          <w:t>536A</w:t>
        </w:r>
      </w:hyperlink>
      <w:r>
        <w:rPr>
          <w:rFonts w:ascii="Times New Roman" w:hAnsi="Times New Roman"/>
          <w:b w:val="false"/>
          <w:i w:val="false"/>
          <w:color w:val="000000"/>
          <w:sz w:val="22"/>
        </w:rPr>
        <w:t>, and any affiliate of a bank, savings and loan association, credit union, or industrial loan company.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“Merchant” </w:t>
      </w:r>
      <w:r>
        <w:rPr>
          <w:rFonts w:ascii="Times New Roman" w:hAnsi="Times New Roman"/>
          <w:b w:val="false"/>
          <w:i w:val="false"/>
          <w:color w:val="000000"/>
          <w:sz w:val="22"/>
        </w:rPr>
        <w:t>means the state department or subdivision that accepts credit card and debit card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“Merchant guidelines” </w:t>
      </w:r>
      <w:r>
        <w:rPr>
          <w:rFonts w:ascii="Times New Roman" w:hAnsi="Times New Roman"/>
          <w:b w:val="false"/>
          <w:i w:val="false"/>
          <w:color w:val="000000"/>
          <w:sz w:val="22"/>
        </w:rPr>
        <w:t>means the manual issued by the merchant services provider that prescribes the rules and procedures governing credit card and debit card transactions and a state department’s use of the credit card and debit card processing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“Merchant services provider” </w:t>
      </w:r>
      <w:r>
        <w:rPr>
          <w:rFonts w:ascii="Times New Roman" w:hAnsi="Times New Roman"/>
          <w:b w:val="false"/>
          <w:i w:val="false"/>
          <w:color w:val="000000"/>
          <w:sz w:val="22"/>
        </w:rPr>
        <w:t>means a company that manages the processing of credit card and debit card transactions among merchants, credit card issuers, and acquiring banks.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“Payment card industry data security standards”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“PCI-DSS” </w:t>
      </w:r>
      <w:r>
        <w:rPr>
          <w:rFonts w:ascii="Times New Roman" w:hAnsi="Times New Roman"/>
          <w:b w:val="false"/>
          <w:i w:val="false"/>
          <w:color w:val="000000"/>
          <w:sz w:val="22"/>
        </w:rPr>
        <w:t>means a set of comprehensive requirements for credit card data security developed by the Payment Card Industry Council, founded by American Express, Discover Financial Services, JCB International, MasterCard Worldwide and Visa Inc.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International.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“Treasurer” </w:t>
      </w:r>
      <w:r>
        <w:rPr>
          <w:rFonts w:ascii="Times New Roman" w:hAnsi="Times New Roman"/>
          <w:b w:val="false"/>
          <w:i w:val="false"/>
          <w:color w:val="000000"/>
          <w:sz w:val="22"/>
        </w:rPr>
        <w:t>means the treasurer of the state of Iowa and staff members who carry out duties delegated by the treasurer.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9100B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781—8.3</w:t>
      </w:r>
      <w:r>
        <w:rPr>
          <w:rFonts w:ascii="Times New Roman" w:hAnsi="Times New Roman"/>
          <w:b/>
          <w:i w:val="false"/>
          <w:color w:val="000000"/>
          <w:sz w:val="22"/>
        </w:rPr>
        <w:t xml:space="preserve">(12) </w:t>
      </w:r>
      <w:r>
        <w:rPr>
          <w:rFonts w:ascii="Times New Roman" w:hAnsi="Times New Roman"/>
          <w:b/>
          <w:i w:val="false"/>
          <w:color w:val="000000"/>
          <w:sz w:val="22"/>
        </w:rPr>
        <w:t xml:space="preserve">State department requirements for accepting credit card payments.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8.3(1)</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notify the treasurer of its intent to accept credit card payments and provide the treasurer with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type of goods and services it will offer for payment by credit card and debit card.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estimated per-transaction amount, yearly transaction volume, and total yearly dollar volume to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number and location of departmental sites that may accept credit card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method that the department will use to accept card payments, for example, through a Web site, a virtual terminal, a point-of-sale terminal, or a wireless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8.3(2)</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purchase or lease any equipment or software required to accept credit card payments, or pay any fees charged for access to online virtual terminals used to process credit card and debit card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8.3(3)</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sign an agency participation agreement with the treasurer acknowledging its responsibilities under the credit card contract, including, but not limited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Following the procedures for accepting payments by credit card and debit card as outlined in the agreement between the financial institution, merchant services provider, and treasurer, and as specified in the merchant guidelines.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Following procedures issued by the treasurer to record receipts, corrections to receipts, refunds, chargebacks, expenses, and any other accounting transactions associated with accepting credit card and debit card payments.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payment of all equipment and software costs, all processing fees and charges incurred in accepting card payments, including the costs of supplies, and all fees charged for annual PCI-DSS reviews.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Becoming compliant with PCI-DSS and maintaining that compliance as long as the department accepts credit card and debit card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8.3(4)</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receive authorization from the treasurer prior to accepting credit card and debit card payments.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8.3(5)</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follow the procedures and rules for charging a convenience fee for credit card and debit card transactions as outlined in the agreement between the financial institution, merchant services provider, and treasurer, and as specified in the merchant guidelines, and by the credit card associations’ rules.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8.3(6)</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follow the instructions provided by the treasurer for completing cash receipts documents to reflect credit card transactions that post to the treasurer’s account at the financial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8.3(7)</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be responsible for achieving and maintaining compliance with all applicable PCI-DSS.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8.3(8)</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be responsible for completing an annual review of its compliance with PCI-DSS, as required by the treasurer’s credit card processing contract and by the PCI-DSS. At any time throughout the year, the state department shall promptly cure any instance of noncompliance of which it becomes aware.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8.3(9)</w:t>
      </w:r>
      <w:r>
        <w:rPr>
          <w:rFonts w:ascii="Times New Roman" w:hAnsi="Times New Roman"/>
          <w:b w:val="false"/>
          <w:i w:val="false"/>
          <w:color w:val="000000"/>
          <w:sz w:val="22"/>
        </w:rPr>
        <w:t> </w:t>
      </w:r>
      <w:r>
        <w:rPr>
          <w:rFonts w:ascii="Times New Roman" w:hAnsi="Times New Roman"/>
          <w:b w:val="false"/>
          <w:i w:val="false"/>
          <w:color w:val="000000"/>
          <w:sz w:val="22"/>
        </w:rPr>
        <w:t>A state department shall be responsible for any penalties, fees, fines, and other costs assessed against the department, the treasurer, or the state of Iowa, resulting from or arising out of the department’s violation of, or noncompliance with, PCI-DSS.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9100B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781—8.4</w:t>
      </w:r>
      <w:r>
        <w:rPr>
          <w:rFonts w:ascii="Times New Roman" w:hAnsi="Times New Roman"/>
          <w:b/>
          <w:i w:val="false"/>
          <w:color w:val="000000"/>
          <w:sz w:val="22"/>
        </w:rPr>
        <w:t xml:space="preserve">(12) </w:t>
      </w:r>
      <w:r>
        <w:rPr>
          <w:rFonts w:ascii="Times New Roman" w:hAnsi="Times New Roman"/>
          <w:b/>
          <w:i w:val="false"/>
          <w:color w:val="000000"/>
          <w:sz w:val="22"/>
        </w:rPr>
        <w:t xml:space="preserve">Procedures for administering the credit card receipt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8.4(1)</w:t>
      </w:r>
      <w:r>
        <w:rPr>
          <w:rFonts w:ascii="Times New Roman" w:hAnsi="Times New Roman"/>
          <w:b w:val="false"/>
          <w:i w:val="false"/>
          <w:color w:val="000000"/>
          <w:sz w:val="22"/>
        </w:rPr>
        <w:t> </w:t>
      </w:r>
      <w:r>
        <w:rPr>
          <w:rFonts w:ascii="Times New Roman" w:hAnsi="Times New Roman"/>
          <w:b w:val="false"/>
          <w:i w:val="false"/>
          <w:color w:val="000000"/>
          <w:sz w:val="22"/>
        </w:rPr>
        <w:t>The treasurer shall enter into an agreement with a financial institution to provide credit card payment processing for state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8.4(2)</w:t>
      </w:r>
      <w:r>
        <w:rPr>
          <w:rFonts w:ascii="Times New Roman" w:hAnsi="Times New Roman"/>
          <w:b w:val="false"/>
          <w:i w:val="false"/>
          <w:color w:val="000000"/>
          <w:sz w:val="22"/>
        </w:rPr>
        <w:t> </w:t>
      </w:r>
      <w:r>
        <w:rPr>
          <w:rFonts w:ascii="Times New Roman" w:hAnsi="Times New Roman"/>
          <w:b w:val="false"/>
          <w:i w:val="false"/>
          <w:color w:val="000000"/>
          <w:sz w:val="22"/>
        </w:rPr>
        <w:t>The treasurer shall specify which credit cards may be accepted by state departments.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8.4(3)</w:t>
      </w:r>
      <w:r>
        <w:rPr>
          <w:rFonts w:ascii="Times New Roman" w:hAnsi="Times New Roman"/>
          <w:b w:val="false"/>
          <w:i w:val="false"/>
          <w:color w:val="000000"/>
          <w:sz w:val="22"/>
        </w:rPr>
        <w:t> </w:t>
      </w:r>
      <w:r>
        <w:rPr>
          <w:rFonts w:ascii="Times New Roman" w:hAnsi="Times New Roman"/>
          <w:b w:val="false"/>
          <w:i w:val="false"/>
          <w:color w:val="000000"/>
          <w:sz w:val="22"/>
        </w:rPr>
        <w:t>The treasurer shall enter into an agency participation agreement with each state department authorized to accept credit card payments under the credit card processing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8.4(4)</w:t>
      </w:r>
      <w:r>
        <w:rPr>
          <w:rFonts w:ascii="Times New Roman" w:hAnsi="Times New Roman"/>
          <w:b w:val="false"/>
          <w:i w:val="false"/>
          <w:color w:val="000000"/>
          <w:sz w:val="22"/>
        </w:rPr>
        <w:t> </w:t>
      </w:r>
      <w:r>
        <w:rPr>
          <w:rFonts w:ascii="Times New Roman" w:hAnsi="Times New Roman"/>
          <w:b w:val="false"/>
          <w:i w:val="false"/>
          <w:color w:val="000000"/>
          <w:sz w:val="22"/>
        </w:rPr>
        <w:t>The treasurer shall provide state departments with a copy of the merchant operating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8.4(5)</w:t>
      </w:r>
      <w:r>
        <w:rPr>
          <w:rFonts w:ascii="Times New Roman" w:hAnsi="Times New Roman"/>
          <w:b w:val="false"/>
          <w:i w:val="false"/>
          <w:color w:val="000000"/>
          <w:sz w:val="22"/>
        </w:rPr>
        <w:t> </w:t>
      </w:r>
      <w:r>
        <w:rPr>
          <w:rFonts w:ascii="Times New Roman" w:hAnsi="Times New Roman"/>
          <w:b w:val="false"/>
          <w:i w:val="false"/>
          <w:color w:val="000000"/>
          <w:sz w:val="22"/>
        </w:rPr>
        <w:t>The treasurer shall provide state departments with information on costs for credit card and debit card processing, equipment, software, and supplies as specified under the credit card processing contract.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8.4(6)</w:t>
      </w:r>
      <w:r>
        <w:rPr>
          <w:rFonts w:ascii="Times New Roman" w:hAnsi="Times New Roman"/>
          <w:b w:val="false"/>
          <w:i w:val="false"/>
          <w:color w:val="000000"/>
          <w:sz w:val="22"/>
        </w:rPr>
        <w:t> </w:t>
      </w:r>
      <w:r>
        <w:rPr>
          <w:rFonts w:ascii="Times New Roman" w:hAnsi="Times New Roman"/>
          <w:b w:val="false"/>
          <w:i w:val="false"/>
          <w:color w:val="000000"/>
          <w:sz w:val="22"/>
        </w:rPr>
        <w:t>The treasurer shall provide state departments with instructions on creating cash receipts documents for credit card receipts.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8.4(7)</w:t>
      </w:r>
      <w:r>
        <w:rPr>
          <w:rFonts w:ascii="Times New Roman" w:hAnsi="Times New Roman"/>
          <w:b w:val="false"/>
          <w:i w:val="false"/>
          <w:color w:val="000000"/>
          <w:sz w:val="22"/>
        </w:rPr>
        <w:t> </w:t>
      </w:r>
      <w:r>
        <w:rPr>
          <w:rFonts w:ascii="Times New Roman" w:hAnsi="Times New Roman"/>
          <w:b w:val="false"/>
          <w:i w:val="false"/>
          <w:color w:val="000000"/>
          <w:sz w:val="22"/>
        </w:rPr>
        <w:t>The treasurer shall notify a state department that it is authorized to accept credit card and debit card payments and provide the department with its merchant identification number and other account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8.4(8)</w:t>
      </w:r>
      <w:r>
        <w:rPr>
          <w:rFonts w:ascii="Times New Roman" w:hAnsi="Times New Roman"/>
          <w:b w:val="false"/>
          <w:i w:val="false"/>
          <w:color w:val="000000"/>
          <w:sz w:val="22"/>
        </w:rPr>
        <w:t> </w:t>
      </w:r>
      <w:r>
        <w:rPr>
          <w:rFonts w:ascii="Times New Roman" w:hAnsi="Times New Roman"/>
          <w:b w:val="false"/>
          <w:i w:val="false"/>
          <w:color w:val="000000"/>
          <w:sz w:val="22"/>
        </w:rPr>
        <w:t>The treasurer shall terminate the agency participation agreement and a state department’s authority to accept credit card and debit card payments if a state department fails to comply with the requirements outlined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9100B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781—8.5</w:t>
      </w:r>
      <w:r>
        <w:rPr>
          <w:rFonts w:ascii="Times New Roman" w:hAnsi="Times New Roman"/>
          <w:b/>
          <w:i w:val="false"/>
          <w:color w:val="000000"/>
          <w:sz w:val="22"/>
        </w:rPr>
        <w:t xml:space="preserve">(12) </w:t>
      </w:r>
      <w:r>
        <w:rPr>
          <w:rFonts w:ascii="Times New Roman" w:hAnsi="Times New Roman"/>
          <w:b/>
          <w:i w:val="false"/>
          <w:color w:val="000000"/>
          <w:sz w:val="22"/>
        </w:rPr>
        <w:t xml:space="preserve">Adjustments for convenience fees. </w:t>
      </w:r>
      <w:r>
        <w:rPr>
          <w:rFonts w:ascii="Times New Roman" w:hAnsi="Times New Roman"/>
          <w:b w:val="false"/>
          <w:i w:val="false"/>
          <w:color w:val="000000"/>
          <w:sz w:val="22"/>
        </w:rPr>
        <w:t>If a state department is allowed to charge its customers a convenience fee under the credit card processing contract, then the following shall apply:</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treasurer shall consult with the state department to assist in determining the amount by which the department’s fees may be adjusted to reflect the cost of credit card processing.</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The state department shall follow all credit card associations’ rules on how and when a convenience fee may be charged.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The treasurer shall notify state departments of any changes in the credit card associations’ rules on convenience fees.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9100B</w:t>
      </w:r>
      <w:r>
        <w:rPr>
          <w:rFonts w:ascii="Times New Roman" w:hAnsi="Times New Roman"/>
          <w:b w:val="false"/>
          <w:i w:val="false"/>
          <w:color w:val="000000"/>
          <w:sz w:val="16"/>
        </w:rPr>
        <w:t>, IAB 9/22/10, effective 10/27/10</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12.21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3/15/91, Notice 2/6/91—published 4/3/91, effective 5/8/91]</w:t>
      </w:r>
    </w:p>
    <w:p>
      <w:pPr>
        <w:spacing w:before="0" w:after="0"/>
        <w:ind w:left="120"/>
        <w:jc w:val="center"/>
      </w:pPr>
      <w:r>
        <w:rPr>
          <w:rFonts w:ascii="Times New Roman" w:hAnsi="Times New Roman"/>
          <w:b w:val="false"/>
          <w:i w:val="false"/>
          <w:color w:val="000000"/>
          <w:sz w:val="21"/>
        </w:rPr>
        <w:t>[Filed 7/11/96, Notice 6/5/96—published 7/31/96, effective 9/4/96]</w:t>
      </w:r>
    </w:p>
    <w:p>
      <w:pPr>
        <w:spacing w:before="0" w:after="0"/>
        <w:ind w:left="120"/>
        <w:jc w:val="center"/>
      </w:pPr>
      <w:r>
        <w:rPr>
          <w:rFonts w:ascii="Times New Roman" w:hAnsi="Times New Roman"/>
          <w:b w:val="false"/>
          <w:i w:val="false"/>
          <w:color w:val="000000"/>
          <w:sz w:val="21"/>
        </w:rPr>
        <w:t>[Filed ARC 9100B</w:t>
      </w:r>
      <w:r>
        <w:rPr>
          <w:rFonts w:ascii="Times New Roman" w:hAnsi="Times New Roman"/>
          <w:b w:val="false"/>
          <w:i w:val="false"/>
          <w:color w:val="000000"/>
          <w:sz w:val="21"/>
        </w:rPr>
        <w:t xml:space="preserve"> (Notice ARC 8952B, IAB 7/28/10)</w:t>
      </w:r>
      <w:r>
        <w:rPr>
          <w:rFonts w:ascii="Times New Roman" w:hAnsi="Times New Roman"/>
          <w:b w:val="false"/>
          <w:i w:val="false"/>
          <w:color w:val="000000"/>
          <w:sz w:val="21"/>
        </w:rPr>
        <w:t>, IAB 9/22/10, effective 10/27/10]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2.21.pdf" Type="http://schemas.openxmlformats.org/officeDocument/2006/relationships/hyperlink" Id="rId5"/>
    <Relationship TargetMode="External" Target="https://www.legis.iowa.gov/docs/ico/chapter/537.1301.pdf" Type="http://schemas.openxmlformats.org/officeDocument/2006/relationships/hyperlink" Id="rId6"/>
    <Relationship TargetMode="External" Target="https://www.legis.iowa.gov/docs/ico/chapter/527.2.pdf" Type="http://schemas.openxmlformats.org/officeDocument/2006/relationships/hyperlink" Id="rId7"/>
    <Relationship TargetMode="External" Target="https://www.legis.iowa.gov/docs/ico/chapter/536A.pdf" Type="http://schemas.openxmlformats.org/officeDocument/2006/relationships/hyperlink" Id="rId8"/>
    <Relationship TargetMode="External" Target="https://www.legis.iowa.gov/docs/ico/chapter/12.21.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