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REPORTING ON STATE AND LOCAL</w:t>
      </w:r>
      <w:r>
        <w:br/>
      </w:r>
      <w:r>
        <w:rPr>
          <w:rFonts w:ascii="Times New Roman" w:hAnsi="Times New Roman"/>
          <w:b w:val="false"/>
          <w:i w:val="false"/>
          <w:color w:val="000000"/>
          <w:sz w:val="21"/>
        </w:rPr>
        <w:t>GOVERNMENT BONDING ACTIVITIES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781—7.1</w:t>
      </w:r>
      <w:r>
        <w:rPr>
          <w:rFonts w:ascii="Times New Roman" w:hAnsi="Times New Roman"/>
          <w:b/>
          <w:i w:val="false"/>
          <w:color w:val="000000"/>
          <w:sz w:val="22"/>
        </w:rPr>
        <w:t xml:space="preserve">(12)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requires the treasurer of state to gather information regarding outstanding obligations of each political subdivision, instrumentality, agency, and authority of the state.</w:t>
      </w:r>
    </w:p>
    <w:p>
      <w:pPr>
        <w:spacing w:before="0" w:after="0"/>
        <w:ind w:left="120"/>
        <w:jc w:val="both"/>
      </w:pPr>
      <w:r>
        <w:rPr>
          <w:rFonts w:ascii="Times New Roman" w:hAnsi="Times New Roman"/>
          <w:b/>
          <w:i w:val="false"/>
          <w:color w:val="000000"/>
          <w:sz w:val="22"/>
        </w:rPr>
        <w:t>781—7.2</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“Issuers” </w:t>
      </w:r>
      <w:r>
        <w:rPr>
          <w:rFonts w:ascii="Times New Roman" w:hAnsi="Times New Roman"/>
          <w:b w:val="false"/>
          <w:i w:val="false"/>
          <w:color w:val="000000"/>
          <w:sz w:val="22"/>
        </w:rPr>
        <w:t xml:space="preserve">means an authority as defined in </w:t>
      </w:r>
      <w:hyperlink r:id="rId6">
        <w:r>
          <w:rPr>
            <w:rStyle w:val="Hyperlink"/>
            <w:rFonts w:ascii="Times New Roman" w:hAnsi="Times New Roman"/>
            <w:b w:val="false"/>
            <w:i w:val="false"/>
            <w:color w:val="000000"/>
            <w:sz w:val="22"/>
          </w:rPr>
          <w:t>rule 781—6.2(12)</w:t>
        </w:r>
      </w:hyperlink>
      <w:r>
        <w:rPr>
          <w:rFonts w:ascii="Times New Roman" w:hAnsi="Times New Roman"/>
          <w:b w:val="false"/>
          <w:i w:val="false"/>
          <w:color w:val="000000"/>
          <w:sz w:val="22"/>
        </w:rPr>
        <w:t>, the state board of regents, all political subdivisions of the state of Iowa, and any other entity which has both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Officers or employees of a political subdivision serve as members, officers, directors, or employees of the entity or have authority to appoint any of the above,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political subdivision has either a present or future interest in the assets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“Obligations” </w:t>
      </w:r>
      <w:r>
        <w:rPr>
          <w:rFonts w:ascii="Times New Roman" w:hAnsi="Times New Roman"/>
          <w:b w:val="false"/>
          <w:i w:val="false"/>
          <w:color w:val="000000"/>
          <w:sz w:val="22"/>
        </w:rPr>
        <w:t>means notes, bonds, including refunding bonds, and other evidences of indebtedness of an issuer, including but not limited to private activity bonds as defined in section 141 of the Internal Revenue Code of 1986.</w:t>
      </w:r>
    </w:p>
    <w:p>
      <w:pPr>
        <w:spacing w:before="0" w:after="0"/>
        <w:ind w:left="120"/>
        <w:jc w:val="both"/>
      </w:pPr>
      <w:r>
        <w:rPr>
          <w:rFonts w:ascii="Times New Roman" w:hAnsi="Times New Roman"/>
          <w:b/>
          <w:i w:val="false"/>
          <w:color w:val="000000"/>
          <w:sz w:val="22"/>
        </w:rPr>
        <w:t>781—7.3</w:t>
      </w:r>
      <w:r>
        <w:rPr>
          <w:rFonts w:ascii="Times New Roman" w:hAnsi="Times New Roman"/>
          <w:b/>
          <w:i w:val="false"/>
          <w:color w:val="000000"/>
          <w:sz w:val="22"/>
        </w:rPr>
        <w:t xml:space="preserve">(12) </w:t>
      </w:r>
      <w:r>
        <w:rPr>
          <w:rFonts w:ascii="Times New Roman" w:hAnsi="Times New Roman"/>
          <w:b/>
          <w:i w:val="false"/>
          <w:color w:val="000000"/>
          <w:sz w:val="22"/>
        </w:rPr>
        <w:t xml:space="preserve">Form. </w:t>
      </w:r>
      <w:r>
        <w:rPr>
          <w:rFonts w:ascii="Times New Roman" w:hAnsi="Times New Roman"/>
          <w:b w:val="false"/>
          <w:i w:val="false"/>
          <w:color w:val="000000"/>
          <w:sz w:val="22"/>
        </w:rPr>
        <w:t>The following form as promulgated by the treasurer of state, shall be used in conjunction with the operation of this chapter:</w:t>
      </w:r>
    </w:p>
    <w:p>
      <w:pPr>
        <w:spacing w:before="0" w:after="0"/>
        <w:ind w:left="120"/>
        <w:jc w:val="both"/>
      </w:pPr>
      <w:r>
        <w:rPr>
          <w:rFonts w:ascii="Times New Roman" w:hAnsi="Times New Roman"/>
          <w:b w:val="false"/>
          <w:i w:val="false"/>
          <w:color w:val="000000"/>
          <w:sz w:val="22"/>
        </w:rPr>
        <w:t>Form 655-0150, “Outstanding Obligations Disclosure Statement.”</w:t>
      </w:r>
    </w:p>
    <w:p>
      <w:pPr>
        <w:spacing w:before="210" w:after="0"/>
        <w:ind w:left="120"/>
        <w:jc w:val="both"/>
      </w:pPr>
      <w:r>
        <w:rPr>
          <w:rFonts w:ascii="Times New Roman" w:hAnsi="Times New Roman"/>
          <w:b/>
          <w:i w:val="false"/>
          <w:color w:val="000000"/>
          <w:sz w:val="22"/>
        </w:rPr>
        <w:t>781—7.4</w:t>
      </w:r>
      <w:r>
        <w:rPr>
          <w:rFonts w:ascii="Times New Roman" w:hAnsi="Times New Roman"/>
          <w:b/>
          <w:i w:val="false"/>
          <w:color w:val="000000"/>
          <w:sz w:val="22"/>
        </w:rPr>
        <w:t xml:space="preserve">(12) </w:t>
      </w:r>
      <w:r>
        <w:rPr>
          <w:rFonts w:ascii="Times New Roman" w:hAnsi="Times New Roman"/>
          <w:b/>
          <w:i w:val="false"/>
          <w:color w:val="000000"/>
          <w:sz w:val="22"/>
        </w:rPr>
        <w:t xml:space="preserve">Filing procedures. </w:t>
      </w:r>
      <w:r>
        <w:rPr>
          <w:rFonts w:ascii="Times New Roman" w:hAnsi="Times New Roman"/>
          <w:b w:val="false"/>
          <w:i w:val="false"/>
          <w:color w:val="000000"/>
          <w:sz w:val="22"/>
        </w:rPr>
        <w:t>The form required to be filed shall be available from the treasurer of state’s office. Form 655-0150 must be filed with the treasurer’s office no later than November 15 of each year.</w:t>
      </w:r>
    </w:p>
    <w:p>
      <w:pPr>
        <w:spacing w:before="210" w:after="0"/>
        <w:ind w:left="120"/>
        <w:jc w:val="both"/>
      </w:pPr>
      <w:r>
        <w:rPr>
          <w:rFonts w:ascii="Times New Roman" w:hAnsi="Times New Roman"/>
          <w:b/>
          <w:i w:val="false"/>
          <w:color w:val="000000"/>
          <w:sz w:val="22"/>
        </w:rPr>
        <w:t>781—7.5</w:t>
      </w:r>
      <w:r>
        <w:rPr>
          <w:rFonts w:ascii="Times New Roman" w:hAnsi="Times New Roman"/>
          <w:b/>
          <w:i w:val="false"/>
          <w:color w:val="000000"/>
          <w:sz w:val="22"/>
        </w:rPr>
        <w:t xml:space="preserve">(12) </w:t>
      </w:r>
      <w:r>
        <w:rPr>
          <w:rFonts w:ascii="Times New Roman" w:hAnsi="Times New Roman"/>
          <w:b/>
          <w:i w:val="false"/>
          <w:color w:val="000000"/>
          <w:sz w:val="22"/>
        </w:rPr>
        <w:t xml:space="preserve">Who is required to file. </w:t>
      </w:r>
      <w:r>
        <w:rPr>
          <w:rFonts w:ascii="Times New Roman" w:hAnsi="Times New Roman"/>
          <w:b w:val="false"/>
          <w:i w:val="false"/>
          <w:color w:val="000000"/>
          <w:sz w:val="22"/>
        </w:rPr>
        <w:t>All issuers, as defined in this chapter, who issue obligations are required to file the appropriate forms with the treasurer of state’s office.</w:t>
      </w:r>
    </w:p>
    <w:p>
      <w:pPr>
        <w:spacing w:before="210" w:after="0"/>
        <w:ind w:left="120"/>
        <w:jc w:val="both"/>
      </w:pPr>
      <w:r>
        <w:rPr>
          <w:rFonts w:ascii="Times New Roman" w:hAnsi="Times New Roman"/>
          <w:b/>
          <w:i w:val="false"/>
          <w:color w:val="000000"/>
          <w:sz w:val="22"/>
        </w:rPr>
        <w:t>781—7.6</w:t>
      </w:r>
      <w:r>
        <w:rPr>
          <w:rFonts w:ascii="Times New Roman" w:hAnsi="Times New Roman"/>
          <w:b/>
          <w:i w:val="false"/>
          <w:color w:val="000000"/>
          <w:sz w:val="22"/>
        </w:rPr>
        <w:t xml:space="preserve">(12) </w:t>
      </w:r>
      <w:r>
        <w:rPr>
          <w:rFonts w:ascii="Times New Roman" w:hAnsi="Times New Roman"/>
          <w:b/>
          <w:i w:val="false"/>
          <w:color w:val="000000"/>
          <w:sz w:val="22"/>
        </w:rPr>
        <w:t xml:space="preserve">Publication procedures. </w:t>
      </w:r>
      <w:r>
        <w:rPr>
          <w:rFonts w:ascii="Times New Roman" w:hAnsi="Times New Roman"/>
          <w:b w:val="false"/>
          <w:i w:val="false"/>
          <w:color w:val="000000"/>
          <w:sz w:val="22"/>
        </w:rPr>
        <w:t>The treasurer of state shall determine the most effective method of publicizing the availability of the information obtained to interested parties. In all cases, the information shall be available from the treasurer’s office upon request.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6/5/87, Notice 2/11/87—published 7/1/87, effective 8/5/87]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pdf" Type="http://schemas.openxmlformats.org/officeDocument/2006/relationships/hyperlink" Id="rId5"/>
    <Relationship TargetMode="External" Target="https://www.legis.iowa.gov/docs/iac/rule/781.6.2.pdf" Type="http://schemas.openxmlformats.org/officeDocument/2006/relationships/hyperlink" Id="rId6"/>
    <Relationship TargetMode="External" Target="https://www.legis.iowa.gov/docs/ico/chapter/1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