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LINKED INVESTMENTS FOR TOMORROW (LIFT)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781—4.1</w:t>
      </w:r>
      <w:r>
        <w:rPr>
          <w:rFonts w:ascii="Times New Roman" w:hAnsi="Times New Roman"/>
          <w:b/>
          <w:i w:val="false"/>
          <w:color w:val="000000"/>
          <w:sz w:val="22"/>
        </w:rPr>
        <w:t xml:space="preserve">(12)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found in Iowa Code section </w:t>
      </w:r>
      <w:hyperlink r:id="rId5">
        <w:r>
          <w:rPr>
            <w:rStyle w:val="Hyperlink"/>
            <w:rFonts w:ascii="Times New Roman" w:hAnsi="Times New Roman"/>
            <w:b w:val="false"/>
            <w:i w:val="false"/>
            <w:color w:val="000000"/>
            <w:sz w:val="22"/>
          </w:rPr>
          <w:t>12.32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2006 Iowa Acts, House File 2661</w:t>
      </w:r>
      <w:r>
        <w:rPr>
          <w:rFonts w:ascii="Times New Roman" w:hAnsi="Times New Roman"/>
          <w:b w:val="false"/>
          <w:i w:val="false"/>
          <w:color w:val="000000"/>
          <w:sz w:val="22"/>
        </w:rPr>
        <w:t>, are adopted by reference. In addition,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“Borrower” </w:t>
      </w:r>
      <w:r>
        <w:rPr>
          <w:rFonts w:ascii="Times New Roman" w:hAnsi="Times New Roman"/>
          <w:b w:val="false"/>
          <w:i w:val="false"/>
          <w:color w:val="000000"/>
          <w:sz w:val="22"/>
        </w:rPr>
        <w:t>means a person, corporation, cooperative, partnership, or municipality located in Iowa that is qualified to participate in the linked investments for tomorrow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“Current market rate” </w:t>
      </w:r>
      <w:r>
        <w:rPr>
          <w:rFonts w:ascii="Times New Roman" w:hAnsi="Times New Roman"/>
          <w:b w:val="false"/>
          <w:i w:val="false"/>
          <w:color w:val="000000"/>
          <w:sz w:val="22"/>
        </w:rPr>
        <w:t>means the one-year Treasury bill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“Lender” </w:t>
      </w:r>
      <w:r>
        <w:rPr>
          <w:rFonts w:ascii="Times New Roman" w:hAnsi="Times New Roman"/>
          <w:b w:val="false"/>
          <w:i w:val="false"/>
          <w:color w:val="000000"/>
          <w:sz w:val="22"/>
        </w:rPr>
        <w:t xml:space="preserve">means “eligible lending institution” as defined in Iowa Code section </w:t>
      </w:r>
      <w:hyperlink r:id="rId6">
        <w:r>
          <w:rPr>
            <w:rStyle w:val="Hyperlink"/>
            <w:rFonts w:ascii="Times New Roman" w:hAnsi="Times New Roman"/>
            <w:b w:val="false"/>
            <w:i w:val="false"/>
            <w:color w:val="000000"/>
            <w:sz w:val="22"/>
          </w:rPr>
          <w:t>12.32</w:t>
        </w:r>
      </w:hyperlink>
      <w:r>
        <w:rPr>
          <w:rFonts w:ascii="Times New Roman" w:hAnsi="Times New Roman"/>
          <w:b w:val="false"/>
          <w:i w:val="false"/>
          <w:color w:val="000000"/>
          <w:sz w:val="22"/>
        </w:rPr>
        <w:t xml:space="preserve"> and includes banks, savings and loans, converted savings banks, and credit unions that are located in Iowa and are in compliance with Iowa Code chapter </w:t>
      </w:r>
      <w:hyperlink r:id="rId7">
        <w:r>
          <w:rPr>
            <w:rStyle w:val="Hyperlink"/>
            <w:rFonts w:ascii="Times New Roman" w:hAnsi="Times New Roman"/>
            <w:b w:val="false"/>
            <w:i w:val="false"/>
            <w:color w:val="000000"/>
            <w:sz w:val="22"/>
          </w:rPr>
          <w:t>12C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“Treasurer” </w:t>
      </w:r>
      <w:r>
        <w:rPr>
          <w:rFonts w:ascii="Times New Roman" w:hAnsi="Times New Roman"/>
          <w:b w:val="false"/>
          <w:i w:val="false"/>
          <w:color w:val="000000"/>
          <w:sz w:val="22"/>
        </w:rPr>
        <w:t>means treasurer of the state of Iowa and members of staff carrying out duties delegated by the treasurer.</w:t>
      </w:r>
    </w:p>
    <w:p>
      <w:pPr>
        <w:spacing w:before="0" w:after="0"/>
        <w:ind w:left="120"/>
        <w:jc w:val="both"/>
      </w:pPr>
      <w:r>
        <w:rPr>
          <w:rFonts w:ascii="Times New Roman" w:hAnsi="Times New Roman"/>
          <w:b/>
          <w:i w:val="false"/>
          <w:color w:val="000000"/>
          <w:sz w:val="22"/>
        </w:rPr>
        <w:t>781—4.2</w:t>
      </w:r>
      <w:r>
        <w:rPr>
          <w:rFonts w:ascii="Times New Roman" w:hAnsi="Times New Roman"/>
          <w:b/>
          <w:i w:val="false"/>
          <w:color w:val="000000"/>
          <w:sz w:val="22"/>
        </w:rPr>
        <w:t xml:space="preserve">(12) </w:t>
      </w:r>
      <w:r>
        <w:rPr>
          <w:rFonts w:ascii="Times New Roman" w:hAnsi="Times New Roman"/>
          <w:b/>
          <w:i w:val="false"/>
          <w:color w:val="000000"/>
          <w:sz w:val="22"/>
        </w:rPr>
        <w:t xml:space="preserve">Forms. </w:t>
      </w:r>
      <w:r>
        <w:rPr>
          <w:rFonts w:ascii="Times New Roman" w:hAnsi="Times New Roman"/>
          <w:b w:val="false"/>
          <w:i w:val="false"/>
          <w:color w:val="000000"/>
          <w:sz w:val="22"/>
        </w:rPr>
        <w:t>The following forms are used in this program:</w:t>
      </w:r>
    </w:p>
    <w:p>
      <w:pPr>
        <w:spacing w:before="0" w:after="0"/>
        <w:ind w:left="120"/>
        <w:jc w:val="both"/>
      </w:pPr>
      <w:r>
        <w:rPr>
          <w:rFonts w:ascii="Times New Roman" w:hAnsi="Times New Roman"/>
          <w:b w:val="false"/>
          <w:i w:val="false"/>
          <w:color w:val="000000"/>
          <w:sz w:val="22"/>
        </w:rPr>
        <w:t>LIFT Lender/Borrower Application (Form 655-0142)</w:t>
      </w:r>
    </w:p>
    <w:p>
      <w:pPr>
        <w:spacing w:before="0" w:after="0"/>
        <w:ind w:left="120"/>
        <w:jc w:val="both"/>
      </w:pPr>
      <w:r>
        <w:rPr>
          <w:rFonts w:ascii="Times New Roman" w:hAnsi="Times New Roman"/>
          <w:b w:val="false"/>
          <w:i w:val="false"/>
          <w:color w:val="000000"/>
          <w:sz w:val="22"/>
        </w:rPr>
        <w:t>LIFT Renewal Application (655-0143)</w:t>
      </w:r>
    </w:p>
    <w:p>
      <w:pPr>
        <w:spacing w:before="0" w:after="0"/>
        <w:ind w:left="120"/>
        <w:jc w:val="both"/>
      </w:pPr>
      <w:r>
        <w:rPr>
          <w:rFonts w:ascii="Times New Roman" w:hAnsi="Times New Roman"/>
          <w:b w:val="false"/>
          <w:i w:val="false"/>
          <w:color w:val="000000"/>
          <w:sz w:val="22"/>
        </w:rPr>
        <w:t>LIFT Master Agreement (Form 655-0144)</w:t>
      </w:r>
    </w:p>
    <w:p>
      <w:pPr>
        <w:spacing w:before="0" w:after="0"/>
        <w:ind w:left="120"/>
        <w:jc w:val="both"/>
      </w:pPr>
      <w:r>
        <w:rPr>
          <w:rFonts w:ascii="Times New Roman" w:hAnsi="Times New Roman"/>
          <w:b/>
          <w:i w:val="false"/>
          <w:color w:val="000000"/>
          <w:sz w:val="22"/>
        </w:rPr>
        <w:t>781—4.3</w:t>
      </w:r>
      <w:r>
        <w:rPr>
          <w:rFonts w:ascii="Times New Roman" w:hAnsi="Times New Roman"/>
          <w:b/>
          <w:i w:val="false"/>
          <w:color w:val="000000"/>
          <w:sz w:val="22"/>
        </w:rPr>
        <w:t xml:space="preserve">(12) </w:t>
      </w:r>
      <w:r>
        <w:rPr>
          <w:rFonts w:ascii="Times New Roman" w:hAnsi="Times New Roman"/>
          <w:b/>
          <w:i w:val="false"/>
          <w:color w:val="000000"/>
          <w:sz w:val="22"/>
        </w:rPr>
        <w:t xml:space="preserve">Procedures for submitting and processing a linked investment loan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val="false"/>
          <w:color w:val="000000"/>
          <w:sz w:val="22"/>
        </w:rPr>
        <w:t>To participate in the linked investments for tomorrow program, a lender’s home office must complete and submit a LIFT Master Agreement (Form 655-0144) to the treasurer.</w:t>
      </w:r>
    </w:p>
    <w:p>
      <w:pPr>
        <w:spacing w:before="0" w:after="0"/>
        <w:ind w:left="120"/>
        <w:jc w:val="both"/>
      </w:pPr>
      <w:r>
        <w:rPr>
          <w:rFonts w:ascii="Times New Roman" w:hAnsi="Times New Roman"/>
          <w:b w:val="false"/>
          <w:i w:val="false"/>
          <w:color w:val="000000"/>
          <w:sz w:val="22"/>
        </w:rPr>
        <w:t>By filing Form 655-0144 with the treasurer, a home office agrees that it and all its branches, when participating in the LIFT program,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sections </w:t>
      </w:r>
      <w:hyperlink r:id="rId8">
        <w:r>
          <w:rPr>
            <w:rStyle w:val="Hyperlink"/>
            <w:rFonts w:ascii="Times New Roman" w:hAnsi="Times New Roman"/>
            <w:b w:val="false"/>
            <w:i w:val="false"/>
            <w:color w:val="000000"/>
            <w:sz w:val="22"/>
          </w:rPr>
          <w:t>12.31 through 12.43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2006 Iowa Acts, House File 2661</w:t>
      </w:r>
      <w:r>
        <w:rPr>
          <w:rFonts w:ascii="Times New Roman" w:hAnsi="Times New Roman"/>
          <w:b w:val="false"/>
          <w:i w:val="false"/>
          <w:color w:val="000000"/>
          <w:sz w:val="22"/>
        </w:rPr>
        <w:t xml:space="preserve"> (Linked Investments for Tomorrow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 </w:t>
      </w:r>
      <w:hyperlink r:id="rId9">
        <w:r>
          <w:rPr>
            <w:rStyle w:val="Hyperlink"/>
            <w:rFonts w:ascii="Times New Roman" w:hAnsi="Times New Roman"/>
            <w:b w:val="false"/>
            <w:i w:val="false"/>
            <w:color w:val="000000"/>
            <w:sz w:val="22"/>
          </w:rPr>
          <w:t>12C</w:t>
        </w:r>
      </w:hyperlink>
      <w:r>
        <w:rPr>
          <w:rFonts w:ascii="Times New Roman" w:hAnsi="Times New Roman"/>
          <w:b w:val="false"/>
          <w:i w:val="false"/>
          <w:color w:val="000000"/>
          <w:sz w:val="22"/>
        </w:rPr>
        <w:t xml:space="preserve"> (Deposit of Public Funds),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Iowa Administrative Code </w:t>
      </w:r>
      <w:hyperlink r:id="rId10">
        <w:r>
          <w:rPr>
            <w:rStyle w:val="Hyperlink"/>
            <w:rFonts w:ascii="Times New Roman" w:hAnsi="Times New Roman"/>
            <w:b w:val="false"/>
            <w:i w:val="false"/>
            <w:color w:val="000000"/>
            <w:sz w:val="22"/>
          </w:rPr>
          <w:t>781—Chapters 3</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4</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13</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val="false"/>
          <w:color w:val="000000"/>
          <w:sz w:val="22"/>
        </w:rPr>
        <w:t xml:space="preserve">Any lender whose home office is in compliance with subrule </w:t>
      </w:r>
      <w:hyperlink r:id="rId14">
        <w:r>
          <w:rPr>
            <w:rStyle w:val="Hyperlink"/>
            <w:rFonts w:ascii="Times New Roman" w:hAnsi="Times New Roman"/>
            <w:b w:val="false"/>
            <w:i w:val="false"/>
            <w:color w:val="000000"/>
            <w:sz w:val="22"/>
          </w:rPr>
          <w:t>4.3(1)</w:t>
        </w:r>
      </w:hyperlink>
      <w:r>
        <w:rPr>
          <w:rFonts w:ascii="Times New Roman" w:hAnsi="Times New Roman"/>
          <w:b w:val="false"/>
          <w:i w:val="false"/>
          <w:color w:val="000000"/>
          <w:sz w:val="22"/>
        </w:rPr>
        <w:t xml:space="preserve"> may submit a LIFT Lender/Borrower Application (Form 655-0142) to the treasurer.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w:t>
      </w:r>
      <w:r>
        <w:rPr>
          <w:rFonts w:ascii="Times New Roman" w:hAnsi="Times New Roman"/>
          <w:b w:val="false"/>
          <w:i w:val="false"/>
          <w:color w:val="000000"/>
          <w:sz w:val="22"/>
        </w:rPr>
        <w:t> </w:t>
      </w:r>
      <w:r>
        <w:rPr>
          <w:rFonts w:ascii="Times New Roman" w:hAnsi="Times New Roman"/>
          <w:b w:val="false"/>
          <w:i w:val="false"/>
          <w:color w:val="000000"/>
          <w:sz w:val="22"/>
        </w:rPr>
        <w:t>The lender shall submit applications only for those borrowers and businesses which the lender believes are eligible.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w:t>
      </w:r>
      <w:r>
        <w:rPr>
          <w:rFonts w:ascii="Times New Roman" w:hAnsi="Times New Roman"/>
          <w:b w:val="false"/>
          <w:i w:val="false"/>
          <w:color w:val="000000"/>
          <w:sz w:val="22"/>
        </w:rPr>
        <w:t> </w:t>
      </w:r>
      <w:r>
        <w:rPr>
          <w:rFonts w:ascii="Times New Roman" w:hAnsi="Times New Roman"/>
          <w:b w:val="false"/>
          <w:i w:val="false"/>
          <w:color w:val="000000"/>
          <w:sz w:val="22"/>
        </w:rPr>
        <w:t>Forms and correspondence relating to the linked investments for tomorrow program shall be mailed to:</w:t>
      </w:r>
    </w:p>
    <w:p>
      <w:pPr>
        <w:spacing w:before="0" w:after="0"/>
        <w:ind w:left="120"/>
        <w:jc w:val="both"/>
      </w:pPr>
      <w:r>
        <w:rPr>
          <w:rFonts w:ascii="Times New Roman" w:hAnsi="Times New Roman"/>
          <w:b w:val="false"/>
          <w:i w:val="false"/>
          <w:color w:val="000000"/>
          <w:sz w:val="22"/>
        </w:rPr>
        <w:t>Treasurer of State</w:t>
      </w:r>
    </w:p>
    <w:p>
      <w:pPr>
        <w:spacing w:before="0" w:after="0"/>
        <w:ind w:left="120"/>
        <w:jc w:val="both"/>
      </w:pPr>
      <w:r>
        <w:rPr>
          <w:rFonts w:ascii="Times New Roman" w:hAnsi="Times New Roman"/>
          <w:b w:val="false"/>
          <w:i w:val="false"/>
          <w:color w:val="000000"/>
          <w:sz w:val="22"/>
        </w:rPr>
        <w:t>LIFT Administration</w:t>
      </w:r>
    </w:p>
    <w:p>
      <w:pPr>
        <w:spacing w:before="0" w:after="0"/>
        <w:ind w:left="120"/>
        <w:jc w:val="both"/>
      </w:pPr>
      <w:r>
        <w:rPr>
          <w:rFonts w:ascii="Times New Roman" w:hAnsi="Times New Roman"/>
          <w:b w:val="false"/>
          <w:i w:val="false"/>
          <w:color w:val="000000"/>
          <w:sz w:val="22"/>
        </w:rPr>
        <w:t>State Capitol Building</w:t>
      </w:r>
    </w:p>
    <w:p>
      <w:pPr>
        <w:spacing w:before="0" w:after="0"/>
        <w:ind w:left="120"/>
        <w:jc w:val="both"/>
      </w:pPr>
      <w:r>
        <w:rPr>
          <w:rFonts w:ascii="Times New Roman" w:hAnsi="Times New Roman"/>
          <w:b w:val="false"/>
          <w:i w:val="false"/>
          <w:color w:val="000000"/>
          <w:sz w:val="22"/>
        </w:rPr>
        <w:t>Room 114</w:t>
      </w:r>
    </w:p>
    <w:p>
      <w:pPr>
        <w:spacing w:before="0" w:after="0"/>
        <w:ind w:left="120"/>
        <w:jc w:val="both"/>
      </w:pPr>
      <w:r>
        <w:rPr>
          <w:rFonts w:ascii="Times New Roman" w:hAnsi="Times New Roman"/>
          <w:b w:val="false"/>
          <w:i w:val="false"/>
          <w:color w:val="000000"/>
          <w:sz w:val="22"/>
        </w:rPr>
        <w:t>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w:t>
      </w:r>
      <w:r>
        <w:rPr>
          <w:rFonts w:ascii="Times New Roman" w:hAnsi="Times New Roman"/>
          <w:b w:val="false"/>
          <w:i w:val="false"/>
          <w:color w:val="000000"/>
          <w:sz w:val="22"/>
        </w:rPr>
        <w:t> </w:t>
      </w:r>
      <w:r>
        <w:rPr>
          <w:rFonts w:ascii="Times New Roman" w:hAnsi="Times New Roman"/>
          <w:b w:val="false"/>
          <w:i w:val="false"/>
          <w:color w:val="000000"/>
          <w:sz w:val="22"/>
        </w:rPr>
        <w:t>Upon receipt of a LIFT Lender/Borrower Application (Form 655-0142), the treasurer will determine whether the application meets the requirements of the LIFT program and whether sufficient funds will be available for the investment.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w:t>
      </w:r>
      <w:r>
        <w:rPr>
          <w:rFonts w:ascii="Times New Roman" w:hAnsi="Times New Roman"/>
          <w:b w:val="false"/>
          <w:i w:val="false"/>
          <w:color w:val="000000"/>
          <w:sz w:val="22"/>
        </w:rPr>
        <w:t> </w:t>
      </w:r>
      <w:r>
        <w:rPr>
          <w:rFonts w:ascii="Times New Roman" w:hAnsi="Times New Roman"/>
          <w:b w:val="false"/>
          <w:i w:val="false"/>
          <w:color w:val="000000"/>
          <w:sz w:val="22"/>
        </w:rPr>
        <w:t>Within a reasonable time, the treasurer will notify the lender whether the application has been approved or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w:t>
      </w:r>
      <w:r>
        <w:rPr>
          <w:rFonts w:ascii="Times New Roman" w:hAnsi="Times New Roman"/>
          <w:b w:val="false"/>
          <w:i w:val="false"/>
          <w:color w:val="000000"/>
          <w:sz w:val="22"/>
        </w:rPr>
        <w:t> </w:t>
      </w:r>
      <w:r>
        <w:rPr>
          <w:rFonts w:ascii="Times New Roman" w:hAnsi="Times New Roman"/>
          <w:b w:val="false"/>
          <w:i w:val="false"/>
          <w:color w:val="000000"/>
          <w:sz w:val="22"/>
        </w:rPr>
        <w:t>Funds will be deposited with the lender on the fifteenth day of the month. If the fifteenth day of the month falls on a weekend or holiday, funds will be transferred the following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w:t>
      </w:r>
      <w:r>
        <w:rPr>
          <w:rFonts w:ascii="Times New Roman" w:hAnsi="Times New Roman"/>
          <w:b w:val="false"/>
          <w:i w:val="false"/>
          <w:color w:val="000000"/>
          <w:sz w:val="22"/>
        </w:rPr>
        <w:t> </w:t>
      </w:r>
      <w:r>
        <w:rPr>
          <w:rFonts w:ascii="Times New Roman" w:hAnsi="Times New Roman"/>
          <w:b w:val="false"/>
          <w:i w:val="false"/>
          <w:color w:val="000000"/>
          <w:sz w:val="22"/>
        </w:rPr>
        <w:t>The lender must make all funds available to the borrower by the end of the business day following the day the lender receives the funds from the treasurer.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w:t>
      </w:r>
      <w:r>
        <w:rPr>
          <w:rFonts w:ascii="Times New Roman" w:hAnsi="Times New Roman"/>
          <w:b w:val="false"/>
          <w:i w:val="false"/>
          <w:color w:val="000000"/>
          <w:sz w:val="22"/>
        </w:rPr>
        <w:t> </w:t>
      </w:r>
      <w:r>
        <w:rPr>
          <w:rFonts w:ascii="Times New Roman" w:hAnsi="Times New Roman"/>
          <w:b w:val="false"/>
          <w:i w:val="false"/>
          <w:color w:val="000000"/>
          <w:sz w:val="22"/>
        </w:rPr>
        <w:t>At the beginning of each month, the treasurer will determine the rate of interest for LIFT certificates of deposit that are new or are being renewed that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w:t>
      </w:r>
      <w:r>
        <w:rPr>
          <w:rFonts w:ascii="Times New Roman" w:hAnsi="Times New Roman"/>
          <w:b w:val="false"/>
          <w:i w:val="false"/>
          <w:color w:val="000000"/>
          <w:sz w:val="22"/>
        </w:rPr>
        <w:t> </w:t>
      </w:r>
      <w:r>
        <w:rPr>
          <w:rFonts w:ascii="Times New Roman" w:hAnsi="Times New Roman"/>
          <w:b w:val="false"/>
          <w:i w:val="false"/>
          <w:color w:val="000000"/>
          <w:sz w:val="22"/>
        </w:rPr>
        <w:t>After approval of the application, the lender shall notify the treasurer, in writing, if the loan is paid off, if the loan is in default, if the business closes, or if the business is sold.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w:t>
      </w:r>
      <w:r>
        <w:rPr>
          <w:rFonts w:ascii="Times New Roman" w:hAnsi="Times New Roman"/>
          <w:b w:val="false"/>
          <w:i w:val="false"/>
          <w:color w:val="000000"/>
          <w:sz w:val="22"/>
        </w:rPr>
        <w:t> </w:t>
      </w:r>
      <w:r>
        <w:rPr>
          <w:rFonts w:ascii="Times New Roman" w:hAnsi="Times New Roman"/>
          <w:b w:val="false"/>
          <w:i w:val="false"/>
          <w:color w:val="000000"/>
          <w:sz w:val="22"/>
        </w:rPr>
        <w:t>At any time it is determined that a borrower or business does not meet the requirements of participation in the LIFT program, the treasurer shall notify the lender and withdraw the certificate of deposit with no penalty. The lender shall have ten days from the date of notification to remit the outstanding balance and accrued interest to the treasurer.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w:t>
      </w:r>
      <w:r>
        <w:rPr>
          <w:rFonts w:ascii="Times New Roman" w:hAnsi="Times New Roman"/>
          <w:b w:val="false"/>
          <w:i w:val="false"/>
          <w:color w:val="000000"/>
          <w:sz w:val="22"/>
        </w:rPr>
        <w:t> </w:t>
      </w:r>
      <w:r>
        <w:rPr>
          <w:rFonts w:ascii="Times New Roman" w:hAnsi="Times New Roman"/>
          <w:b w:val="false"/>
          <w:i w:val="false"/>
          <w:color w:val="000000"/>
          <w:sz w:val="22"/>
        </w:rPr>
        <w:t>As a requirement for renewal of the certificate of deposit, the lender shall verify that the borrower and business are still eligible for this program.</w:t>
      </w:r>
    </w:p>
    <w:p>
      <w:pPr>
        <w:spacing w:before="0" w:after="0"/>
        <w:ind w:left="120"/>
        <w:jc w:val="both"/>
      </w:pPr>
      <w:r>
        <w:rPr>
          <w:rFonts w:ascii="Times New Roman" w:hAnsi="Times New Roman"/>
          <w:b/>
          <w:i w:val="false"/>
          <w:color w:val="000000"/>
          <w:sz w:val="22"/>
        </w:rPr>
        <w:t>781—4.4</w:t>
      </w:r>
      <w:r>
        <w:rPr>
          <w:rFonts w:ascii="Times New Roman" w:hAnsi="Times New Roman"/>
          <w:b/>
          <w:i w:val="false"/>
          <w:color w:val="000000"/>
          <w:sz w:val="22"/>
        </w:rPr>
        <w:t xml:space="preserve">(12) </w:t>
      </w:r>
      <w:r>
        <w:rPr>
          <w:rFonts w:ascii="Times New Roman" w:hAnsi="Times New Roman"/>
          <w:b/>
          <w:i w:val="false"/>
          <w:color w:val="000000"/>
          <w:sz w:val="22"/>
        </w:rPr>
        <w:t xml:space="preserve">Qualifications on the certificate of deposit.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w:t>
      </w:r>
      <w:r>
        <w:rPr>
          <w:rFonts w:ascii="Times New Roman" w:hAnsi="Times New Roman"/>
          <w:b w:val="false"/>
          <w:i w:val="false"/>
          <w:color w:val="000000"/>
          <w:sz w:val="22"/>
        </w:rPr>
        <w:t> </w:t>
      </w:r>
      <w:r>
        <w:rPr>
          <w:rFonts w:ascii="Times New Roman" w:hAnsi="Times New Roman"/>
          <w:b w:val="false"/>
          <w:i w:val="false"/>
          <w:color w:val="000000"/>
          <w:sz w:val="22"/>
        </w:rPr>
        <w:t>The minimum rate for the certificate of deposit shall be 1 percent. The term shall not exceed one year but may be renewed at the option of the treasurer.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w:t>
      </w:r>
      <w:r>
        <w:rPr>
          <w:rFonts w:ascii="Times New Roman" w:hAnsi="Times New Roman"/>
          <w:b w:val="false"/>
          <w:i w:val="false"/>
          <w:color w:val="000000"/>
          <w:sz w:val="22"/>
        </w:rPr>
        <w:t> </w:t>
      </w:r>
      <w:r>
        <w:rPr>
          <w:rFonts w:ascii="Times New Roman" w:hAnsi="Times New Roman"/>
          <w:b w:val="false"/>
          <w:i w:val="false"/>
          <w:color w:val="000000"/>
          <w:sz w:val="22"/>
        </w:rPr>
        <w:t>Interest must be calculated for the actual number of days on a 365-day basis, except during leap year, when it must be calculated for the actual number of days on a 366-day basis. Interest must be paid to the treasurer upon maturity of the certificate of deposit.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certificate of deposit and accrued interest must be secured either by federal deposit insurance or must be collateralized pursuant to Iowa Code chapter </w:t>
      </w:r>
      <w:hyperlink r:id="rId15">
        <w:r>
          <w:rPr>
            <w:rStyle w:val="Hyperlink"/>
            <w:rFonts w:ascii="Times New Roman" w:hAnsi="Times New Roman"/>
            <w:b w:val="false"/>
            <w:i w:val="false"/>
            <w:color w:val="000000"/>
            <w:sz w:val="22"/>
          </w:rPr>
          <w:t>12C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w:t>
      </w:r>
      <w:r>
        <w:rPr>
          <w:rFonts w:ascii="Times New Roman" w:hAnsi="Times New Roman"/>
          <w:b w:val="false"/>
          <w:i w:val="false"/>
          <w:color w:val="000000"/>
          <w:sz w:val="22"/>
        </w:rPr>
        <w:t> </w:t>
      </w:r>
      <w:r>
        <w:rPr>
          <w:rFonts w:ascii="Times New Roman" w:hAnsi="Times New Roman"/>
          <w:b w:val="false"/>
          <w:i w:val="false"/>
          <w:color w:val="000000"/>
          <w:sz w:val="22"/>
        </w:rPr>
        <w:t>If the borrower pays the loan in full prior to the maturity date of the certificate of deposit, the lender shall, within ten days of the payment in full, remit the principal balance of the certificate of deposit and the accrued interest thereon to the treasurer.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w:t>
      </w:r>
      <w:r>
        <w:rPr>
          <w:rFonts w:ascii="Times New Roman" w:hAnsi="Times New Roman"/>
          <w:b w:val="false"/>
          <w:i w:val="false"/>
          <w:color w:val="000000"/>
          <w:sz w:val="22"/>
        </w:rPr>
        <w:t> </w:t>
      </w:r>
      <w:r>
        <w:rPr>
          <w:rFonts w:ascii="Times New Roman" w:hAnsi="Times New Roman"/>
          <w:b w:val="false"/>
          <w:i w:val="false"/>
          <w:color w:val="000000"/>
          <w:sz w:val="22"/>
        </w:rPr>
        <w:t>Funds shall be transferred according to instructions from the treasurer.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w:t>
      </w:r>
      <w:r>
        <w:rPr>
          <w:rFonts w:ascii="Times New Roman" w:hAnsi="Times New Roman"/>
          <w:b w:val="false"/>
          <w:i w:val="false"/>
          <w:color w:val="000000"/>
          <w:sz w:val="22"/>
        </w:rPr>
        <w:t> </w:t>
      </w:r>
      <w:r>
        <w:rPr>
          <w:rFonts w:ascii="Times New Roman" w:hAnsi="Times New Roman"/>
          <w:b w:val="false"/>
          <w:i w:val="false"/>
          <w:color w:val="000000"/>
          <w:sz w:val="22"/>
        </w:rPr>
        <w:t>When a certificate of deposit is issued or renewed, it shall be held in safekeeping by the lender. The lender shall provide the treasurer a safekeeping receipt or a photocopy of the certificate of deposit upon issuance and at the time of renewal of the certificate of deposit. The safekeeping receipt or photocopy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Certificate of deposit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Certificate of deposit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Certificate of deposit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Term of the certificate of deposit.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Maturity date of the certificate of deposit.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w:t>
      </w:r>
      <w:r>
        <w:rPr>
          <w:rFonts w:ascii="Times New Roman" w:hAnsi="Times New Roman"/>
          <w:b w:val="false"/>
          <w:i w:val="false"/>
          <w:color w:val="000000"/>
          <w:sz w:val="22"/>
        </w:rPr>
        <w:t> </w:t>
      </w:r>
      <w:r>
        <w:rPr>
          <w:rFonts w:ascii="Times New Roman" w:hAnsi="Times New Roman"/>
          <w:b w:val="false"/>
          <w:i w:val="false"/>
          <w:color w:val="000000"/>
          <w:sz w:val="22"/>
        </w:rPr>
        <w:t>The maximum period of eligibility for any borrower or business is five years from the issue date of the first certificate of deposit.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w:t>
      </w:r>
      <w:r>
        <w:rPr>
          <w:rFonts w:ascii="Times New Roman" w:hAnsi="Times New Roman"/>
          <w:b w:val="false"/>
          <w:i w:val="false"/>
          <w:color w:val="000000"/>
          <w:sz w:val="22"/>
        </w:rPr>
        <w:t> </w:t>
      </w:r>
      <w:r>
        <w:rPr>
          <w:rFonts w:ascii="Times New Roman" w:hAnsi="Times New Roman"/>
          <w:b w:val="false"/>
          <w:i w:val="false"/>
          <w:color w:val="000000"/>
          <w:sz w:val="22"/>
        </w:rPr>
        <w:t>If the certificate of deposit is not renewed within ten days of the maturity date, the funds must be remitted to the treasurer. During the ten-day period, the funds shall continue to earn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4.4(9)</w:t>
      </w:r>
      <w:r>
        <w:rPr>
          <w:rFonts w:ascii="Times New Roman" w:hAnsi="Times New Roman"/>
          <w:b w:val="false"/>
          <w:i w:val="false"/>
          <w:color w:val="000000"/>
          <w:sz w:val="22"/>
        </w:rPr>
        <w:t> </w:t>
      </w:r>
      <w:r>
        <w:rPr>
          <w:rFonts w:ascii="Times New Roman" w:hAnsi="Times New Roman"/>
          <w:b w:val="false"/>
          <w:i w:val="false"/>
          <w:color w:val="000000"/>
          <w:sz w:val="22"/>
        </w:rPr>
        <w:t>At renewal of the certificate of deposit, the lender shall certify that the certificate of deposit balance does not exceed the loan balance.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4.4(10)</w:t>
      </w:r>
      <w:r>
        <w:rPr>
          <w:rFonts w:ascii="Times New Roman" w:hAnsi="Times New Roman"/>
          <w:b w:val="false"/>
          <w:i w:val="false"/>
          <w:color w:val="000000"/>
          <w:sz w:val="22"/>
        </w:rPr>
        <w:t> </w:t>
      </w:r>
      <w:r>
        <w:rPr>
          <w:rFonts w:ascii="Times New Roman" w:hAnsi="Times New Roman"/>
          <w:b w:val="false"/>
          <w:i w:val="false"/>
          <w:color w:val="000000"/>
          <w:sz w:val="22"/>
        </w:rPr>
        <w:t>A certificate of deposit for the purposes of the LIFT program shall not be subject to a penalty for early withdrawal or to any other terms and conditions that a financial institution may otherwise place upon a certificate of deposit.</w:t>
      </w:r>
    </w:p>
    <w:p>
      <w:pPr>
        <w:spacing w:before="0" w:after="0"/>
        <w:ind w:left="120"/>
        <w:jc w:val="both"/>
      </w:pPr>
      <w:r>
        <w:rPr>
          <w:rFonts w:ascii="Times New Roman" w:hAnsi="Times New Roman"/>
          <w:b/>
          <w:i w:val="false"/>
          <w:color w:val="000000"/>
          <w:sz w:val="22"/>
        </w:rPr>
        <w:t>781—4.5</w:t>
      </w:r>
      <w:r>
        <w:rPr>
          <w:rFonts w:ascii="Times New Roman" w:hAnsi="Times New Roman"/>
          <w:b/>
          <w:i w:val="false"/>
          <w:color w:val="000000"/>
          <w:sz w:val="22"/>
        </w:rPr>
        <w:t xml:space="preserve">(12) </w:t>
      </w:r>
      <w:r>
        <w:rPr>
          <w:rFonts w:ascii="Times New Roman" w:hAnsi="Times New Roman"/>
          <w:b/>
          <w:i w:val="false"/>
          <w:color w:val="000000"/>
          <w:sz w:val="22"/>
        </w:rPr>
        <w:t xml:space="preserve">Qualifications on the loan.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w:t>
      </w:r>
      <w:r>
        <w:rPr>
          <w:rFonts w:ascii="Times New Roman" w:hAnsi="Times New Roman"/>
          <w:b w:val="false"/>
          <w:i w:val="false"/>
          <w:color w:val="000000"/>
          <w:sz w:val="22"/>
        </w:rPr>
        <w:t> </w:t>
      </w:r>
      <w:r>
        <w:rPr>
          <w:rFonts w:ascii="Times New Roman" w:hAnsi="Times New Roman"/>
          <w:b w:val="false"/>
          <w:i w:val="false"/>
          <w:color w:val="000000"/>
          <w:sz w:val="22"/>
        </w:rPr>
        <w:t>The interest rate on the loan shall not exceed the rate of interest on the certificate of deposit by more than 4 percent. Points shall not supplement the loan rate, and a compensating balance shall not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w:t>
      </w:r>
      <w:r>
        <w:rPr>
          <w:rFonts w:ascii="Times New Roman" w:hAnsi="Times New Roman"/>
          <w:b w:val="false"/>
          <w:i w:val="false"/>
          <w:color w:val="000000"/>
          <w:sz w:val="22"/>
        </w:rPr>
        <w:t> </w:t>
      </w:r>
      <w:r>
        <w:rPr>
          <w:rFonts w:ascii="Times New Roman" w:hAnsi="Times New Roman"/>
          <w:b w:val="false"/>
          <w:i w:val="false"/>
          <w:color w:val="000000"/>
          <w:sz w:val="22"/>
        </w:rPr>
        <w:t>All other terms and conditions on the loan must be negotiated by the lender and the borrower. The lender is required by law to use usual and customary lending standards to determine the creditworthiness of the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w:t>
      </w:r>
      <w:r>
        <w:rPr>
          <w:rFonts w:ascii="Times New Roman" w:hAnsi="Times New Roman"/>
          <w:b w:val="false"/>
          <w:i w:val="false"/>
          <w:color w:val="000000"/>
          <w:sz w:val="22"/>
        </w:rPr>
        <w:t> </w:t>
      </w:r>
      <w:r>
        <w:rPr>
          <w:rFonts w:ascii="Times New Roman" w:hAnsi="Times New Roman"/>
          <w:b w:val="false"/>
          <w:i w:val="false"/>
          <w:color w:val="000000"/>
          <w:sz w:val="22"/>
        </w:rPr>
        <w:t>Neither the treasurer nor the state is liable for any payment of principal or interest on the loan or any late payments. The certificate of deposit is not collateral and shall not constitute security in any manner for the repayment of principal or any interest or charges thereon.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w:t>
      </w:r>
      <w:r>
        <w:rPr>
          <w:rFonts w:ascii="Times New Roman" w:hAnsi="Times New Roman"/>
          <w:b w:val="false"/>
          <w:i w:val="false"/>
          <w:color w:val="000000"/>
          <w:sz w:val="22"/>
        </w:rPr>
        <w:t> </w:t>
      </w:r>
      <w:r>
        <w:rPr>
          <w:rFonts w:ascii="Times New Roman" w:hAnsi="Times New Roman"/>
          <w:b w:val="false"/>
          <w:i w:val="false"/>
          <w:color w:val="000000"/>
          <w:sz w:val="22"/>
        </w:rPr>
        <w:t>The amount and term of the loan may exceed the amount and term of the certificate of deposit. It is permitted for the interest rate on the loan to be variable based on adjustments in the rate of the certificate of deposit.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w:t>
      </w:r>
      <w:r>
        <w:rPr>
          <w:rFonts w:ascii="Times New Roman" w:hAnsi="Times New Roman"/>
          <w:b w:val="false"/>
          <w:i w:val="false"/>
          <w:color w:val="000000"/>
          <w:sz w:val="22"/>
        </w:rPr>
        <w:t> </w:t>
      </w:r>
      <w:r>
        <w:rPr>
          <w:rFonts w:ascii="Times New Roman" w:hAnsi="Times New Roman"/>
          <w:b w:val="false"/>
          <w:i w:val="false"/>
          <w:color w:val="000000"/>
          <w:sz w:val="22"/>
        </w:rPr>
        <w:t xml:space="preserve">Loans are subject to the restrictions set forth in rule </w:t>
      </w:r>
      <w:hyperlink r:id="rId16">
        <w:r>
          <w:rPr>
            <w:rStyle w:val="Hyperlink"/>
            <w:rFonts w:ascii="Times New Roman" w:hAnsi="Times New Roman"/>
            <w:b w:val="false"/>
            <w:i w:val="false"/>
            <w:color w:val="000000"/>
            <w:sz w:val="22"/>
          </w:rPr>
          <w:t>781—4.6(12)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w:t>
      </w:r>
      <w:r>
        <w:rPr>
          <w:rFonts w:ascii="Times New Roman" w:hAnsi="Times New Roman"/>
          <w:b w:val="false"/>
          <w:i w:val="false"/>
          <w:color w:val="000000"/>
          <w:sz w:val="22"/>
        </w:rPr>
        <w:t> </w:t>
      </w:r>
      <w:r>
        <w:rPr>
          <w:rFonts w:ascii="Times New Roman" w:hAnsi="Times New Roman"/>
          <w:b w:val="false"/>
          <w:i w:val="false"/>
          <w:color w:val="000000"/>
          <w:sz w:val="22"/>
        </w:rPr>
        <w:t>Loan proceeds shall not be used to refinance existing debt, including credit card debt. However, proceeds may be used to refinance a short-term bridge loan made in anticipation of the treasurer’s approval of an eligible LIFT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4.5(7)</w:t>
      </w:r>
      <w:r>
        <w:rPr>
          <w:rFonts w:ascii="Times New Roman" w:hAnsi="Times New Roman"/>
          <w:b w:val="false"/>
          <w:i w:val="false"/>
          <w:color w:val="000000"/>
          <w:sz w:val="22"/>
        </w:rPr>
        <w:t> </w:t>
      </w:r>
      <w:r>
        <w:rPr>
          <w:rFonts w:ascii="Times New Roman" w:hAnsi="Times New Roman"/>
          <w:b w:val="false"/>
          <w:i w:val="false"/>
          <w:color w:val="000000"/>
          <w:sz w:val="22"/>
        </w:rPr>
        <w:t>The lender shall acquire sufficient information to verify that the applicant meets the requirements before the borrower or business may become eligible to participate in a LIFT program. The lender and borrower applying for a loan under this program shall verify on the LIFT Lender/Borrower Application (Form 655-0142) that the borrower, owner, and business qualify.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4.5(8)</w:t>
      </w:r>
      <w:r>
        <w:rPr>
          <w:rFonts w:ascii="Times New Roman" w:hAnsi="Times New Roman"/>
          <w:b w:val="false"/>
          <w:i w:val="false"/>
          <w:color w:val="000000"/>
          <w:sz w:val="22"/>
        </w:rPr>
        <w:t> </w:t>
      </w:r>
      <w:r>
        <w:rPr>
          <w:rFonts w:ascii="Times New Roman" w:hAnsi="Times New Roman"/>
          <w:b w:val="false"/>
          <w:i w:val="false"/>
          <w:color w:val="000000"/>
          <w:sz w:val="22"/>
        </w:rPr>
        <w:t>The lender must complete the LIFT Renewal Application (Form 655-0143) at the time of renewal and submit it to the treasurer to ensure that the borrower and business continue to be eligible to participate in the LIFT program.</w:t>
      </w:r>
    </w:p>
    <w:p>
      <w:pPr>
        <w:spacing w:before="0" w:after="0"/>
        <w:ind w:left="120"/>
        <w:jc w:val="both"/>
      </w:pPr>
      <w:r>
        <w:rPr>
          <w:rFonts w:ascii="Times New Roman" w:hAnsi="Times New Roman"/>
          <w:b/>
          <w:i w:val="false"/>
          <w:color w:val="000000"/>
          <w:sz w:val="22"/>
        </w:rPr>
        <w:t>781—4.6</w:t>
      </w:r>
      <w:r>
        <w:rPr>
          <w:rFonts w:ascii="Times New Roman" w:hAnsi="Times New Roman"/>
          <w:b/>
          <w:i w:val="false"/>
          <w:color w:val="000000"/>
          <w:sz w:val="22"/>
        </w:rPr>
        <w:t xml:space="preserve">(12) </w:t>
      </w:r>
      <w:r>
        <w:rPr>
          <w:rFonts w:ascii="Times New Roman" w:hAnsi="Times New Roman"/>
          <w:b/>
          <w:i w:val="false"/>
          <w:color w:val="000000"/>
          <w:sz w:val="22"/>
        </w:rPr>
        <w:t xml:space="preserve">LIFT—small business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w:t>
      </w:r>
      <w:r>
        <w:rPr>
          <w:rFonts w:ascii="Times New Roman" w:hAnsi="Times New Roman"/>
          <w:b w:val="false"/>
          <w:i w:val="false"/>
          <w:color w:val="000000"/>
          <w:sz w:val="22"/>
        </w:rPr>
        <w:t> </w:t>
      </w:r>
      <w:r>
        <w:rPr>
          <w:rFonts w:ascii="Times New Roman" w:hAnsi="Times New Roman"/>
          <w:b w:val="false"/>
          <w:i w:val="false"/>
          <w:color w:val="000000"/>
          <w:sz w:val="22"/>
        </w:rPr>
        <w:t>New and existing small businesses are eligible for the LIFT small business program. An existing small business is defined as a business that has annual gross sales of $2 million or less at the time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val="false"/>
          <w:color w:val="000000"/>
          <w:sz w:val="22"/>
        </w:rPr>
        <w:t>A borrower is ineligible if the borrower has received financial assistance from the LIFT program prior to July 1, 2006.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w:t>
      </w:r>
      <w:r>
        <w:rPr>
          <w:rFonts w:ascii="Times New Roman" w:hAnsi="Times New Roman"/>
          <w:b w:val="false"/>
          <w:i w:val="false"/>
          <w:color w:val="000000"/>
          <w:sz w:val="22"/>
        </w:rPr>
        <w:t> </w:t>
      </w:r>
      <w:r>
        <w:rPr>
          <w:rFonts w:ascii="Times New Roman" w:hAnsi="Times New Roman"/>
          <w:b w:val="false"/>
          <w:i w:val="false"/>
          <w:color w:val="000000"/>
          <w:sz w:val="22"/>
        </w:rPr>
        <w:t>All owners of the business or borrowers must not have a combined net worth exceeding $975,000. Combined net worth, as defined by this program, shall equal assets less liabilities for each owner of the business and persons borrowing for the business combined. Married individuals may divide their total net worth and assign one half of the total to each individual. If both individuals are owners of the business or borrowers, then their combined net worth must be used to determine net worth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w:t>
      </w:r>
      <w:r>
        <w:rPr>
          <w:rFonts w:ascii="Times New Roman" w:hAnsi="Times New Roman"/>
          <w:b w:val="false"/>
          <w:i w:val="false"/>
          <w:color w:val="000000"/>
          <w:sz w:val="22"/>
        </w:rPr>
        <w:t> </w:t>
      </w:r>
      <w:r>
        <w:rPr>
          <w:rFonts w:ascii="Times New Roman" w:hAnsi="Times New Roman"/>
          <w:b w:val="false"/>
          <w:i w:val="false"/>
          <w:color w:val="000000"/>
          <w:sz w:val="22"/>
        </w:rPr>
        <w:t>Proceeds of loans under this program shall be used for business expenses including land, improvements, fixtures, machinery, inventory, supplies, equipment, information technology, or licenses, or patent, trademark, or copyright fees and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w:t>
      </w:r>
      <w:r>
        <w:rPr>
          <w:rFonts w:ascii="Times New Roman" w:hAnsi="Times New Roman"/>
          <w:b w:val="false"/>
          <w:i w:val="false"/>
          <w:color w:val="000000"/>
          <w:sz w:val="22"/>
        </w:rPr>
        <w:t> </w:t>
      </w:r>
      <w:r>
        <w:rPr>
          <w:rFonts w:ascii="Times New Roman" w:hAnsi="Times New Roman"/>
          <w:b w:val="false"/>
          <w:i w:val="false"/>
          <w:color w:val="000000"/>
          <w:sz w:val="22"/>
        </w:rPr>
        <w:t>The maximum amount that a borrower or business may borrow from this program is $200,000. Once the borrower or business has received LIFT funds totaling $200,000, the borrower or business is ineligible for additional LIFT proceeds.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w:t>
      </w:r>
      <w:r>
        <w:rPr>
          <w:rFonts w:ascii="Times New Roman" w:hAnsi="Times New Roman"/>
          <w:b w:val="false"/>
          <w:i w:val="false"/>
          <w:color w:val="000000"/>
          <w:sz w:val="22"/>
        </w:rPr>
        <w:t> </w:t>
      </w:r>
      <w:r>
        <w:rPr>
          <w:rFonts w:ascii="Times New Roman" w:hAnsi="Times New Roman"/>
          <w:b w:val="false"/>
          <w:i w:val="false"/>
          <w:color w:val="000000"/>
          <w:sz w:val="22"/>
        </w:rPr>
        <w:t>Proceeds shall not be used to speculate in real estate or for real estate held for investment purposes. Proceeds shall not be used to buy real estate for the purposes of renting or leasing.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4.6(7)</w:t>
      </w:r>
      <w:r>
        <w:rPr>
          <w:rFonts w:ascii="Times New Roman" w:hAnsi="Times New Roman"/>
          <w:b w:val="false"/>
          <w:i w:val="false"/>
          <w:color w:val="000000"/>
          <w:sz w:val="22"/>
        </w:rPr>
        <w:t> </w:t>
      </w:r>
      <w:r>
        <w:rPr>
          <w:rFonts w:ascii="Times New Roman" w:hAnsi="Times New Roman"/>
          <w:b w:val="false"/>
          <w:i w:val="false"/>
          <w:color w:val="000000"/>
          <w:sz w:val="22"/>
        </w:rPr>
        <w:t>A home-based business qualifies as a LIFT small business only if the person whose home is used for operation of the small business qualifies for a tax deduction for that portion of a home used for business pursuant to regulations of the Internal Revenue Service. An applicant who wishes to borrow from the LIFT small business program, who otherwise qualifies, and who has a home-based business or wishes to begin a home-based business must establish to the satisfaction of the lender that the applicant qualifies for a tax deduction for that portion of the applicant’s home that the applicant uses or intends to use for the business pursuant to regulations of the Internal Revenue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4.6(8)</w:t>
      </w:r>
      <w:r>
        <w:rPr>
          <w:rFonts w:ascii="Times New Roman" w:hAnsi="Times New Roman"/>
          <w:b w:val="false"/>
          <w:i w:val="false"/>
          <w:color w:val="000000"/>
          <w:sz w:val="22"/>
        </w:rPr>
        <w:t> </w:t>
      </w:r>
      <w:r>
        <w:rPr>
          <w:rFonts w:ascii="Times New Roman" w:hAnsi="Times New Roman"/>
          <w:b w:val="false"/>
          <w:i w:val="false"/>
          <w:color w:val="000000"/>
          <w:sz w:val="22"/>
        </w:rPr>
        <w:t>If the business holds a class “C” liquor license, sales of liquor, beer, and wine must not exceed 20 percent of annual sales.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9214B</w:t>
      </w:r>
      <w:r>
        <w:rPr>
          <w:rFonts w:ascii="Times New Roman" w:hAnsi="Times New Roman"/>
          <w:b w:val="false"/>
          <w:i w:val="false"/>
          <w:color w:val="000000"/>
          <w:sz w:val="16"/>
        </w:rPr>
        <w:t>, IAB 11/3/10, effective 12/8/10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7">
        <w:r>
          <w:rPr>
            <w:rStyle w:val="Hyperlink"/>
            <w:rFonts w:ascii="Times New Roman" w:hAnsi="Times New Roman"/>
            <w:b w:val="false"/>
            <w:i w:val="false"/>
            <w:color w:val="000000"/>
            <w:sz w:val="22"/>
          </w:rPr>
          <w:t>12.32 to 12.43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2006 Iowa Acts, House File 2661</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11/22/89, Notice 7/26/89—published 12/13/89, effective 1/17/90]</w:t>
      </w:r>
    </w:p>
    <w:p>
      <w:pPr>
        <w:spacing w:before="0" w:after="0"/>
        <w:ind w:left="120"/>
        <w:jc w:val="center"/>
      </w:pPr>
      <w:r>
        <w:rPr>
          <w:rFonts w:ascii="Times New Roman" w:hAnsi="Times New Roman"/>
          <w:b w:val="false"/>
          <w:i w:val="false"/>
          <w:color w:val="000000"/>
          <w:sz w:val="21"/>
        </w:rPr>
        <w:t>[Filed 4/12/90, Notice 12/27/89—published 5/2/90, effective 6/6/90]</w:t>
      </w:r>
    </w:p>
    <w:p>
      <w:pPr>
        <w:spacing w:before="0" w:after="0"/>
        <w:ind w:left="120"/>
        <w:jc w:val="center"/>
      </w:pPr>
      <w:r>
        <w:rPr>
          <w:rFonts w:ascii="Times New Roman" w:hAnsi="Times New Roman"/>
          <w:b w:val="false"/>
          <w:i w:val="false"/>
          <w:color w:val="000000"/>
          <w:sz w:val="21"/>
        </w:rPr>
        <w:t>[Filed emergency 9/11/92—published 9/30/92, effective 9/11/92]</w:t>
      </w:r>
    </w:p>
    <w:p>
      <w:pPr>
        <w:spacing w:before="0" w:after="0"/>
        <w:ind w:left="120"/>
        <w:jc w:val="center"/>
      </w:pPr>
      <w:r>
        <w:rPr>
          <w:rFonts w:ascii="Times New Roman" w:hAnsi="Times New Roman"/>
          <w:b w:val="false"/>
          <w:i w:val="false"/>
          <w:color w:val="000000"/>
          <w:sz w:val="21"/>
        </w:rPr>
        <w:t>[Filed emergency 5/4/95—published 5/24/95, effective 5/5/95]</w:t>
      </w:r>
    </w:p>
    <w:p>
      <w:pPr>
        <w:spacing w:before="0" w:after="0"/>
        <w:ind w:left="120"/>
        <w:jc w:val="center"/>
      </w:pPr>
      <w:r>
        <w:rPr>
          <w:rFonts w:ascii="Times New Roman" w:hAnsi="Times New Roman"/>
          <w:b w:val="false"/>
          <w:i w:val="false"/>
          <w:color w:val="000000"/>
          <w:sz w:val="21"/>
        </w:rPr>
        <w:t>[Filed 11/17/95, Notice 10/11/95—published 12/6/95, effective 1/10/96]</w:t>
      </w:r>
    </w:p>
    <w:p>
      <w:pPr>
        <w:spacing w:before="0" w:after="0"/>
        <w:ind w:left="120"/>
        <w:jc w:val="center"/>
      </w:pPr>
      <w:r>
        <w:rPr>
          <w:rFonts w:ascii="Times New Roman" w:hAnsi="Times New Roman"/>
          <w:b w:val="false"/>
          <w:i w:val="false"/>
          <w:color w:val="000000"/>
          <w:sz w:val="21"/>
        </w:rPr>
        <w:t>[Filed emergency 6/30/97—published 7/30/97, effective 7/1/97]</w:t>
      </w:r>
    </w:p>
    <w:p>
      <w:pPr>
        <w:spacing w:before="0" w:after="0"/>
        <w:ind w:left="120"/>
        <w:jc w:val="center"/>
      </w:pPr>
      <w:r>
        <w:rPr>
          <w:rFonts w:ascii="Times New Roman" w:hAnsi="Times New Roman"/>
          <w:b w:val="false"/>
          <w:i w:val="false"/>
          <w:color w:val="000000"/>
          <w:sz w:val="21"/>
        </w:rPr>
        <w:t>[Filed emergency 6/25/99—published 7/14/99, effective 6/25/99]</w:t>
      </w:r>
    </w:p>
    <w:p>
      <w:pPr>
        <w:spacing w:before="0" w:after="0"/>
        <w:ind w:left="120"/>
        <w:jc w:val="center"/>
      </w:pPr>
      <w:r>
        <w:rPr>
          <w:rFonts w:ascii="Times New Roman" w:hAnsi="Times New Roman"/>
          <w:b w:val="false"/>
          <w:i w:val="false"/>
          <w:color w:val="000000"/>
          <w:sz w:val="21"/>
        </w:rPr>
        <w:t>[Filed emergency 12/8/99 after Notice 11/3/99—published 12/29/99, effective 12/10/99]</w:t>
      </w:r>
    </w:p>
    <w:p>
      <w:pPr>
        <w:spacing w:before="0" w:after="0"/>
        <w:ind w:left="120"/>
        <w:jc w:val="center"/>
      </w:pPr>
      <w:r>
        <w:rPr>
          <w:rFonts w:ascii="Times New Roman" w:hAnsi="Times New Roman"/>
          <w:b w:val="false"/>
          <w:i w:val="false"/>
          <w:color w:val="000000"/>
          <w:sz w:val="21"/>
        </w:rPr>
        <w:t>[Filed emergency 1/14/00—published 2/9/00, effective 1/18/00]</w:t>
      </w:r>
    </w:p>
    <w:p>
      <w:pPr>
        <w:spacing w:before="0" w:after="0"/>
        <w:ind w:left="120"/>
        <w:jc w:val="center"/>
      </w:pPr>
      <w:r>
        <w:rPr>
          <w:rFonts w:ascii="Times New Roman" w:hAnsi="Times New Roman"/>
          <w:b w:val="false"/>
          <w:i w:val="false"/>
          <w:color w:val="000000"/>
          <w:sz w:val="21"/>
        </w:rPr>
        <w:t>[Filed emergency 8/23/06—published 9/13/06, effective 11/1/06]</w:t>
      </w:r>
    </w:p>
    <w:p>
      <w:pPr>
        <w:spacing w:before="0" w:after="0"/>
        <w:ind w:left="120"/>
        <w:jc w:val="center"/>
      </w:pPr>
      <w:r>
        <w:rPr>
          <w:rFonts w:ascii="Times New Roman" w:hAnsi="Times New Roman"/>
          <w:b w:val="false"/>
          <w:i w:val="false"/>
          <w:color w:val="000000"/>
          <w:sz w:val="21"/>
        </w:rPr>
        <w:t>[Filed ARC 9214B</w:t>
      </w:r>
      <w:r>
        <w:rPr>
          <w:rFonts w:ascii="Times New Roman" w:hAnsi="Times New Roman"/>
          <w:b w:val="false"/>
          <w:i w:val="false"/>
          <w:color w:val="000000"/>
          <w:sz w:val="21"/>
        </w:rPr>
        <w:t xml:space="preserve"> (Notice ARC 9039B, IAB 9/8/10)</w:t>
      </w:r>
      <w:r>
        <w:rPr>
          <w:rFonts w:ascii="Times New Roman" w:hAnsi="Times New Roman"/>
          <w:b w:val="false"/>
          <w:i w:val="false"/>
          <w:color w:val="000000"/>
          <w:sz w:val="21"/>
        </w:rPr>
        <w:t>, IAB 11/3/10, effective 12/8/10]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32.pdf" Type="http://schemas.openxmlformats.org/officeDocument/2006/relationships/hyperlink" Id="rId5"/>
    <Relationship TargetMode="External" Target="https://www.legis.iowa.gov/docs/ico/chapter/12.32.pdf" Type="http://schemas.openxmlformats.org/officeDocument/2006/relationships/hyperlink" Id="rId6"/>
    <Relationship TargetMode="External" Target="https://www.legis.iowa.gov/docs/ico/chapter/12C.pdf" Type="http://schemas.openxmlformats.org/officeDocument/2006/relationships/hyperlink" Id="rId7"/>
    <Relationship TargetMode="External" Target="https://www.legis.iowa.gov/docs/ico/chapter/12.31-43.pdf" Type="http://schemas.openxmlformats.org/officeDocument/2006/relationships/hyperlink" Id="rId8"/>
    <Relationship TargetMode="External" Target="https://www.legis.iowa.gov/docs/ico/chapter/12C.pdf" Type="http://schemas.openxmlformats.org/officeDocument/2006/relationships/hyperlink" Id="rId9"/>
    <Relationship TargetMode="External" Target="https://www.legis.iowa.gov/docs/iac/chapter/781.3.pdf" Type="http://schemas.openxmlformats.org/officeDocument/2006/relationships/hyperlink" Id="rId10"/>
    <Relationship TargetMode="External" Target="https://www.legis.iowa.gov/docs/iac/chapter/781.4.pdf" Type="http://schemas.openxmlformats.org/officeDocument/2006/relationships/hyperlink" Id="rId11"/>
    <Relationship TargetMode="External" Target="https://www.legis.iowa.gov/docs/iac/chapter/781.13.pdf" Type="http://schemas.openxmlformats.org/officeDocument/2006/relationships/hyperlink" Id="rId12"/>
    <Relationship TargetMode="External" Target="https://www.legis.iowa.gov/docs/iac/chapter/781.14.pdf" Type="http://schemas.openxmlformats.org/officeDocument/2006/relationships/hyperlink" Id="rId13"/>
    <Relationship TargetMode="External" Target="https://www.legis.iowa.gov/docs/iac/rule/781.4.3.pdf" Type="http://schemas.openxmlformats.org/officeDocument/2006/relationships/hyperlink" Id="rId14"/>
    <Relationship TargetMode="External" Target="https://www.legis.iowa.gov/docs/ico/chapter/12C.pdf" Type="http://schemas.openxmlformats.org/officeDocument/2006/relationships/hyperlink" Id="rId15"/>
    <Relationship TargetMode="External" Target="https://www.legis.iowa.gov/docs/iac/rule/781.4.6.pdf" Type="http://schemas.openxmlformats.org/officeDocument/2006/relationships/hyperlink" Id="rId16"/>
    <Relationship TargetMode="External" Target="https://www.legis.iowa.gov/docs/ico/chapter/12.32-43.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