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IOWA EDUCATIONAL SAVINGS PLAN TRUST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781—16.1</w:t>
      </w:r>
      <w:r>
        <w:rPr>
          <w:rFonts w:ascii="Times New Roman" w:hAnsi="Times New Roman"/>
          <w:b/>
          <w:i w:val="false"/>
          <w:color w:val="000000"/>
          <w:sz w:val="22"/>
        </w:rPr>
        <w:t xml:space="preserve">(12D)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these rules is to provide for the administration and operation of the Iowa educational savings plan trust.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781—16.2</w:t>
      </w:r>
      <w:r>
        <w:rPr>
          <w:rFonts w:ascii="Times New Roman" w:hAnsi="Times New Roman"/>
          <w:b/>
          <w:i w:val="false"/>
          <w:color w:val="000000"/>
          <w:sz w:val="22"/>
        </w:rPr>
        <w:t xml:space="preserve">(12D)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terms defined in Iowa Code section </w:t>
      </w:r>
      <w:hyperlink r:id="rId5">
        <w:r>
          <w:rPr>
            <w:rStyle w:val="Hyperlink"/>
            <w:rFonts w:ascii="Times New Roman" w:hAnsi="Times New Roman"/>
            <w:b w:val="false"/>
            <w:i w:val="false"/>
            <w:color w:val="000000"/>
            <w:sz w:val="22"/>
          </w:rPr>
          <w:t>12D.1</w:t>
        </w:r>
      </w:hyperlink>
      <w:r>
        <w:rPr>
          <w:rFonts w:ascii="Times New Roman" w:hAnsi="Times New Roman"/>
          <w:b w:val="false"/>
          <w:i w:val="false"/>
          <w:color w:val="000000"/>
          <w:sz w:val="22"/>
        </w:rPr>
        <w:t>, the following terms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“ABLE account” </w:t>
      </w:r>
      <w:r>
        <w:rPr>
          <w:rFonts w:ascii="Times New Roman" w:hAnsi="Times New Roman"/>
          <w:b w:val="false"/>
          <w:i w:val="false"/>
          <w:color w:val="000000"/>
          <w:sz w:val="22"/>
        </w:rPr>
        <w:t>means an account as defined in Section 529A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“Account” </w:t>
      </w:r>
      <w:r>
        <w:rPr>
          <w:rFonts w:ascii="Times New Roman" w:hAnsi="Times New Roman"/>
          <w:b w:val="false"/>
          <w:i w:val="false"/>
          <w:color w:val="000000"/>
          <w:sz w:val="22"/>
        </w:rPr>
        <w:t>means an account established and maintained under the Iowa educational savings plan trust for a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“Account balance” </w:t>
      </w:r>
      <w:r>
        <w:rPr>
          <w:rFonts w:ascii="Times New Roman" w:hAnsi="Times New Roman"/>
          <w:b w:val="false"/>
          <w:i w:val="false"/>
          <w:color w:val="000000"/>
          <w:sz w:val="22"/>
        </w:rPr>
        <w:t>means the fair market value of an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“Account balance limit” </w:t>
      </w:r>
      <w:r>
        <w:rPr>
          <w:rFonts w:ascii="Times New Roman" w:hAnsi="Times New Roman"/>
          <w:b w:val="false"/>
          <w:i w:val="false"/>
          <w:color w:val="000000"/>
          <w:sz w:val="22"/>
        </w:rPr>
        <w:t>means the amount determined periodically by the program administrator as necessary to provide for the qualified higher education expenses of a beneficiary in accordance with Section 529. The account balance limit shall apply to the total of all accounts in the plans for the benefit of a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“Account owner” </w:t>
      </w:r>
      <w:r>
        <w:rPr>
          <w:rFonts w:ascii="Times New Roman" w:hAnsi="Times New Roman"/>
          <w:b w:val="false"/>
          <w:i w:val="false"/>
          <w:color w:val="000000"/>
          <w:sz w:val="22"/>
        </w:rPr>
        <w:t xml:space="preserve">means the same as “participant” as defined in Iowa Code section </w:t>
      </w:r>
      <w:hyperlink r:id="rId6">
        <w:r>
          <w:rPr>
            <w:rStyle w:val="Hyperlink"/>
            <w:rFonts w:ascii="Times New Roman" w:hAnsi="Times New Roman"/>
            <w:b w:val="false"/>
            <w:i w:val="false"/>
            <w:color w:val="000000"/>
            <w:sz w:val="22"/>
          </w:rPr>
          <w:t>12D.1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“Adjusted maximum annual amount” </w:t>
      </w:r>
      <w:r>
        <w:rPr>
          <w:rFonts w:ascii="Times New Roman" w:hAnsi="Times New Roman"/>
          <w:b w:val="false"/>
          <w:i w:val="false"/>
          <w:color w:val="000000"/>
          <w:sz w:val="22"/>
        </w:rPr>
        <w:t xml:space="preserve">means the amount that an account owner may annually contribute to an account for a beneficiary and deduct from Iowa income taxes pursuant to Iowa Code chapter </w:t>
      </w:r>
      <w:hyperlink r:id="rId7">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“Beneficiary” </w:t>
      </w:r>
      <w:r>
        <w:rPr>
          <w:rFonts w:ascii="Times New Roman" w:hAnsi="Times New Roman"/>
          <w:b w:val="false"/>
          <w:i w:val="false"/>
          <w:color w:val="000000"/>
          <w:sz w:val="22"/>
        </w:rPr>
        <w:t>means the individual designated as the beneficiary of an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means any party retained by the program administrator to assist in the day-to-day operations of a plan, including record-keeping, investment advisory and administrative services. The program administrator may delegate any responsibilities with respect to day-to-day operations of a plan to one or more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“Contribution” </w:t>
      </w:r>
      <w:r>
        <w:rPr>
          <w:rFonts w:ascii="Times New Roman" w:hAnsi="Times New Roman"/>
          <w:b w:val="false"/>
          <w:i w:val="false"/>
          <w:color w:val="000000"/>
          <w:sz w:val="22"/>
        </w:rPr>
        <w:t>means an amount contributed to an account in accordance with the Internal Revenue Code, these rules and the applicable program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educational institution” </w:t>
      </w:r>
      <w:r>
        <w:rPr>
          <w:rFonts w:ascii="Times New Roman" w:hAnsi="Times New Roman"/>
          <w:b w:val="false"/>
          <w:i w:val="false"/>
          <w:color w:val="000000"/>
          <w:sz w:val="22"/>
        </w:rPr>
        <w:t>means an eligible educational institution as defined in Section 529.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 IAdvisor 529 plan” </w:t>
      </w:r>
      <w:r>
        <w:rPr>
          <w:rFonts w:ascii="Times New Roman" w:hAnsi="Times New Roman"/>
          <w:b w:val="false"/>
          <w:i w:val="false"/>
          <w:color w:val="000000"/>
          <w:sz w:val="22"/>
        </w:rPr>
        <w:t>means the name and logo registered to represent the advisor-sold plan under the Iowa educational savings plan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“Internal Revenue Code” </w:t>
      </w:r>
      <w:r>
        <w:rPr>
          <w:rFonts w:ascii="Times New Roman" w:hAnsi="Times New Roman"/>
          <w:b w:val="false"/>
          <w:i w:val="false"/>
          <w:color w:val="000000"/>
          <w:sz w:val="22"/>
        </w:rPr>
        <w:t>means the Internal Revenue Code as effective on July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“ISave 529” </w:t>
      </w:r>
      <w:r>
        <w:rPr>
          <w:rFonts w:ascii="Times New Roman" w:hAnsi="Times New Roman"/>
          <w:b w:val="false"/>
          <w:i w:val="false"/>
          <w:color w:val="000000"/>
          <w:sz w:val="22"/>
        </w:rPr>
        <w:t>means the name and logo registered under Iowa law to represent the direct-sold plan under the Iowa educational savings plan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“K-12 institution” </w:t>
      </w:r>
      <w:r>
        <w:rPr>
          <w:rFonts w:ascii="Times New Roman" w:hAnsi="Times New Roman"/>
          <w:b w:val="false"/>
          <w:i w:val="false"/>
          <w:color w:val="000000"/>
          <w:sz w:val="22"/>
        </w:rPr>
        <w:t>means any elementary or secondary public, private, or religious school as defined in Section 529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of the family” </w:t>
      </w:r>
      <w:r>
        <w:rPr>
          <w:rFonts w:ascii="Times New Roman" w:hAnsi="Times New Roman"/>
          <w:b w:val="false"/>
          <w:i w:val="false"/>
          <w:color w:val="000000"/>
          <w:sz w:val="22"/>
        </w:rPr>
        <w:t>means a member of the family as defined in Section 529, except that for a qualified rollover to an ABLE account, “member of the family” shall mean as defined in Section 529A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“Nonqualified withdrawal” </w:t>
      </w:r>
      <w:r>
        <w:rPr>
          <w:rFonts w:ascii="Times New Roman" w:hAnsi="Times New Roman"/>
          <w:b w:val="false"/>
          <w:i w:val="false"/>
          <w:color w:val="000000"/>
          <w:sz w:val="22"/>
        </w:rPr>
        <w:t>means a withdrawal from an account that is not a qualified withdrawal or a qualified rollover.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“Participation agreement” </w:t>
      </w:r>
      <w:r>
        <w:rPr>
          <w:rFonts w:ascii="Times New Roman" w:hAnsi="Times New Roman"/>
          <w:b w:val="false"/>
          <w:i w:val="false"/>
          <w:color w:val="000000"/>
          <w:sz w:val="22"/>
        </w:rPr>
        <w:t>means the form that the account owner submits to the plan to identify the account owner, beneficiary, plan, and other information that may be requested by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w:t>
      </w:r>
      <w:r>
        <w:rPr>
          <w:rFonts w:ascii="Times New Roman" w:hAnsi="Times New Roman"/>
          <w:b w:val="false"/>
          <w:i w:val="false"/>
          <w:color w:val="000000"/>
          <w:sz w:val="22"/>
        </w:rPr>
        <w:t>means either (1) ISave 529, (2) IAdvisor 529 plan, or (3) any other college savings plan established by the program administrator under the Iowa educational savings plan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administrator” </w:t>
      </w:r>
      <w:r>
        <w:rPr>
          <w:rFonts w:ascii="Times New Roman" w:hAnsi="Times New Roman"/>
          <w:b w:val="false"/>
          <w:i w:val="false"/>
          <w:color w:val="000000"/>
          <w:sz w:val="22"/>
        </w:rPr>
        <w:t>means the treasurer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description” </w:t>
      </w:r>
      <w:r>
        <w:rPr>
          <w:rFonts w:ascii="Times New Roman" w:hAnsi="Times New Roman"/>
          <w:b w:val="false"/>
          <w:i w:val="false"/>
          <w:color w:val="000000"/>
          <w:sz w:val="22"/>
        </w:rPr>
        <w:t>means the description of each plan provided to account owners setting forth information with respect to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higher education expenses” </w:t>
      </w:r>
      <w:r>
        <w:rPr>
          <w:rFonts w:ascii="Times New Roman" w:hAnsi="Times New Roman"/>
          <w:b w:val="false"/>
          <w:i w:val="false"/>
          <w:color w:val="000000"/>
          <w:sz w:val="22"/>
        </w:rPr>
        <w:t>means qualified higher education expenses as defined in Section 529. Any reference to qualified higher education expenses includes a reference to expenses for tuition in connection with enrollment or attendance at an elementary or secondary public, private or religious school as defined in Section 529.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rollover” </w:t>
      </w:r>
      <w:r>
        <w:rPr>
          <w:rFonts w:ascii="Times New Roman" w:hAnsi="Times New Roman"/>
          <w:b w:val="false"/>
          <w:i w:val="false"/>
          <w:color w:val="000000"/>
          <w:sz w:val="22"/>
        </w:rPr>
        <w:t>means a distribution of amounts from a plan, which, within 60 days of such distribution, is transferred: (1) to another qualified tuition program for the benefit of the same beneficiary, provided that it has been at least 12 months from the date of a previous transfer to a qualified tuition program for that beneficiary; (2) to another qualified tuition program (or an account in another plan) for the benefit of a member of the family of the beneficiary; or (3) to an ABLE account for the beneficiary or member of the family of the beneficiary, subject to ABLE account contribution limits. “Qualified rollover” also means a distribution from a plan made in a direct transfer-to-trustee transfer to a Roth IRA in accordance with the rules under 529(c)(3)(E)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withdrawal” </w:t>
      </w:r>
      <w:r>
        <w:rPr>
          <w:rFonts w:ascii="Times New Roman" w:hAnsi="Times New Roman"/>
          <w:b w:val="false"/>
          <w:i w:val="false"/>
          <w:color w:val="000000"/>
          <w:sz w:val="22"/>
        </w:rPr>
        <w:t>means a withdrawal from an account used to pay qualified higher education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“Section 529” </w:t>
      </w:r>
      <w:r>
        <w:rPr>
          <w:rFonts w:ascii="Times New Roman" w:hAnsi="Times New Roman"/>
          <w:b w:val="false"/>
          <w:i w:val="false"/>
          <w:color w:val="000000"/>
          <w:sz w:val="22"/>
        </w:rPr>
        <w:t>means Section 529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“Successor account owner” </w:t>
      </w:r>
      <w:r>
        <w:rPr>
          <w:rFonts w:ascii="Times New Roman" w:hAnsi="Times New Roman"/>
          <w:b w:val="false"/>
          <w:i w:val="false"/>
          <w:color w:val="000000"/>
          <w:sz w:val="22"/>
        </w:rPr>
        <w:t xml:space="preserve">means a successor to the ownership of an account designated as such in accordance with rule </w:t>
      </w:r>
      <w:hyperlink r:id="rId8">
        <w:r>
          <w:rPr>
            <w:rStyle w:val="Hyperlink"/>
            <w:rFonts w:ascii="Times New Roman" w:hAnsi="Times New Roman"/>
            <w:b w:val="false"/>
            <w:i w:val="false"/>
            <w:color w:val="000000"/>
            <w:sz w:val="22"/>
          </w:rPr>
          <w:t>781—16.10</w:t>
        </w:r>
      </w:hyperlink>
      <w:r>
        <w:rPr>
          <w:rFonts w:ascii="Times New Roman" w:hAnsi="Times New Roman"/>
          <w:b w:val="false"/>
          <w:i w:val="false"/>
          <w:color w:val="000000"/>
          <w:sz w:val="22"/>
        </w:rPr>
        <w:t>(12D) and the applicable program description.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8845C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781—16.3</w:t>
      </w:r>
      <w:r>
        <w:rPr>
          <w:rFonts w:ascii="Times New Roman" w:hAnsi="Times New Roman"/>
          <w:b/>
          <w:i w:val="false"/>
          <w:color w:val="000000"/>
          <w:sz w:val="22"/>
        </w:rPr>
        <w:t xml:space="preserve">(12D) </w:t>
      </w:r>
      <w:r>
        <w:rPr>
          <w:rFonts w:ascii="Times New Roman" w:hAnsi="Times New Roman"/>
          <w:b/>
          <w:i w:val="false"/>
          <w:color w:val="000000"/>
          <w:sz w:val="22"/>
        </w:rPr>
        <w:t xml:space="preserve">Participation agreement and program description. </w:t>
      </w:r>
      <w:r>
        <w:rPr>
          <w:rFonts w:ascii="Times New Roman" w:hAnsi="Times New Roman"/>
          <w:b w:val="false"/>
          <w:i w:val="false"/>
          <w:color w:val="000000"/>
          <w:sz w:val="22"/>
        </w:rPr>
        <w:t>The following material shall be used to administer the Iowa educational savings plan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w:t>
      </w:r>
      <w:r>
        <w:rPr>
          <w:rFonts w:ascii="Times New Roman" w:hAnsi="Times New Roman"/>
          <w:b w:val="false"/>
          <w:i w:val="false"/>
          <w:color w:val="000000"/>
          <w:sz w:val="22"/>
        </w:rPr>
        <w:t> </w:t>
      </w:r>
      <w:r>
        <w:rPr>
          <w:rFonts w:ascii="Times New Roman" w:hAnsi="Times New Roman"/>
          <w:b w:val="false"/>
          <w:i w:val="false"/>
          <w:color w:val="000000"/>
          <w:sz w:val="22"/>
        </w:rPr>
        <w:t>Each account owner shall submit a participation agreement in order to open an account. The participation agreement shall be signed and dated by the account owner to verify that the account owner agrees to the terms and conditions of the program. For online applications, the account owner must confirm that the account owner has read the terms and conditions prior to submitting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w:t>
      </w:r>
      <w:r>
        <w:rPr>
          <w:rFonts w:ascii="Times New Roman" w:hAnsi="Times New Roman"/>
          <w:b w:val="false"/>
          <w:i w:val="false"/>
          <w:color w:val="000000"/>
          <w:sz w:val="22"/>
        </w:rPr>
        <w:t> </w:t>
      </w:r>
      <w:r>
        <w:rPr>
          <w:rFonts w:ascii="Times New Roman" w:hAnsi="Times New Roman"/>
          <w:b w:val="false"/>
          <w:i w:val="false"/>
          <w:color w:val="000000"/>
          <w:sz w:val="22"/>
        </w:rPr>
        <w:t>Each plan will have a program description setting forth the terms of the plan and describing the investments, procedures and fees applicable to that plan. Each program description shall also set forth the privacy policy adopted by the program administrator for that plan. Persons interested in a plan should consult the program description. A program description may be changed at any time by the program administrator, and any such change may impact the rights of account owners and beneficiaries under the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8845C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781—16.4</w:t>
      </w:r>
      <w:r>
        <w:rPr>
          <w:rFonts w:ascii="Times New Roman" w:hAnsi="Times New Roman"/>
          <w:b/>
          <w:i w:val="false"/>
          <w:color w:val="000000"/>
          <w:sz w:val="22"/>
        </w:rPr>
        <w:t xml:space="preserve">(12D) </w:t>
      </w:r>
      <w:r>
        <w:rPr>
          <w:rFonts w:ascii="Times New Roman" w:hAnsi="Times New Roman"/>
          <w:b/>
          <w:i w:val="false"/>
          <w:color w:val="000000"/>
          <w:sz w:val="22"/>
        </w:rPr>
        <w:t xml:space="preserve">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w:t>
      </w:r>
      <w:r>
        <w:rPr>
          <w:rFonts w:ascii="Times New Roman" w:hAnsi="Times New Roman"/>
          <w:b w:val="false"/>
          <w:i w:val="false"/>
          <w:color w:val="000000"/>
          <w:sz w:val="22"/>
        </w:rPr>
        <w:t> </w:t>
      </w:r>
      <w:r>
        <w:rPr>
          <w:rFonts w:ascii="Times New Roman" w:hAnsi="Times New Roman"/>
          <w:b w:val="false"/>
          <w:i w:val="false"/>
          <w:color w:val="000000"/>
          <w:sz w:val="22"/>
        </w:rPr>
        <w:t xml:space="preserve">Appropriate forms must be completed on paper, online or via telephone (whichever is applicable for the requested actions) to perform the actions listed below. Current forms are available online at </w:t>
      </w:r>
      <w:hyperlink r:id="rId9">
        <w:r>
          <w:rPr>
            <w:rStyle w:val="Hyperlink"/>
            <w:rFonts w:ascii="Times New Roman" w:hAnsi="Times New Roman"/>
            <w:b w:val="false"/>
            <w:i w:val="false"/>
            <w:color w:val="000000"/>
            <w:sz w:val="22"/>
            <w:u w:val="single"/>
          </w:rPr>
          <w:t>ISave529.com</w:t>
        </w:r>
      </w:hyperlink>
      <w:r>
        <w:rPr>
          <w:rFonts w:ascii="Times New Roman" w:hAnsi="Times New Roman"/>
          <w:b w:val="false"/>
          <w:i w:val="false"/>
          <w:color w:val="000000"/>
          <w:sz w:val="22"/>
        </w:rPr>
        <w:t xml:space="preserve"> for ISave 529 and at </w:t>
      </w:r>
      <w:hyperlink r:id="rId10">
        <w:r>
          <w:rPr>
            <w:rStyle w:val="Hyperlink"/>
            <w:rFonts w:ascii="Times New Roman" w:hAnsi="Times New Roman"/>
            <w:b w:val="false"/>
            <w:i w:val="false"/>
            <w:color w:val="000000"/>
            <w:sz w:val="22"/>
            <w:u w:val="single"/>
          </w:rPr>
          <w:t>www.iowaadvisor529.com</w:t>
        </w:r>
      </w:hyperlink>
      <w:r>
        <w:rPr>
          <w:rFonts w:ascii="Times New Roman" w:hAnsi="Times New Roman"/>
          <w:b w:val="false"/>
          <w:i w:val="false"/>
          <w:color w:val="000000"/>
          <w:sz w:val="22"/>
        </w:rPr>
        <w:t xml:space="preserve"> for the IAdvisor 529 plan. Actions that require the completion of an appropriate form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Open or close an account.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Account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Update the account owner or beneficiary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 the beneficiary.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 change or remove a successor or interested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Transfer ownership rights of an account to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Investment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Exchange existing investments.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Change the direction of future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Contribution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 delete or change automatic investments or payroll deduction.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 delete or change banking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Establish or make an electronic bank transfer or an additional purchase by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Transfer funds from a qualified U.S. savings bond, education savings account or another 529 plan (directly or indirectly).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Withdrawals.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 full or partial 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a qualified rollover.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 delete or change an authorized agent, limited power of attorney or power of attorney on an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Authorize or change a financial advisor or agent who can obtain information regarding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the current trustee of a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Identify officers of an organization who can act upon an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16.4(2)</w:t>
      </w:r>
      <w:r>
        <w:rPr>
          <w:rFonts w:ascii="Times New Roman" w:hAnsi="Times New Roman"/>
          <w:b w:val="false"/>
          <w:i w:val="false"/>
          <w:color w:val="000000"/>
          <w:sz w:val="22"/>
        </w:rPr>
        <w:t> </w:t>
      </w:r>
      <w:r>
        <w:rPr>
          <w:rFonts w:ascii="Times New Roman" w:hAnsi="Times New Roman"/>
          <w:b w:val="false"/>
          <w:i w:val="false"/>
          <w:color w:val="000000"/>
          <w:sz w:val="22"/>
        </w:rPr>
        <w:t>The contractor may from time to time provide additional forms for use by account owners and beneficiaries in connection with actions involving a plan and will make those forms available online and in paper format and may authorize substitute forms for a plan or a process in lieu of existing forms.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8845C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781—16.5</w:t>
      </w:r>
      <w:r>
        <w:rPr>
          <w:rFonts w:ascii="Times New Roman" w:hAnsi="Times New Roman"/>
          <w:b/>
          <w:i w:val="false"/>
          <w:color w:val="000000"/>
          <w:sz w:val="22"/>
        </w:rPr>
        <w:t xml:space="preserve">(12D) </w:t>
      </w:r>
      <w:r>
        <w:rPr>
          <w:rFonts w:ascii="Times New Roman" w:hAnsi="Times New Roman"/>
          <w:b/>
          <w:i w:val="false"/>
          <w:color w:val="000000"/>
          <w:sz w:val="22"/>
        </w:rPr>
        <w:t xml:space="preserve">Account owner eligibility. </w:t>
      </w:r>
      <w:r>
        <w:rPr>
          <w:rFonts w:ascii="Times New Roman" w:hAnsi="Times New Roman"/>
          <w:b w:val="false"/>
          <w:i w:val="false"/>
          <w:color w:val="000000"/>
          <w:sz w:val="22"/>
        </w:rPr>
        <w:t>Account owners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w:t>
      </w:r>
      <w:r>
        <w:rPr>
          <w:rFonts w:ascii="Times New Roman" w:hAnsi="Times New Roman"/>
          <w:b w:val="false"/>
          <w:i w:val="false"/>
          <w:color w:val="000000"/>
          <w:sz w:val="22"/>
        </w:rPr>
        <w:t> </w:t>
      </w:r>
      <w:r>
        <w:rPr>
          <w:rFonts w:ascii="Times New Roman" w:hAnsi="Times New Roman"/>
          <w:b w:val="false"/>
          <w:i w:val="false"/>
          <w:color w:val="000000"/>
          <w:sz w:val="22"/>
        </w:rPr>
        <w:t>The account owner must be an individual, individual’s legal representative, trust, estate, or an organization described in Section 501(c)(3) of the Internal Revenue Code and exempt from taxation under Section 501(a)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w:t>
      </w:r>
      <w:r>
        <w:rPr>
          <w:rFonts w:ascii="Times New Roman" w:hAnsi="Times New Roman"/>
          <w:b w:val="false"/>
          <w:i w:val="false"/>
          <w:color w:val="000000"/>
          <w:sz w:val="22"/>
        </w:rPr>
        <w:t> </w:t>
      </w:r>
      <w:r>
        <w:rPr>
          <w:rFonts w:ascii="Times New Roman" w:hAnsi="Times New Roman"/>
          <w:b w:val="false"/>
          <w:i w:val="false"/>
          <w:color w:val="000000"/>
          <w:sz w:val="22"/>
        </w:rPr>
        <w:t>An individual account owner must be at least 18 years old and a United States citizen or resident alien with a valid social security number or tax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16.5(3)</w:t>
      </w:r>
      <w:r>
        <w:rPr>
          <w:rFonts w:ascii="Times New Roman" w:hAnsi="Times New Roman"/>
          <w:b w:val="false"/>
          <w:i w:val="false"/>
          <w:color w:val="000000"/>
          <w:sz w:val="22"/>
        </w:rPr>
        <w:t> </w:t>
      </w:r>
      <w:r>
        <w:rPr>
          <w:rFonts w:ascii="Times New Roman" w:hAnsi="Times New Roman"/>
          <w:b w:val="false"/>
          <w:i w:val="false"/>
          <w:color w:val="000000"/>
          <w:sz w:val="22"/>
        </w:rPr>
        <w:t>An account owner shall execute a participation agreement that specifies the plan selected by the account owner and the terms and conditions under which the account owner shall participate in the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16.5(4)</w:t>
      </w:r>
      <w:r>
        <w:rPr>
          <w:rFonts w:ascii="Times New Roman" w:hAnsi="Times New Roman"/>
          <w:b w:val="false"/>
          <w:i w:val="false"/>
          <w:color w:val="000000"/>
          <w:sz w:val="22"/>
        </w:rPr>
        <w:t> </w:t>
      </w:r>
      <w:r>
        <w:rPr>
          <w:rFonts w:ascii="Times New Roman" w:hAnsi="Times New Roman"/>
          <w:b w:val="false"/>
          <w:i w:val="false"/>
          <w:color w:val="000000"/>
          <w:sz w:val="22"/>
        </w:rPr>
        <w:t>An account owner shall, on signing a participation agreement, provide the plan with the account owner’s social security number or tax identification number and the other information required on the participant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16.5(5)</w:t>
      </w:r>
      <w:r>
        <w:rPr>
          <w:rFonts w:ascii="Times New Roman" w:hAnsi="Times New Roman"/>
          <w:b w:val="false"/>
          <w:i w:val="false"/>
          <w:color w:val="000000"/>
          <w:sz w:val="22"/>
        </w:rPr>
        <w:t> </w:t>
      </w:r>
      <w:r>
        <w:rPr>
          <w:rFonts w:ascii="Times New Roman" w:hAnsi="Times New Roman"/>
          <w:b w:val="false"/>
          <w:i w:val="false"/>
          <w:color w:val="000000"/>
          <w:sz w:val="22"/>
        </w:rPr>
        <w:t>Account owners that are trusts must submit evidence that the individual trustee is so authorized and agrees to the terms and conditions of the participation agreement and must provide the information requested by the program administrator. Account owners that are described in Section 501(c)(3) of the Internal Revenue Code must provide their tax identification number and any other information requested by the program administrator.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8845C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781—16.6</w:t>
      </w:r>
      <w:r>
        <w:rPr>
          <w:rFonts w:ascii="Times New Roman" w:hAnsi="Times New Roman"/>
          <w:b/>
          <w:i w:val="false"/>
          <w:color w:val="000000"/>
          <w:sz w:val="22"/>
        </w:rPr>
        <w:t xml:space="preserve">(12D) </w:t>
      </w:r>
      <w:r>
        <w:rPr>
          <w:rFonts w:ascii="Times New Roman" w:hAnsi="Times New Roman"/>
          <w:b/>
          <w:i w:val="false"/>
          <w:color w:val="000000"/>
          <w:sz w:val="22"/>
        </w:rPr>
        <w:t xml:space="preserve">Beneficiary eligibility. </w:t>
      </w:r>
      <w:r>
        <w:rPr>
          <w:rFonts w:ascii="Times New Roman" w:hAnsi="Times New Roman"/>
          <w:b w:val="false"/>
          <w:i w:val="false"/>
          <w:color w:val="000000"/>
          <w:sz w:val="22"/>
        </w:rPr>
        <w:t>A beneficiary of a participation agreement may be designated at any time after birth and assignment of a social security number. This rule establishes the eligibility criteria for a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w:t>
      </w:r>
      <w:r>
        <w:rPr>
          <w:rFonts w:ascii="Times New Roman" w:hAnsi="Times New Roman"/>
          <w:b w:val="false"/>
          <w:i w:val="false"/>
          <w:color w:val="000000"/>
          <w:sz w:val="22"/>
        </w:rPr>
        <w:t> </w:t>
      </w:r>
      <w:r>
        <w:rPr>
          <w:rFonts w:ascii="Times New Roman" w:hAnsi="Times New Roman"/>
          <w:b w:val="false"/>
          <w:i w:val="false"/>
          <w:color w:val="000000"/>
          <w:sz w:val="22"/>
        </w:rPr>
        <w:t>A beneficiary may be a resident of any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w:t>
      </w:r>
      <w:r>
        <w:rPr>
          <w:rFonts w:ascii="Times New Roman" w:hAnsi="Times New Roman"/>
          <w:b w:val="false"/>
          <w:i w:val="false"/>
          <w:color w:val="000000"/>
          <w:sz w:val="22"/>
        </w:rPr>
        <w:t> </w:t>
      </w:r>
      <w:r>
        <w:rPr>
          <w:rFonts w:ascii="Times New Roman" w:hAnsi="Times New Roman"/>
          <w:b w:val="false"/>
          <w:i w:val="false"/>
          <w:color w:val="000000"/>
          <w:sz w:val="22"/>
        </w:rPr>
        <w:t>An account owner shall, on signing a participation agreement, provide the contractor a valid social security number for the beneficiary.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8845C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781—16.7</w:t>
      </w:r>
      <w:r>
        <w:rPr>
          <w:rFonts w:ascii="Times New Roman" w:hAnsi="Times New Roman"/>
          <w:b/>
          <w:i w:val="false"/>
          <w:color w:val="000000"/>
          <w:sz w:val="22"/>
        </w:rPr>
        <w:t xml:space="preserve">(12D) </w:t>
      </w:r>
      <w:r>
        <w:rPr>
          <w:rFonts w:ascii="Times New Roman" w:hAnsi="Times New Roman"/>
          <w:b/>
          <w:i w:val="false"/>
          <w:color w:val="000000"/>
          <w:sz w:val="22"/>
        </w:rPr>
        <w:t xml:space="preserve">Program administrator rights and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16.7(1)</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reserves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Freeze an account or suspend account services or do both when a plan has received reasonable notice of a dispute regarding the assets in an account, including notice of a dispute in account ownership or when the plan reasonably believes a fraudulent transaction may occur or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Freeze an account or suspend account services or do both upon the notification to the plan of the death of an account owner until the plan receives required documentation in good order and reasonably believes that it is lawful to transfer the account ownership to the successor account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Redeem an account, without the account owner’s permission, in cases of threatening conduct or suspicious, fraudulent, or illegal activity;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Reject a contribution for any reason, including contributions that the plan believes are not in the best interests of the plan, a portfolio, or the account owners.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16.7(2)</w:t>
      </w:r>
      <w:r>
        <w:rPr>
          <w:rFonts w:ascii="Times New Roman" w:hAnsi="Times New Roman"/>
          <w:b w:val="false"/>
          <w:i w:val="false"/>
          <w:color w:val="000000"/>
          <w:sz w:val="22"/>
        </w:rPr>
        <w:t> </w:t>
      </w:r>
      <w:r>
        <w:rPr>
          <w:rFonts w:ascii="Times New Roman" w:hAnsi="Times New Roman"/>
          <w:b w:val="false"/>
          <w:i w:val="false"/>
          <w:color w:val="000000"/>
          <w:sz w:val="22"/>
        </w:rPr>
        <w:t>The risk of market loss, tax implications, penalties, and any other expenses, as a result of such an account freeze, account redemption, or contribution rejection, will be solely the account owner’s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16.7(3)</w:t>
      </w:r>
      <w:r>
        <w:rPr>
          <w:rFonts w:ascii="Times New Roman" w:hAnsi="Times New Roman"/>
          <w:b w:val="false"/>
          <w:i w:val="false"/>
          <w:color w:val="000000"/>
          <w:sz w:val="22"/>
        </w:rPr>
        <w:t> </w:t>
      </w:r>
      <w:r>
        <w:rPr>
          <w:rFonts w:ascii="Times New Roman" w:hAnsi="Times New Roman"/>
          <w:b w:val="false"/>
          <w:i w:val="false"/>
          <w:color w:val="000000"/>
          <w:sz w:val="22"/>
        </w:rPr>
        <w:t>The contractor will provide each account owner a fourth-quarter statement. In addition, the program administrator will provide each account owner that had an account with either contributions or withdrawals in the first, second, or third quarter with a quarterly statement for that account.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8845C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781—16.8</w:t>
      </w:r>
      <w:r>
        <w:rPr>
          <w:rFonts w:ascii="Times New Roman" w:hAnsi="Times New Roman"/>
          <w:b/>
          <w:i w:val="false"/>
          <w:color w:val="000000"/>
          <w:sz w:val="22"/>
        </w:rPr>
        <w:t xml:space="preserve">(12D) </w:t>
      </w:r>
      <w:r>
        <w:rPr>
          <w:rFonts w:ascii="Times New Roman" w:hAnsi="Times New Roman"/>
          <w:b/>
          <w:i w:val="false"/>
          <w:color w:val="000000"/>
          <w:sz w:val="22"/>
        </w:rPr>
        <w:t xml:space="preserve">Contributions. </w:t>
      </w:r>
      <w:r>
        <w:rPr>
          <w:rFonts w:ascii="Times New Roman" w:hAnsi="Times New Roman"/>
          <w:b w:val="false"/>
          <w:i w:val="false"/>
          <w:color w:val="000000"/>
          <w:sz w:val="22"/>
        </w:rPr>
        <w:t>Contributions are deductible in accordance with Iowa income tax laws and administrative rules of the department of revenue. Participation agreements shall be for the benefit of a specific beneficiary. This rule provides for implementation of this provision.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16.8(1)</w:t>
      </w:r>
      <w:r>
        <w:rPr>
          <w:rFonts w:ascii="Times New Roman" w:hAnsi="Times New Roman"/>
          <w:b w:val="false"/>
          <w:i w:val="false"/>
          <w:color w:val="000000"/>
          <w:sz w:val="22"/>
        </w:rPr>
        <w:t> </w:t>
      </w:r>
      <w:r>
        <w:rPr>
          <w:rFonts w:ascii="Times New Roman" w:hAnsi="Times New Roman"/>
          <w:b w:val="false"/>
          <w:i w:val="false"/>
          <w:color w:val="000000"/>
          <w:sz w:val="22"/>
        </w:rPr>
        <w:t>Account owners are allowed to make contributions at any time during the calendar year provided that each contribution is made in accordance with the minimum contribution and other requirements set forth in the program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16.8(2)</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shall actuarially determine the account balance limit. No additional contributions may be made on behalf of a beneficiary if the total of the account balances of all accounts held for the beneficiary exceeds the applicable account balance limit.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administrator shall determine the adjusted maximum annual amount that an account owner may contribute and deduct from Iowa income taxes pursuant to Iowa Code chapter </w:t>
      </w:r>
      <w:hyperlink r:id="rId11">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on behalf of a beneficiary for the calendar year by applying the applicable inflation adjustment. The adjusted annual maximum amount shall be communicated to participants in the plans and to the public in any reasonable manner determined by the program administrator.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8845C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781—16.9</w:t>
      </w:r>
      <w:r>
        <w:rPr>
          <w:rFonts w:ascii="Times New Roman" w:hAnsi="Times New Roman"/>
          <w:b/>
          <w:i w:val="false"/>
          <w:color w:val="000000"/>
          <w:sz w:val="22"/>
        </w:rPr>
        <w:t xml:space="preserve">(12D) </w:t>
      </w:r>
      <w:r>
        <w:rPr>
          <w:rFonts w:ascii="Times New Roman" w:hAnsi="Times New Roman"/>
          <w:b/>
          <w:i w:val="false"/>
          <w:color w:val="000000"/>
          <w:sz w:val="22"/>
        </w:rPr>
        <w:t xml:space="preserve">Substitution or change of beneficiary. </w:t>
      </w:r>
      <w:r>
        <w:rPr>
          <w:rFonts w:ascii="Times New Roman" w:hAnsi="Times New Roman"/>
          <w:b w:val="false"/>
          <w:i w:val="false"/>
          <w:color w:val="000000"/>
          <w:sz w:val="22"/>
        </w:rPr>
        <w:t>Beneficiaries may be changed subject to the rules and regulations of the program administrator. This rule establishes the criteria for substituting one beneficiary for another. Beneficiary changes shall also be subject to the procedures set forth in the applicable program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16.9(1)</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of the substitution, the substitute beneficiary must be an eligible beneficiary pursuant to rule </w:t>
      </w:r>
      <w:hyperlink r:id="rId12">
        <w:r>
          <w:rPr>
            <w:rStyle w:val="Hyperlink"/>
            <w:rFonts w:ascii="Times New Roman" w:hAnsi="Times New Roman"/>
            <w:b w:val="false"/>
            <w:i w:val="false"/>
            <w:color w:val="000000"/>
            <w:sz w:val="22"/>
          </w:rPr>
          <w:t>781—16.6</w:t>
        </w:r>
      </w:hyperlink>
      <w:r>
        <w:rPr>
          <w:rFonts w:ascii="Times New Roman" w:hAnsi="Times New Roman"/>
          <w:b w:val="false"/>
          <w:i w:val="false"/>
          <w:color w:val="000000"/>
          <w:sz w:val="22"/>
        </w:rPr>
        <w:t>(12D) and must be a member of the family of the beneficiary being replaced.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16.9(2)</w:t>
      </w:r>
      <w:r>
        <w:rPr>
          <w:rFonts w:ascii="Times New Roman" w:hAnsi="Times New Roman"/>
          <w:b w:val="false"/>
          <w:i w:val="false"/>
          <w:color w:val="000000"/>
          <w:sz w:val="22"/>
        </w:rPr>
        <w:t> </w:t>
      </w:r>
      <w:r>
        <w:rPr>
          <w:rFonts w:ascii="Times New Roman" w:hAnsi="Times New Roman"/>
          <w:b w:val="false"/>
          <w:i w:val="false"/>
          <w:color w:val="000000"/>
          <w:sz w:val="22"/>
        </w:rPr>
        <w:t>An account owner may request that a beneficiary be substituted by submitting the appropriate form to the contractor.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8845C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781—16.10</w:t>
      </w:r>
      <w:r>
        <w:rPr>
          <w:rFonts w:ascii="Times New Roman" w:hAnsi="Times New Roman"/>
          <w:b/>
          <w:i w:val="false"/>
          <w:color w:val="000000"/>
          <w:sz w:val="22"/>
        </w:rPr>
        <w:t xml:space="preserve">(12D) </w:t>
      </w:r>
      <w:r>
        <w:rPr>
          <w:rFonts w:ascii="Times New Roman" w:hAnsi="Times New Roman"/>
          <w:b/>
          <w:i w:val="false"/>
          <w:color w:val="000000"/>
          <w:sz w:val="22"/>
        </w:rPr>
        <w:t xml:space="preserve">Change of account owner. </w:t>
      </w:r>
      <w:r>
        <w:rPr>
          <w:rFonts w:ascii="Times New Roman" w:hAnsi="Times New Roman"/>
          <w:b w:val="false"/>
          <w:i w:val="false"/>
          <w:color w:val="000000"/>
          <w:sz w:val="22"/>
        </w:rPr>
        <w:t>The account owner is the owner of the account and, as such, has the exclusive right to cancel the participation agreement or change the designated beneficiary in accordance with these rules and the applicable program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16.10(1)</w:t>
      </w:r>
      <w:r>
        <w:rPr>
          <w:rFonts w:ascii="Times New Roman" w:hAnsi="Times New Roman"/>
          <w:b w:val="false"/>
          <w:i w:val="false"/>
          <w:color w:val="000000"/>
          <w:sz w:val="22"/>
        </w:rPr>
        <w:t> </w:t>
      </w:r>
      <w:r>
        <w:rPr>
          <w:rFonts w:ascii="Times New Roman" w:hAnsi="Times New Roman"/>
          <w:b w:val="false"/>
          <w:i w:val="false"/>
          <w:color w:val="000000"/>
          <w:sz w:val="22"/>
        </w:rPr>
        <w:t>An account owner may transfer the account owner’s current ownership rights in an account to another eligible individual, an individual’s legal representative, a trust, an estate, or an organization described in Section 501(c)(3) of the Internal Revenue Code and exempt from taxation under Section 501(a) of the Internal Revenue Code or to a beneficiary. To do so, the account owner shall complete the appropriate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16.10(2)</w:t>
      </w:r>
      <w:r>
        <w:rPr>
          <w:rFonts w:ascii="Times New Roman" w:hAnsi="Times New Roman"/>
          <w:b w:val="false"/>
          <w:i w:val="false"/>
          <w:color w:val="000000"/>
          <w:sz w:val="22"/>
        </w:rPr>
        <w:t> </w:t>
      </w:r>
      <w:r>
        <w:rPr>
          <w:rFonts w:ascii="Times New Roman" w:hAnsi="Times New Roman"/>
          <w:b w:val="false"/>
          <w:i w:val="false"/>
          <w:color w:val="000000"/>
          <w:sz w:val="22"/>
        </w:rPr>
        <w:t>An account owner may also designate a successor on the participation agreement. An account owner may change the designated successor by completing the appropriate form. The designated successor shall succeed to the ownership of the account in the event of the death of the account owner. Upon the death of the account owner, the successor account owner must notify the plan by submitting a completed participant agreement form and a certified copy of the death certificate. The change in ownership of the account will become effective for the successor account owner once this paperwork has been received and processed.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16.10(3)</w:t>
      </w:r>
      <w:r>
        <w:rPr>
          <w:rFonts w:ascii="Times New Roman" w:hAnsi="Times New Roman"/>
          <w:b w:val="false"/>
          <w:i w:val="false"/>
          <w:color w:val="000000"/>
          <w:sz w:val="22"/>
        </w:rPr>
        <w:t> </w:t>
      </w:r>
      <w:r>
        <w:rPr>
          <w:rFonts w:ascii="Times New Roman" w:hAnsi="Times New Roman"/>
          <w:b w:val="false"/>
          <w:i w:val="false"/>
          <w:color w:val="000000"/>
          <w:sz w:val="22"/>
        </w:rPr>
        <w:t>In the event an account owner dies and has not designated a successor to the account, the following criteria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designated beneficiary, if 18 years of age or older, shall become the owner of the account as well as remain the beneficiary upon filing the appropriate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designated beneficiary is under the age of 18, account ownership will be transferred to a surviving parent or other legal guardian of the beneficiary upon the filing of the appropriate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16.10(4)</w:t>
      </w:r>
      <w:r>
        <w:rPr>
          <w:rFonts w:ascii="Times New Roman" w:hAnsi="Times New Roman"/>
          <w:b w:val="false"/>
          <w:i w:val="false"/>
          <w:color w:val="000000"/>
          <w:sz w:val="22"/>
        </w:rPr>
        <w:t> </w:t>
      </w:r>
      <w:r>
        <w:rPr>
          <w:rFonts w:ascii="Times New Roman" w:hAnsi="Times New Roman"/>
          <w:b w:val="false"/>
          <w:i w:val="false"/>
          <w:color w:val="000000"/>
          <w:sz w:val="22"/>
        </w:rPr>
        <w:t>The account owner may name a successor to the account even though the successor may already have established or may have plans to establish a plan account.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8845C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781—16.11</w:t>
      </w:r>
      <w:r>
        <w:rPr>
          <w:rFonts w:ascii="Times New Roman" w:hAnsi="Times New Roman"/>
          <w:b/>
          <w:i w:val="false"/>
          <w:color w:val="000000"/>
          <w:sz w:val="22"/>
        </w:rPr>
        <w:t xml:space="preserve">(12D) </w:t>
      </w:r>
      <w:r>
        <w:rPr>
          <w:rFonts w:ascii="Times New Roman" w:hAnsi="Times New Roman"/>
          <w:b/>
          <w:i w:val="false"/>
          <w:color w:val="000000"/>
          <w:sz w:val="22"/>
        </w:rPr>
        <w:t xml:space="preserve">Qualified withdrawals. </w:t>
      </w:r>
      <w:r>
        <w:rPr>
          <w:rFonts w:ascii="Times New Roman" w:hAnsi="Times New Roman"/>
          <w:b w:val="false"/>
          <w:i w:val="false"/>
          <w:color w:val="000000"/>
          <w:sz w:val="22"/>
        </w:rPr>
        <w:t>This rule establishes the procedures for the payment of qualified withdrawals.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16.11(1)</w:t>
      </w:r>
      <w:r>
        <w:rPr>
          <w:rFonts w:ascii="Times New Roman" w:hAnsi="Times New Roman"/>
          <w:b w:val="false"/>
          <w:i w:val="false"/>
          <w:color w:val="000000"/>
          <w:sz w:val="22"/>
        </w:rPr>
        <w:t> </w:t>
      </w:r>
      <w:r>
        <w:rPr>
          <w:rFonts w:ascii="Times New Roman" w:hAnsi="Times New Roman"/>
          <w:b w:val="false"/>
          <w:i w:val="false"/>
          <w:color w:val="000000"/>
          <w:sz w:val="22"/>
        </w:rPr>
        <w:t>The account owner must initiate a withdrawal for qualified or nonqualified withdrawals. The account owner must file the appropriate form with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16.11(2)</w:t>
      </w:r>
      <w:r>
        <w:rPr>
          <w:rFonts w:ascii="Times New Roman" w:hAnsi="Times New Roman"/>
          <w:b w:val="false"/>
          <w:i w:val="false"/>
          <w:color w:val="000000"/>
          <w:sz w:val="22"/>
        </w:rPr>
        <w:t> </w:t>
      </w:r>
      <w:r>
        <w:rPr>
          <w:rFonts w:ascii="Times New Roman" w:hAnsi="Times New Roman"/>
          <w:b w:val="false"/>
          <w:i w:val="false"/>
          <w:color w:val="000000"/>
          <w:sz w:val="22"/>
        </w:rPr>
        <w:t>Qualified withdrawals will be paid in one of three ways once the form has been received by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Directly to the eligible educational institution or K-12 institution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Directly to the account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Directly to the beneficiary at eligible educational institutions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16.11(3)</w:t>
      </w:r>
      <w:r>
        <w:rPr>
          <w:rFonts w:ascii="Times New Roman" w:hAnsi="Times New Roman"/>
          <w:b w:val="false"/>
          <w:i w:val="false"/>
          <w:color w:val="000000"/>
          <w:sz w:val="22"/>
        </w:rPr>
        <w:t> </w:t>
      </w:r>
      <w:r>
        <w:rPr>
          <w:rFonts w:ascii="Times New Roman" w:hAnsi="Times New Roman"/>
          <w:b w:val="false"/>
          <w:i w:val="false"/>
          <w:color w:val="000000"/>
          <w:sz w:val="22"/>
        </w:rPr>
        <w:t>Withdrawals for the payment of tuition in connection with enrollment or attendance at a K-12 institution may not exceed a maximum of $20,000 per taxable year per beneficiary from all 529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16.11(4)</w:t>
      </w:r>
      <w:r>
        <w:rPr>
          <w:rFonts w:ascii="Times New Roman" w:hAnsi="Times New Roman"/>
          <w:b w:val="false"/>
          <w:i w:val="false"/>
          <w:color w:val="000000"/>
          <w:sz w:val="22"/>
        </w:rPr>
        <w:t> </w:t>
      </w:r>
      <w:r>
        <w:rPr>
          <w:rFonts w:ascii="Times New Roman" w:hAnsi="Times New Roman"/>
          <w:b w:val="false"/>
          <w:i w:val="false"/>
          <w:color w:val="000000"/>
          <w:sz w:val="22"/>
        </w:rPr>
        <w:t>Each qualified withdrawal will be comprised partly of contributions and partly of earnings, based upon the same proportion that contributions and earnings comprise the account owner’s account at the time of the withdrawal.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16.11(5)</w:t>
      </w:r>
      <w:r>
        <w:rPr>
          <w:rFonts w:ascii="Times New Roman" w:hAnsi="Times New Roman"/>
          <w:b w:val="false"/>
          <w:i w:val="false"/>
          <w:color w:val="000000"/>
          <w:sz w:val="22"/>
        </w:rPr>
        <w:t> </w:t>
      </w:r>
      <w:r>
        <w:rPr>
          <w:rFonts w:ascii="Times New Roman" w:hAnsi="Times New Roman"/>
          <w:b w:val="false"/>
          <w:i w:val="false"/>
          <w:color w:val="000000"/>
          <w:sz w:val="22"/>
        </w:rPr>
        <w:t>Funds that are distributed to an account owner pursuant to this rule shall be reported to the IRS on a 1099-Q in the tax year in which the withdrawal is made. The account owner will receive the 1099-Q for any withdrawal paid to the account owner. The beneficiary will receive the 1099-Q for any withdrawal paid to the beneficiary or institution of higher education. The individual receiving the 1099-Q must determine whether the withdrawal was qualified or nonqualified.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16.11(6)</w:t>
      </w:r>
      <w:r>
        <w:rPr>
          <w:rFonts w:ascii="Times New Roman" w:hAnsi="Times New Roman"/>
          <w:b w:val="false"/>
          <w:i w:val="false"/>
          <w:color w:val="000000"/>
          <w:sz w:val="22"/>
        </w:rPr>
        <w:t> </w:t>
      </w:r>
      <w:r>
        <w:rPr>
          <w:rFonts w:ascii="Times New Roman" w:hAnsi="Times New Roman"/>
          <w:b w:val="false"/>
          <w:i w:val="false"/>
          <w:color w:val="000000"/>
          <w:sz w:val="22"/>
        </w:rPr>
        <w:t>An account owner may transfer any remaining balance in one account to an existing or new account for another designated beneficiary by completing a new participation agreement with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16.11(7)</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state income tax treatment of contributions to and withdrawals from an account shall be as set forth in Iowa Code chapter </w:t>
      </w:r>
      <w:hyperlink r:id="rId13">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8845C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i w:val="false"/>
          <w:color w:val="000000"/>
          <w:sz w:val="16"/>
        </w:rPr>
        <w:t>ARC 9774C</w:t>
      </w:r>
      <w:r>
        <w:rPr>
          <w:rFonts w:ascii="Times New Roman" w:hAnsi="Times New Roman"/>
          <w:b w:val="false"/>
          <w:i w:val="false"/>
          <w:color w:val="000000"/>
          <w:sz w:val="16"/>
        </w:rPr>
        <w:t>, IAB 11/26/25, effective 12/31/25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781—16.12</w:t>
      </w:r>
      <w:r>
        <w:rPr>
          <w:rFonts w:ascii="Times New Roman" w:hAnsi="Times New Roman"/>
          <w:b/>
          <w:i w:val="false"/>
          <w:color w:val="000000"/>
          <w:sz w:val="22"/>
        </w:rPr>
        <w:t xml:space="preserve">(12D) </w:t>
      </w:r>
      <w:r>
        <w:rPr>
          <w:rFonts w:ascii="Times New Roman" w:hAnsi="Times New Roman"/>
          <w:b/>
          <w:i w:val="false"/>
          <w:color w:val="000000"/>
          <w:sz w:val="22"/>
        </w:rPr>
        <w:t xml:space="preserve">Nonqualified withdrawals and cancellation. </w:t>
      </w:r>
      <w:r>
        <w:rPr>
          <w:rFonts w:ascii="Times New Roman" w:hAnsi="Times New Roman"/>
          <w:b w:val="false"/>
          <w:i w:val="false"/>
          <w:color w:val="000000"/>
          <w:sz w:val="22"/>
        </w:rPr>
        <w:t xml:space="preserve">Iowa Code section </w:t>
      </w:r>
      <w:hyperlink r:id="rId14">
        <w:r>
          <w:rPr>
            <w:rStyle w:val="Hyperlink"/>
            <w:rFonts w:ascii="Times New Roman" w:hAnsi="Times New Roman"/>
            <w:b w:val="false"/>
            <w:i w:val="false"/>
            <w:color w:val="000000"/>
            <w:sz w:val="22"/>
          </w:rPr>
          <w:t>12D.5</w:t>
        </w:r>
      </w:hyperlink>
      <w:r>
        <w:rPr>
          <w:rFonts w:ascii="Times New Roman" w:hAnsi="Times New Roman"/>
          <w:b w:val="false"/>
          <w:i w:val="false"/>
          <w:color w:val="000000"/>
          <w:sz w:val="22"/>
        </w:rPr>
        <w:t xml:space="preserve"> provides that any account owner may cancel a participation agreement at will. This rule establishes the criteria for nonqualified withdrawals from an account or for the cancellation of a participation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16.12(1)</w:t>
      </w:r>
      <w:r>
        <w:rPr>
          <w:rFonts w:ascii="Times New Roman" w:hAnsi="Times New Roman"/>
          <w:b w:val="false"/>
          <w:i w:val="false"/>
          <w:color w:val="000000"/>
          <w:sz w:val="22"/>
        </w:rPr>
        <w:t> </w:t>
      </w:r>
      <w:r>
        <w:rPr>
          <w:rFonts w:ascii="Times New Roman" w:hAnsi="Times New Roman"/>
          <w:b w:val="false"/>
          <w:i w:val="false"/>
          <w:color w:val="000000"/>
          <w:sz w:val="22"/>
        </w:rPr>
        <w:t>A nonqualified withdrawal is one in which the funds are used for a purpose other than the payment of or reimbursement for qualified educational expenses. An account owner may at any time make a nonqualified withdrawal of a portion of the amount in an account or cancel a participation agreement, without cause, by submitting to the contractor the appropriate form. A nonqualified withdrawal will be paid only to the account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16.12(2)</w:t>
      </w:r>
      <w:r>
        <w:rPr>
          <w:rFonts w:ascii="Times New Roman" w:hAnsi="Times New Roman"/>
          <w:b w:val="false"/>
          <w:i w:val="false"/>
          <w:color w:val="000000"/>
          <w:sz w:val="22"/>
        </w:rPr>
        <w:t> </w:t>
      </w:r>
      <w:r>
        <w:rPr>
          <w:rFonts w:ascii="Times New Roman" w:hAnsi="Times New Roman"/>
          <w:b w:val="false"/>
          <w:i w:val="false"/>
          <w:color w:val="000000"/>
          <w:sz w:val="22"/>
        </w:rPr>
        <w:t>If the participation agreement is canceled, the account owner is entitled to the amount in the account, subject to any applicable fees and expenses. The balance shall be mailed or otherwise sent to the account owner after receipt by the contractor of the appropriate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16.12(3)</w:t>
      </w:r>
      <w:r>
        <w:rPr>
          <w:rFonts w:ascii="Times New Roman" w:hAnsi="Times New Roman"/>
          <w:b w:val="false"/>
          <w:i w:val="false"/>
          <w:color w:val="000000"/>
          <w:sz w:val="22"/>
        </w:rPr>
        <w:t> </w:t>
      </w:r>
      <w:r>
        <w:rPr>
          <w:rFonts w:ascii="Times New Roman" w:hAnsi="Times New Roman"/>
          <w:b w:val="false"/>
          <w:i w:val="false"/>
          <w:color w:val="000000"/>
          <w:sz w:val="22"/>
        </w:rPr>
        <w:t>Funds that are distributed to an account owner in a nonqualified withdrawal pursuant to this rule shall be reported to the IRS on a 1099-Q in the tax year in which such withdrawal is made. The account owner will receive the 1099-Q for any nonqualified withdrawals. The individual receiving the 1099-Q must determine whether the withdrawal was qualified or nonqualified. Nonqualified withdrawals may be subject to state and federal taxes and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8845C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781—16.13</w:t>
      </w:r>
      <w:r>
        <w:rPr>
          <w:rFonts w:ascii="Times New Roman" w:hAnsi="Times New Roman"/>
          <w:b/>
          <w:i w:val="false"/>
          <w:color w:val="000000"/>
          <w:sz w:val="22"/>
        </w:rPr>
        <w:t xml:space="preserve">(12D) </w:t>
      </w:r>
      <w:r>
        <w:rPr>
          <w:rFonts w:ascii="Times New Roman" w:hAnsi="Times New Roman"/>
          <w:b/>
          <w:i w:val="false"/>
          <w:color w:val="000000"/>
          <w:sz w:val="22"/>
        </w:rPr>
        <w:t xml:space="preserve">Qualified rollover. </w:t>
      </w:r>
      <w:r>
        <w:rPr>
          <w:rFonts w:ascii="Times New Roman" w:hAnsi="Times New Roman"/>
          <w:b w:val="false"/>
          <w:i w:val="false"/>
          <w:color w:val="000000"/>
          <w:sz w:val="22"/>
        </w:rPr>
        <w:t>This rule establishes the procedures for the payment of a qualified rollover.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16.13(1)</w:t>
      </w:r>
      <w:r>
        <w:rPr>
          <w:rFonts w:ascii="Times New Roman" w:hAnsi="Times New Roman"/>
          <w:b w:val="false"/>
          <w:i w:val="false"/>
          <w:color w:val="000000"/>
          <w:sz w:val="22"/>
        </w:rPr>
        <w:t> </w:t>
      </w:r>
      <w:r>
        <w:rPr>
          <w:rFonts w:ascii="Times New Roman" w:hAnsi="Times New Roman"/>
          <w:b w:val="false"/>
          <w:i w:val="false"/>
          <w:color w:val="000000"/>
          <w:sz w:val="22"/>
        </w:rPr>
        <w:t>The account owner must initiate a rollover and must file the appropriate form with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16.13(2)</w:t>
      </w:r>
      <w:r>
        <w:rPr>
          <w:rFonts w:ascii="Times New Roman" w:hAnsi="Times New Roman"/>
          <w:b w:val="false"/>
          <w:i w:val="false"/>
          <w:color w:val="000000"/>
          <w:sz w:val="22"/>
        </w:rPr>
        <w:t> </w:t>
      </w:r>
      <w:r>
        <w:rPr>
          <w:rFonts w:ascii="Times New Roman" w:hAnsi="Times New Roman"/>
          <w:b w:val="false"/>
          <w:i w:val="false"/>
          <w:color w:val="000000"/>
          <w:sz w:val="22"/>
        </w:rPr>
        <w:t>Qualified rollovers will be paid in one of the following ways once the form has been received by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Directly to the account owner, provided that within 60 days of such distribution, the funds are recontributed from the account owner as described in paragraph </w:t>
      </w:r>
      <w:hyperlink r:id="rId15">
        <w:r>
          <w:rPr>
            <w:rStyle w:val="Hyperlink"/>
            <w:rFonts w:ascii="Times New Roman" w:hAnsi="Times New Roman"/>
            <w:b w:val="false"/>
            <w:i w:val="false"/>
            <w:color w:val="000000"/>
            <w:sz w:val="22"/>
          </w:rPr>
          <w:t>16.13(2)</w:t>
        </w:r>
      </w:hyperlink>
      <w:r>
        <w:rPr>
          <w:rFonts w:ascii="Times New Roman" w:hAnsi="Times New Roman"/>
          <w:b w:val="false"/>
          <w:i/>
          <w:color w:val="000000"/>
          <w:sz w:val="22"/>
        </w:rPr>
        <w:t>“b,” “c”</w:t>
      </w:r>
      <w:r>
        <w:rPr>
          <w:rFonts w:ascii="Times New Roman" w:hAnsi="Times New Roman"/>
          <w:b w:val="false"/>
          <w:i w:val="false"/>
          <w:color w:val="000000"/>
          <w:sz w:val="22"/>
        </w:rPr>
        <w:t xml:space="preserve"> or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Directly to another qualified tuition program for the benefit of the designated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Directly to another account designated beneficiary under a qualified tuition program who is a member of the family of the designated beneficiary with respect to which the distribution 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Directly to an ABLE account of the designated beneficiary or a member of the family of the designated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Notwithstanding any of the foregoing, any qualified rollover to a Roth IRA under Section 529 must be paid in a direct trustee-to-trustee transfer to a Roth IRA maintained for the benefit of such designated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16.13(3)</w:t>
      </w:r>
      <w:r>
        <w:rPr>
          <w:rFonts w:ascii="Times New Roman" w:hAnsi="Times New Roman"/>
          <w:b w:val="false"/>
          <w:i w:val="false"/>
          <w:color w:val="000000"/>
          <w:sz w:val="22"/>
        </w:rPr>
        <w:t> </w:t>
      </w:r>
      <w:r>
        <w:rPr>
          <w:rFonts w:ascii="Times New Roman" w:hAnsi="Times New Roman"/>
          <w:b w:val="false"/>
          <w:i w:val="false"/>
          <w:color w:val="000000"/>
          <w:sz w:val="22"/>
        </w:rPr>
        <w:t>Rollovers to a Roth IRA with respect to a designated beneficiary for such taxable year and all prior taxable years may not exceed thresholds set out in Section 529.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16.13(4)</w:t>
      </w:r>
      <w:r>
        <w:rPr>
          <w:rFonts w:ascii="Times New Roman" w:hAnsi="Times New Roman"/>
          <w:b w:val="false"/>
          <w:i w:val="false"/>
          <w:color w:val="000000"/>
          <w:sz w:val="22"/>
        </w:rPr>
        <w:t> </w:t>
      </w:r>
      <w:r>
        <w:rPr>
          <w:rFonts w:ascii="Times New Roman" w:hAnsi="Times New Roman"/>
          <w:b w:val="false"/>
          <w:i w:val="false"/>
          <w:color w:val="000000"/>
          <w:sz w:val="22"/>
        </w:rPr>
        <w:t>Each qualified rollover will be comprised partly of contributions and partly of earnings, based upon the same proportion that contributions and earnings comprise the account owner’s account at the time of the rollover.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16.13(5)</w:t>
      </w:r>
      <w:r>
        <w:rPr>
          <w:rFonts w:ascii="Times New Roman" w:hAnsi="Times New Roman"/>
          <w:b w:val="false"/>
          <w:i w:val="false"/>
          <w:color w:val="000000"/>
          <w:sz w:val="22"/>
        </w:rPr>
        <w:t> </w:t>
      </w:r>
      <w:r>
        <w:rPr>
          <w:rFonts w:ascii="Times New Roman" w:hAnsi="Times New Roman"/>
          <w:b w:val="false"/>
          <w:i w:val="false"/>
          <w:color w:val="000000"/>
          <w:sz w:val="22"/>
        </w:rPr>
        <w:t>Funds that are distributed to an account owner pursuant to this rule shall be reported to the IRS on a 1099-Q in the tax year in which the rollover or withdrawal is made. The beneficiary will receive the 1099-Q for any withdrawal or rollover paid to the beneficiary. The individual receiving the 1099-Q must determine whether the rollover was qualified or nonqualified.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16.13(6)</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state income tax treatment of a qualified rollover from an account shall be as set forth in Iowa Code chapter </w:t>
      </w:r>
      <w:hyperlink r:id="rId16">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A rollover that is not a qualified rollover shall be treated as a nonqualified withdrawal.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i w:val="false"/>
          <w:color w:val="000000"/>
          <w:sz w:val="16"/>
        </w:rPr>
        <w:t>ARC 9774C</w:t>
      </w:r>
      <w:r>
        <w:rPr>
          <w:rFonts w:ascii="Times New Roman" w:hAnsi="Times New Roman"/>
          <w:b w:val="false"/>
          <w:i w:val="false"/>
          <w:color w:val="000000"/>
          <w:sz w:val="16"/>
        </w:rPr>
        <w:t>, IAB 11/26/25, effective 12/31/25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781—16.14</w:t>
      </w:r>
      <w:r>
        <w:rPr>
          <w:rFonts w:ascii="Times New Roman" w:hAnsi="Times New Roman"/>
          <w:b/>
          <w:i w:val="false"/>
          <w:color w:val="000000"/>
          <w:sz w:val="22"/>
        </w:rPr>
        <w:t xml:space="preserve">(12D) </w:t>
      </w:r>
      <w:r>
        <w:rPr>
          <w:rFonts w:ascii="Times New Roman" w:hAnsi="Times New Roman"/>
          <w:b/>
          <w:i w:val="false"/>
          <w:color w:val="000000"/>
          <w:sz w:val="22"/>
        </w:rPr>
        <w:t xml:space="preserve">Garnishment. </w:t>
      </w:r>
      <w:r>
        <w:rPr>
          <w:rFonts w:ascii="Times New Roman" w:hAnsi="Times New Roman"/>
          <w:b w:val="false"/>
          <w:i w:val="false"/>
          <w:color w:val="000000"/>
          <w:sz w:val="22"/>
        </w:rPr>
        <w:t xml:space="preserve">Pursuant to Iowa Code section </w:t>
      </w:r>
      <w:hyperlink r:id="rId17">
        <w:r>
          <w:rPr>
            <w:rStyle w:val="Hyperlink"/>
            <w:rFonts w:ascii="Times New Roman" w:hAnsi="Times New Roman"/>
            <w:b w:val="false"/>
            <w:i w:val="false"/>
            <w:color w:val="000000"/>
            <w:sz w:val="22"/>
          </w:rPr>
          <w:t>642.2</w:t>
        </w:r>
      </w:hyperlink>
      <w:r>
        <w:rPr>
          <w:rFonts w:ascii="Times New Roman" w:hAnsi="Times New Roman"/>
          <w:b w:val="false"/>
          <w:i w:val="false"/>
          <w:color w:val="000000"/>
          <w:sz w:val="22"/>
        </w:rPr>
        <w:t>, funds held by the program administrator under the trust are not subject to garnishment.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781—16.15</w:t>
      </w:r>
      <w:r>
        <w:rPr>
          <w:rFonts w:ascii="Times New Roman" w:hAnsi="Times New Roman"/>
          <w:b/>
          <w:i w:val="false"/>
          <w:color w:val="000000"/>
          <w:sz w:val="22"/>
        </w:rPr>
        <w:t xml:space="preserve">(12D) </w:t>
      </w:r>
      <w:r>
        <w:rPr>
          <w:rFonts w:ascii="Times New Roman" w:hAnsi="Times New Roman"/>
          <w:b/>
          <w:i w:val="false"/>
          <w:color w:val="000000"/>
          <w:sz w:val="22"/>
        </w:rPr>
        <w:t xml:space="preserve">Appeal of decisions. </w:t>
      </w:r>
      <w:r>
        <w:rPr>
          <w:rFonts w:ascii="Times New Roman" w:hAnsi="Times New Roman"/>
          <w:b w:val="false"/>
          <w:i w:val="false"/>
          <w:color w:val="000000"/>
          <w:sz w:val="22"/>
        </w:rPr>
        <w:t>An account owner may appeal any decision of the program administrator under these rules and with respect to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16.15(1)</w:t>
      </w:r>
      <w:r>
        <w:rPr>
          <w:rFonts w:ascii="Times New Roman" w:hAnsi="Times New Roman"/>
          <w:b w:val="false"/>
          <w:i w:val="false"/>
          <w:color w:val="000000"/>
          <w:sz w:val="22"/>
        </w:rPr>
        <w:t> </w:t>
      </w:r>
      <w:r>
        <w:rPr>
          <w:rFonts w:ascii="Times New Roman" w:hAnsi="Times New Roman"/>
          <w:b w:val="false"/>
          <w:i w:val="false"/>
          <w:color w:val="000000"/>
          <w:sz w:val="22"/>
        </w:rPr>
        <w:t>An account owner may utilize the appeals process after receipt of the decision from the program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16.15(2)</w:t>
      </w:r>
      <w:r>
        <w:rPr>
          <w:rFonts w:ascii="Times New Roman" w:hAnsi="Times New Roman"/>
          <w:b w:val="false"/>
          <w:i w:val="false"/>
          <w:color w:val="000000"/>
          <w:sz w:val="22"/>
        </w:rPr>
        <w:t> </w:t>
      </w:r>
      <w:r>
        <w:rPr>
          <w:rFonts w:ascii="Times New Roman" w:hAnsi="Times New Roman"/>
          <w:b w:val="false"/>
          <w:i w:val="false"/>
          <w:color w:val="000000"/>
          <w:sz w:val="22"/>
        </w:rPr>
        <w:t>Failure to submit the appeal request within 30 calendar days of receipt of the decision from the program administrator shall constitute an acceptance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16.15(3)</w:t>
      </w:r>
      <w:r>
        <w:rPr>
          <w:rFonts w:ascii="Times New Roman" w:hAnsi="Times New Roman"/>
          <w:b w:val="false"/>
          <w:i w:val="false"/>
          <w:color w:val="000000"/>
          <w:sz w:val="22"/>
        </w:rPr>
        <w:t> </w:t>
      </w:r>
      <w:r>
        <w:rPr>
          <w:rFonts w:ascii="Times New Roman" w:hAnsi="Times New Roman"/>
          <w:b w:val="false"/>
          <w:i w:val="false"/>
          <w:color w:val="000000"/>
          <w:sz w:val="22"/>
        </w:rPr>
        <w:t>The account owner shall submit to the program administrator a written request for an appeal along with all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16.15(4)</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shall contact the account owner and schedule an appeal meeting within 30 calendar days of receipt of the account owner’s appeal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16.15(5)</w:t>
      </w:r>
      <w:r>
        <w:rPr>
          <w:rFonts w:ascii="Times New Roman" w:hAnsi="Times New Roman"/>
          <w:b w:val="false"/>
          <w:i w:val="false"/>
          <w:color w:val="000000"/>
          <w:sz w:val="22"/>
        </w:rPr>
        <w:t> </w:t>
      </w:r>
      <w:r>
        <w:rPr>
          <w:rFonts w:ascii="Times New Roman" w:hAnsi="Times New Roman"/>
          <w:b w:val="false"/>
          <w:i w:val="false"/>
          <w:color w:val="000000"/>
          <w:sz w:val="22"/>
        </w:rPr>
        <w:t>An appeal review shall be conducted at which time the account owner shall present evidence supporting the account owner’s basis for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16.15(6)</w:t>
      </w:r>
      <w:r>
        <w:rPr>
          <w:rFonts w:ascii="Times New Roman" w:hAnsi="Times New Roman"/>
          <w:b w:val="false"/>
          <w:i w:val="false"/>
          <w:color w:val="000000"/>
          <w:sz w:val="22"/>
        </w:rPr>
        <w:t> </w:t>
      </w:r>
      <w:r>
        <w:rPr>
          <w:rFonts w:ascii="Times New Roman" w:hAnsi="Times New Roman"/>
          <w:b w:val="false"/>
          <w:i w:val="false"/>
          <w:color w:val="000000"/>
          <w:sz w:val="22"/>
        </w:rPr>
        <w:t>Based on the evidence and additional information presented during the appeal, the program administrator will render a final decision. Such final decision will be written and sent to the account owner within 30 calendar days of the appeal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8">
        <w:r>
          <w:rPr>
            <w:rStyle w:val="Hyperlink"/>
            <w:rFonts w:ascii="Times New Roman" w:hAnsi="Times New Roman"/>
            <w:b w:val="false"/>
            <w:i w:val="false"/>
            <w:color w:val="000000"/>
            <w:sz w:val="22"/>
          </w:rPr>
          <w:t>12D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9/18/98—published 10/7/98, effective 9/18/98]</w:t>
      </w:r>
    </w:p>
    <w:p>
      <w:pPr>
        <w:spacing w:before="0" w:after="0"/>
        <w:ind w:left="120"/>
        <w:jc w:val="center"/>
      </w:pPr>
      <w:r>
        <w:rPr>
          <w:rFonts w:ascii="Times New Roman" w:hAnsi="Times New Roman"/>
          <w:b w:val="false"/>
          <w:i w:val="false"/>
          <w:color w:val="000000"/>
          <w:sz w:val="21"/>
        </w:rPr>
        <w:t>[Filed emergency 10/15/99—published 11/3/99, effective 10/15/99]</w:t>
      </w:r>
    </w:p>
    <w:p>
      <w:pPr>
        <w:spacing w:before="0" w:after="0"/>
        <w:ind w:left="120"/>
        <w:jc w:val="center"/>
      </w:pPr>
      <w:r>
        <w:rPr>
          <w:rFonts w:ascii="Times New Roman" w:hAnsi="Times New Roman"/>
          <w:b w:val="false"/>
          <w:i w:val="false"/>
          <w:color w:val="000000"/>
          <w:sz w:val="21"/>
        </w:rPr>
        <w:t>[Filed emergency 1/2/02—published 1/23/02, effective 1/2/02]</w:t>
      </w:r>
    </w:p>
    <w:p>
      <w:pPr>
        <w:spacing w:before="0" w:after="0"/>
        <w:ind w:left="120"/>
        <w:jc w:val="center"/>
      </w:pPr>
      <w:r>
        <w:rPr>
          <w:rFonts w:ascii="Times New Roman" w:hAnsi="Times New Roman"/>
          <w:b w:val="false"/>
          <w:i w:val="false"/>
          <w:color w:val="000000"/>
          <w:sz w:val="21"/>
        </w:rPr>
        <w:t>[Filed 2/6/08, Notice 1/2/08—published 2/27/08, effective 4/2/08]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11/13/08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2875C</w:t>
      </w:r>
      <w:r>
        <w:rPr>
          <w:rFonts w:ascii="Times New Roman" w:hAnsi="Times New Roman"/>
          <w:b w:val="false"/>
          <w:i w:val="false"/>
          <w:color w:val="000000"/>
          <w:sz w:val="21"/>
        </w:rPr>
        <w:t xml:space="preserve"> (Notice ARC 2791C, IAB 10/26/16)</w:t>
      </w:r>
      <w:r>
        <w:rPr>
          <w:rFonts w:ascii="Times New Roman" w:hAnsi="Times New Roman"/>
          <w:b w:val="false"/>
          <w:i w:val="false"/>
          <w:color w:val="000000"/>
          <w:sz w:val="21"/>
        </w:rPr>
        <w:t>, IAB 12/21/16, effective 1/25/17]</w:t>
      </w:r>
    </w:p>
    <w:p>
      <w:pPr>
        <w:spacing w:before="0" w:after="0"/>
        <w:ind w:left="120"/>
        <w:jc w:val="center"/>
      </w:pPr>
      <w:r>
        <w:rPr>
          <w:rFonts w:ascii="Times New Roman" w:hAnsi="Times New Roman"/>
          <w:b w:val="false"/>
          <w:i w:val="false"/>
          <w:color w:val="000000"/>
          <w:sz w:val="21"/>
        </w:rPr>
        <w:t>[Filed ARC 4463C</w:t>
      </w:r>
      <w:r>
        <w:rPr>
          <w:rFonts w:ascii="Times New Roman" w:hAnsi="Times New Roman"/>
          <w:b w:val="false"/>
          <w:i w:val="false"/>
          <w:color w:val="000000"/>
          <w:sz w:val="21"/>
        </w:rPr>
        <w:t xml:space="preserve"> (Notice ARC 4124C, IAB 11/21/18)</w:t>
      </w:r>
      <w:r>
        <w:rPr>
          <w:rFonts w:ascii="Times New Roman" w:hAnsi="Times New Roman"/>
          <w:b w:val="false"/>
          <w:i w:val="false"/>
          <w:color w:val="000000"/>
          <w:sz w:val="21"/>
        </w:rPr>
        <w:t>, IAB 5/22/19, effective 6/26/19]</w:t>
      </w:r>
    </w:p>
    <w:p>
      <w:pPr>
        <w:spacing w:before="0" w:after="0"/>
        <w:ind w:left="120"/>
        <w:jc w:val="center"/>
      </w:pPr>
      <w:r>
        <w:rPr>
          <w:rFonts w:ascii="Times New Roman" w:hAnsi="Times New Roman"/>
          <w:b w:val="false"/>
          <w:i w:val="false"/>
          <w:color w:val="000000"/>
          <w:sz w:val="21"/>
        </w:rPr>
        <w:t>[Filed ARC 8845C</w:t>
      </w:r>
      <w:r>
        <w:rPr>
          <w:rFonts w:ascii="Times New Roman" w:hAnsi="Times New Roman"/>
          <w:b w:val="false"/>
          <w:i w:val="false"/>
          <w:color w:val="000000"/>
          <w:sz w:val="21"/>
        </w:rPr>
        <w:t xml:space="preserve"> (Notice ARC 8104C, IAB 7/10/24)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[Filed ARC 9774C</w:t>
      </w:r>
      <w:r>
        <w:rPr>
          <w:rFonts w:ascii="Times New Roman" w:hAnsi="Times New Roman"/>
          <w:b w:val="false"/>
          <w:i w:val="false"/>
          <w:color w:val="000000"/>
          <w:sz w:val="21"/>
        </w:rPr>
        <w:t xml:space="preserve"> (Notice ARC 9574C, IAB 10/1/25)</w:t>
      </w:r>
      <w:r>
        <w:rPr>
          <w:rFonts w:ascii="Times New Roman" w:hAnsi="Times New Roman"/>
          <w:b w:val="false"/>
          <w:i w:val="false"/>
          <w:color w:val="000000"/>
          <w:sz w:val="21"/>
        </w:rPr>
        <w:t>, IAB 11/26/25, effective 12/31/25]</w:t>
      </w:r>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D.1.pdf" Type="http://schemas.openxmlformats.org/officeDocument/2006/relationships/hyperlink" Id="rId5"/>
    <Relationship TargetMode="External" Target="https://www.legis.iowa.gov/docs/ico/chapter/12D.1.pdf" Type="http://schemas.openxmlformats.org/officeDocument/2006/relationships/hyperlink" Id="rId6"/>
    <Relationship TargetMode="External" Target="https://www.legis.iowa.gov/docs/ico/chapter/422.pdf" Type="http://schemas.openxmlformats.org/officeDocument/2006/relationships/hyperlink" Id="rId7"/>
    <Relationship TargetMode="External" Target="https://www.legis.iowa.gov/docs/iac/rule/781.16.10.pdf" Type="http://schemas.openxmlformats.org/officeDocument/2006/relationships/hyperlink" Id="rId8"/>
    <Relationship TargetMode="External" Target="http://ISave529.com" Type="http://schemas.openxmlformats.org/officeDocument/2006/relationships/hyperlink" Id="rId9"/>
    <Relationship TargetMode="External" Target="http://www.iowaadvisor529.com" Type="http://schemas.openxmlformats.org/officeDocument/2006/relationships/hyperlink" Id="rId10"/>
    <Relationship TargetMode="External" Target="https://www.legis.iowa.gov/docs/ico/chapter/422.pdf" Type="http://schemas.openxmlformats.org/officeDocument/2006/relationships/hyperlink" Id="rId11"/>
    <Relationship TargetMode="External" Target="https://www.legis.iowa.gov/docs/iac/rule/781.16.6.pdf" Type="http://schemas.openxmlformats.org/officeDocument/2006/relationships/hyperlink" Id="rId12"/>
    <Relationship TargetMode="External" Target="https://www.legis.iowa.gov/docs/ico/chapter/422.pdf" Type="http://schemas.openxmlformats.org/officeDocument/2006/relationships/hyperlink" Id="rId13"/>
    <Relationship TargetMode="External" Target="https://www.legis.iowa.gov/docs/ico/chapter/12D.5.pdf" Type="http://schemas.openxmlformats.org/officeDocument/2006/relationships/hyperlink" Id="rId14"/>
    <Relationship TargetMode="External" Target="https://www.legis.iowa.gov/docs/iac/rule/781.16.13.pdf" Type="http://schemas.openxmlformats.org/officeDocument/2006/relationships/hyperlink" Id="rId15"/>
    <Relationship TargetMode="External" Target="https://www.legis.iowa.gov/docs/ico/chapter/422.pdf" Type="http://schemas.openxmlformats.org/officeDocument/2006/relationships/hyperlink" Id="rId16"/>
    <Relationship TargetMode="External" Target="https://www.legis.iowa.gov/docs/ico/chapter/642.2.pdf" Type="http://schemas.openxmlformats.org/officeDocument/2006/relationships/hyperlink" Id="rId17"/>
    <Relationship TargetMode="External" Target="https://www.legis.iowa.gov/docs/ico/chapter/12D.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