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924</w:t>
      </w:r>
    </w:p>
    <w:p>
      <w:pPr>
        <w:spacing w:before="0" w:after="0"/>
        <w:ind w:left="120"/>
        <w:jc w:val="center"/>
      </w:pPr>
      <w:r>
        <w:rPr>
          <w:rFonts w:ascii="Times New Roman" w:hAnsi="Times New Roman"/>
          <w:b w:val="false"/>
          <w:i w:val="false"/>
          <w:color w:val="000000"/>
          <w:sz w:val="21"/>
        </w:rPr>
        <w:t>PUBLIC TRANSIT INFRASTRUCTURE GRANT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4/22/31</w:t>
      </w:r>
    </w:p>
    <w:p>
      <w:pPr>
        <w:spacing w:before="0" w:after="0"/>
        <w:ind w:left="120"/>
        <w:jc w:val="both"/>
      </w:pPr>
      <w:r>
        <w:rPr>
          <w:rFonts w:ascii="Times New Roman" w:hAnsi="Times New Roman"/>
          <w:b/>
          <w:i w:val="false"/>
          <w:color w:val="000000"/>
          <w:sz w:val="22"/>
        </w:rPr>
        <w:t>761—924.1</w:t>
      </w:r>
      <w:r>
        <w:rPr>
          <w:rFonts w:ascii="Times New Roman" w:hAnsi="Times New Roman"/>
          <w:b/>
          <w:i w:val="false"/>
          <w:color w:val="000000"/>
          <w:sz w:val="22"/>
        </w:rPr>
        <w:t xml:space="preserve">(324A)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public transit infrastructure grant program is to provide funding for the improvement of the vertical infrastructure of Iowa’s designated public transit systems.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0159D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761—924.2</w:t>
      </w:r>
      <w:r>
        <w:rPr>
          <w:rFonts w:ascii="Times New Roman" w:hAnsi="Times New Roman"/>
          <w:b/>
          <w:i w:val="false"/>
          <w:color w:val="000000"/>
          <w:sz w:val="22"/>
        </w:rPr>
        <w:t xml:space="preserve">(324A)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sections </w:t>
      </w:r>
      <w:hyperlink r:id="rId5">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8.57(3)</w:t>
        </w:r>
      </w:hyperlink>
      <w:r>
        <w:rPr>
          <w:rFonts w:ascii="Times New Roman" w:hAnsi="Times New Roman"/>
          <w:b w:val="false"/>
          <w:i/>
          <w:color w:val="000000"/>
          <w:sz w:val="22"/>
        </w:rPr>
        <w:t>“c”</w:t>
      </w:r>
      <w:r>
        <w:rPr>
          <w:rFonts w:ascii="Times New Roman" w:hAnsi="Times New Roman"/>
          <w:b w:val="false"/>
          <w:i w:val="false"/>
          <w:color w:val="000000"/>
          <w:sz w:val="22"/>
        </w:rPr>
        <w:t xml:space="preserve"> apply to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0159D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761—924.3</w:t>
      </w:r>
      <w:r>
        <w:rPr>
          <w:rFonts w:ascii="Times New Roman" w:hAnsi="Times New Roman"/>
          <w:b/>
          <w:i w:val="false"/>
          <w:color w:val="000000"/>
          <w:sz w:val="22"/>
        </w:rPr>
        <w:t xml:space="preserve">(324A) </w:t>
      </w:r>
      <w:r>
        <w:rPr>
          <w:rFonts w:ascii="Times New Roman" w:hAnsi="Times New Roman"/>
          <w:b/>
          <w:i w:val="false"/>
          <w:color w:val="000000"/>
          <w:sz w:val="22"/>
        </w:rPr>
        <w:t xml:space="preserve">Information and forms. </w:t>
      </w:r>
      <w:r>
        <w:rPr>
          <w:rFonts w:ascii="Times New Roman" w:hAnsi="Times New Roman"/>
          <w:b w:val="false"/>
          <w:i w:val="false"/>
          <w:color w:val="000000"/>
          <w:sz w:val="22"/>
        </w:rPr>
        <w:t xml:space="preserve">Information, instructions and application forms are available from the Modal Transportation Bureau, Iowa Department of Transportation, 800 Lincoln Way, Ames, Iowa 50010; by telephone at 515.233.7870; or from the department’s website at </w:t>
      </w:r>
      <w:hyperlink r:id="rId7">
        <w:r>
          <w:rPr>
            <w:rStyle w:val="Hyperlink"/>
            <w:rFonts w:ascii="Times New Roman" w:hAnsi="Times New Roman"/>
            <w:b w:val="false"/>
            <w:i w:val="false"/>
            <w:color w:val="000000"/>
            <w:sz w:val="22"/>
            <w:u w:val="single"/>
          </w:rPr>
          <w:t>iowadot.gov/modes-travel/transit</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0159D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761—924.4</w:t>
      </w:r>
      <w:r>
        <w:rPr>
          <w:rFonts w:ascii="Times New Roman" w:hAnsi="Times New Roman"/>
          <w:b/>
          <w:i w:val="false"/>
          <w:color w:val="000000"/>
          <w:sz w:val="22"/>
        </w:rPr>
        <w:t xml:space="preserve">(324A) </w:t>
      </w:r>
      <w:r>
        <w:rPr>
          <w:rFonts w:ascii="Times New Roman" w:hAnsi="Times New Roman"/>
          <w:b/>
          <w:i w:val="false"/>
          <w:color w:val="000000"/>
          <w:sz w:val="22"/>
        </w:rPr>
        <w:t xml:space="preserve">Project eligibility. </w:t>
      </w:r>
      <w:r>
        <w:rPr>
          <w:rFonts w:ascii="Times New Roman" w:hAnsi="Times New Roman"/>
          <w:b w:val="false"/>
          <w:i w:val="false"/>
          <w:color w:val="000000"/>
          <w:sz w:val="22"/>
        </w:rPr>
        <w:t>Projects may be considered for funding if: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924.4(1)</w:t>
      </w:r>
      <w:r>
        <w:rPr>
          <w:rFonts w:ascii="Times New Roman" w:hAnsi="Times New Roman"/>
          <w:b w:val="false"/>
          <w:i w:val="false"/>
          <w:color w:val="000000"/>
          <w:sz w:val="22"/>
        </w:rPr>
        <w:t> </w:t>
      </w:r>
      <w:r>
        <w:rPr>
          <w:rFonts w:ascii="Times New Roman" w:hAnsi="Times New Roman"/>
          <w:b w:val="false"/>
          <w:i w:val="false"/>
          <w:color w:val="000000"/>
          <w:sz w:val="22"/>
        </w:rPr>
        <w:t>The project is included in a locally approved transportation improvement program and in the statewide transportation improvement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924.4(2)</w:t>
      </w:r>
      <w:r>
        <w:rPr>
          <w:rFonts w:ascii="Times New Roman" w:hAnsi="Times New Roman"/>
          <w:b w:val="false"/>
          <w:i w:val="false"/>
          <w:color w:val="000000"/>
          <w:sz w:val="22"/>
        </w:rPr>
        <w:t> </w:t>
      </w:r>
      <w:r>
        <w:rPr>
          <w:rFonts w:ascii="Times New Roman" w:hAnsi="Times New Roman"/>
          <w:b w:val="false"/>
          <w:i w:val="false"/>
          <w:color w:val="000000"/>
          <w:sz w:val="22"/>
        </w:rPr>
        <w:t>A local match for the project is currently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924.4(3)</w:t>
      </w:r>
      <w:r>
        <w:rPr>
          <w:rFonts w:ascii="Times New Roman" w:hAnsi="Times New Roman"/>
          <w:b w:val="false"/>
          <w:i w:val="false"/>
          <w:color w:val="000000"/>
          <w:sz w:val="22"/>
        </w:rPr>
        <w:t> </w:t>
      </w:r>
      <w:r>
        <w:rPr>
          <w:rFonts w:ascii="Times New Roman" w:hAnsi="Times New Roman"/>
          <w:b w:val="false"/>
          <w:i w:val="false"/>
          <w:color w:val="000000"/>
          <w:sz w:val="22"/>
        </w:rPr>
        <w:t>The project is capable of being substantially completed within 18 months of project selection.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0159D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761—924.5</w:t>
      </w:r>
      <w:r>
        <w:rPr>
          <w:rFonts w:ascii="Times New Roman" w:hAnsi="Times New Roman"/>
          <w:b/>
          <w:i w:val="false"/>
          <w:color w:val="000000"/>
          <w:sz w:val="22"/>
        </w:rPr>
        <w:t xml:space="preserve">(324A) </w:t>
      </w:r>
      <w:r>
        <w:rPr>
          <w:rFonts w:ascii="Times New Roman" w:hAnsi="Times New Roman"/>
          <w:b/>
          <w:i w:val="false"/>
          <w:color w:val="000000"/>
          <w:sz w:val="22"/>
        </w:rPr>
        <w:t xml:space="preserve">Eligible project activities. </w:t>
      </w:r>
      <w:r>
        <w:rPr>
          <w:rFonts w:ascii="Times New Roman" w:hAnsi="Times New Roman"/>
          <w:b w:val="false"/>
          <w:i w:val="false"/>
          <w:color w:val="000000"/>
          <w:sz w:val="22"/>
        </w:rPr>
        <w:t>Activities eligible for reimbursement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924.5(1)</w:t>
      </w:r>
      <w:r>
        <w:rPr>
          <w:rFonts w:ascii="Times New Roman" w:hAnsi="Times New Roman"/>
          <w:b w:val="false"/>
          <w:i w:val="false"/>
          <w:color w:val="000000"/>
          <w:sz w:val="22"/>
        </w:rPr>
        <w:t> </w:t>
      </w:r>
      <w:r>
        <w:rPr>
          <w:rFonts w:ascii="Times New Roman" w:hAnsi="Times New Roman"/>
          <w:b w:val="false"/>
          <w:i w:val="false"/>
          <w:color w:val="000000"/>
          <w:sz w:val="22"/>
        </w:rPr>
        <w:t>Construction, expansion or renovation of facilities, including associated design, land acquisition, grading and foundation work, for administration of public transit operations; servicing, maintenance or storage of public transit vehicles; transit vehicle fueling; or passenger waiting.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924.5(2)</w:t>
      </w:r>
      <w:r>
        <w:rPr>
          <w:rFonts w:ascii="Times New Roman" w:hAnsi="Times New Roman"/>
          <w:b w:val="false"/>
          <w:i w:val="false"/>
          <w:color w:val="000000"/>
          <w:sz w:val="22"/>
        </w:rPr>
        <w:t> </w:t>
      </w:r>
      <w:r>
        <w:rPr>
          <w:rFonts w:ascii="Times New Roman" w:hAnsi="Times New Roman"/>
          <w:b w:val="false"/>
          <w:i w:val="false"/>
          <w:color w:val="000000"/>
          <w:sz w:val="22"/>
        </w:rPr>
        <w:t>Relocating an existing administrative or maintenance facility, if necessary, to correct violations of safety or design standards. Such a project may include any associated design, land acquisition, grading and foundation 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0159D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761—924.6</w:t>
      </w:r>
      <w:r>
        <w:rPr>
          <w:rFonts w:ascii="Times New Roman" w:hAnsi="Times New Roman"/>
          <w:b/>
          <w:i w:val="false"/>
          <w:color w:val="000000"/>
          <w:sz w:val="22"/>
        </w:rPr>
        <w:t xml:space="preserve">(324A) </w:t>
      </w:r>
      <w:r>
        <w:rPr>
          <w:rFonts w:ascii="Times New Roman" w:hAnsi="Times New Roman"/>
          <w:b/>
          <w:i w:val="false"/>
          <w:color w:val="000000"/>
          <w:sz w:val="22"/>
        </w:rPr>
        <w:t xml:space="preserve">Ineligible project activities. </w:t>
      </w:r>
      <w:r>
        <w:rPr>
          <w:rFonts w:ascii="Times New Roman" w:hAnsi="Times New Roman"/>
          <w:b w:val="false"/>
          <w:i w:val="false"/>
          <w:color w:val="000000"/>
          <w:sz w:val="22"/>
        </w:rPr>
        <w:t>A transit facility may be incorporated into a larger project, such as an intermodal facility, a headquarters for the umbrella organization sponsoring the transit program or a public works facility. Any costs attributable to the nontransit elements of the larger project are not eligible under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0159D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761—924.7</w:t>
      </w:r>
      <w:r>
        <w:rPr>
          <w:rFonts w:ascii="Times New Roman" w:hAnsi="Times New Roman"/>
          <w:b/>
          <w:i w:val="false"/>
          <w:color w:val="000000"/>
          <w:sz w:val="22"/>
        </w:rPr>
        <w:t xml:space="preserve">(324A) </w:t>
      </w:r>
      <w:r>
        <w:rPr>
          <w:rFonts w:ascii="Times New Roman" w:hAnsi="Times New Roman"/>
          <w:b/>
          <w:i w:val="false"/>
          <w:color w:val="000000"/>
          <w:sz w:val="22"/>
        </w:rPr>
        <w:t xml:space="preserve">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924.7(1)</w:t>
      </w:r>
      <w:r>
        <w:rPr>
          <w:rFonts w:ascii="Times New Roman" w:hAnsi="Times New Roman"/>
          <w:b w:val="false"/>
          <w:i w:val="false"/>
          <w:color w:val="000000"/>
          <w:sz w:val="22"/>
        </w:rPr>
        <w:t> </w:t>
      </w:r>
      <w:r>
        <w:rPr>
          <w:rFonts w:ascii="Times New Roman" w:hAnsi="Times New Roman"/>
          <w:b w:val="false"/>
          <w:i w:val="false"/>
          <w:color w:val="000000"/>
          <w:sz w:val="22"/>
        </w:rPr>
        <w:t>Program funds may reimburse up to 80 percent of transit-related project costs. Assistance from the public transit infrastructure grant program, when combined with federal or other state resources, will not exceed 80 percent of the project’s transit-related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924.7(2)</w:t>
      </w:r>
      <w:r>
        <w:rPr>
          <w:rFonts w:ascii="Times New Roman" w:hAnsi="Times New Roman"/>
          <w:b w:val="false"/>
          <w:i w:val="false"/>
          <w:color w:val="000000"/>
          <w:sz w:val="22"/>
        </w:rPr>
        <w:t> </w:t>
      </w:r>
      <w:r>
        <w:rPr>
          <w:rFonts w:ascii="Times New Roman" w:hAnsi="Times New Roman"/>
          <w:b w:val="false"/>
          <w:i w:val="false"/>
          <w:color w:val="000000"/>
          <w:sz w:val="22"/>
        </w:rPr>
        <w:t>At least 20 percent of transit-related project costs must be provided from local sources by the sponsoring transit system in cash or value of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924.7(3)</w:t>
      </w:r>
      <w:r>
        <w:rPr>
          <w:rFonts w:ascii="Times New Roman" w:hAnsi="Times New Roman"/>
          <w:b w:val="false"/>
          <w:i w:val="false"/>
          <w:color w:val="000000"/>
          <w:sz w:val="22"/>
        </w:rPr>
        <w:t> </w:t>
      </w:r>
      <w:r>
        <w:rPr>
          <w:rFonts w:ascii="Times New Roman" w:hAnsi="Times New Roman"/>
          <w:b w:val="false"/>
          <w:i w:val="false"/>
          <w:color w:val="000000"/>
          <w:sz w:val="22"/>
        </w:rPr>
        <w:t>No single public transit system may receive more than 40 percent of the funding available in one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0159D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761—924.8</w:t>
      </w:r>
      <w:r>
        <w:rPr>
          <w:rFonts w:ascii="Times New Roman" w:hAnsi="Times New Roman"/>
          <w:b/>
          <w:i w:val="false"/>
          <w:color w:val="000000"/>
          <w:sz w:val="22"/>
        </w:rPr>
        <w:t xml:space="preserve">(324A) </w:t>
      </w:r>
      <w:r>
        <w:rPr>
          <w:rFonts w:ascii="Times New Roman" w:hAnsi="Times New Roman"/>
          <w:b/>
          <w:i w:val="false"/>
          <w:color w:val="000000"/>
          <w:sz w:val="22"/>
        </w:rPr>
        <w:t xml:space="preserve">Project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924.8(1)</w:t>
      </w:r>
      <w:r>
        <w:rPr>
          <w:rFonts w:ascii="Times New Roman" w:hAnsi="Times New Roman"/>
          <w:b w:val="false"/>
          <w:i w:val="false"/>
          <w:color w:val="000000"/>
          <w:sz w:val="22"/>
        </w:rPr>
        <w:t> </w:t>
      </w:r>
      <w:r>
        <w:rPr>
          <w:rFonts w:ascii="Times New Roman" w:hAnsi="Times New Roman"/>
          <w:b w:val="false"/>
          <w:i w:val="false"/>
          <w:color w:val="000000"/>
          <w:sz w:val="22"/>
        </w:rPr>
        <w:t>Project applications shall be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924.8(2)</w:t>
      </w:r>
      <w:r>
        <w:rPr>
          <w:rFonts w:ascii="Times New Roman" w:hAnsi="Times New Roman"/>
          <w:b w:val="false"/>
          <w:i w:val="false"/>
          <w:color w:val="000000"/>
          <w:sz w:val="22"/>
        </w:rPr>
        <w:t> </w:t>
      </w:r>
      <w:r>
        <w:rPr>
          <w:rFonts w:ascii="Times New Roman" w:hAnsi="Times New Roman"/>
          <w:b w:val="false"/>
          <w:i w:val="false"/>
          <w:color w:val="000000"/>
          <w:sz w:val="22"/>
        </w:rPr>
        <w:t>Each application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information, including the transit system name, contact person, mailing address, email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project data sheet,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project, its purpose and anticipated benefits to the transit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Cost information including total project cost and an itemized breakdown of project components (including transit vs. nontransit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proposed implementation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of the applicant’s ability to complete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sketch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Documentation of project justification.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resolution from the governing body of the sponsoring transit system endorsing the project and authorizing the necessary local funding match.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0159D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761—924.9</w:t>
      </w:r>
      <w:r>
        <w:rPr>
          <w:rFonts w:ascii="Times New Roman" w:hAnsi="Times New Roman"/>
          <w:b/>
          <w:i w:val="false"/>
          <w:color w:val="000000"/>
          <w:sz w:val="22"/>
        </w:rPr>
        <w:t xml:space="preserve">(324A) </w:t>
      </w:r>
      <w:r>
        <w:rPr>
          <w:rFonts w:ascii="Times New Roman" w:hAnsi="Times New Roman"/>
          <w:b/>
          <w:i w:val="false"/>
          <w:color w:val="000000"/>
          <w:sz w:val="22"/>
        </w:rPr>
        <w:t xml:space="preserve">Review and approval. </w:t>
      </w:r>
      <w:r>
        <w:rPr>
          <w:rFonts w:ascii="Times New Roman" w:hAnsi="Times New Roman"/>
          <w:b w:val="false"/>
          <w:i w:val="false"/>
          <w:color w:val="000000"/>
          <w:sz w:val="22"/>
        </w:rPr>
        <w:t>Department staff will review project applications and submit recommendations to the transportation commission. The transportation commission is responsible for approving the projects to be funded.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0159D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761—924.10</w:t>
      </w:r>
      <w:r>
        <w:rPr>
          <w:rFonts w:ascii="Times New Roman" w:hAnsi="Times New Roman"/>
          <w:b/>
          <w:i w:val="false"/>
          <w:color w:val="000000"/>
          <w:sz w:val="22"/>
        </w:rPr>
        <w:t xml:space="preserve">(324A) </w:t>
      </w:r>
      <w:r>
        <w:rPr>
          <w:rFonts w:ascii="Times New Roman" w:hAnsi="Times New Roman"/>
          <w:b/>
          <w:i w:val="false"/>
          <w:color w:val="000000"/>
          <w:sz w:val="22"/>
        </w:rPr>
        <w:t xml:space="preserve">Project priorities. </w:t>
      </w:r>
      <w:r>
        <w:rPr>
          <w:rFonts w:ascii="Times New Roman" w:hAnsi="Times New Roman"/>
          <w:b w:val="false"/>
          <w:i w:val="false"/>
          <w:color w:val="000000"/>
          <w:sz w:val="22"/>
        </w:rPr>
        <w:t>The transportation commission shall consider the following in project selection: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924.10(1)</w:t>
      </w:r>
      <w:r>
        <w:rPr>
          <w:rFonts w:ascii="Times New Roman" w:hAnsi="Times New Roman"/>
          <w:b w:val="false"/>
          <w:i w:val="false"/>
          <w:color w:val="000000"/>
          <w:sz w:val="22"/>
        </w:rPr>
        <w:t> </w:t>
      </w:r>
      <w:r>
        <w:rPr>
          <w:rFonts w:ascii="Times New Roman" w:hAnsi="Times New Roman"/>
          <w:b w:val="false"/>
          <w:i w:val="false"/>
          <w:color w:val="000000"/>
          <w:sz w:val="22"/>
        </w:rPr>
        <w:t>Benefits of project to the transit program in terms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Enhancement of the life of the transit vehicle fleet.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Enhancement to transit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Increased ridership.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924.10(2)</w:t>
      </w:r>
      <w:r>
        <w:rPr>
          <w:rFonts w:ascii="Times New Roman" w:hAnsi="Times New Roman"/>
          <w:b w:val="false"/>
          <w:i w:val="false"/>
          <w:color w:val="000000"/>
          <w:sz w:val="22"/>
        </w:rPr>
        <w:t> </w:t>
      </w:r>
      <w:r>
        <w:rPr>
          <w:rFonts w:ascii="Times New Roman" w:hAnsi="Times New Roman"/>
          <w:b w:val="false"/>
          <w:i w:val="false"/>
          <w:color w:val="000000"/>
          <w:sz w:val="22"/>
        </w:rPr>
        <w:t>Readiness to proceed.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924.10(3)</w:t>
      </w:r>
      <w:r>
        <w:rPr>
          <w:rFonts w:ascii="Times New Roman" w:hAnsi="Times New Roman"/>
          <w:b w:val="false"/>
          <w:i w:val="false"/>
          <w:color w:val="000000"/>
          <w:sz w:val="22"/>
        </w:rPr>
        <w:t> </w:t>
      </w:r>
      <w:r>
        <w:rPr>
          <w:rFonts w:ascii="Times New Roman" w:hAnsi="Times New Roman"/>
          <w:b w:val="false"/>
          <w:i w:val="false"/>
          <w:color w:val="000000"/>
          <w:sz w:val="22"/>
        </w:rPr>
        <w:t>Feasibility of timely completion of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924.10(4)</w:t>
      </w:r>
      <w:r>
        <w:rPr>
          <w:rFonts w:ascii="Times New Roman" w:hAnsi="Times New Roman"/>
          <w:b w:val="false"/>
          <w:i w:val="false"/>
          <w:color w:val="000000"/>
          <w:sz w:val="22"/>
        </w:rPr>
        <w:t> </w:t>
      </w:r>
      <w:r>
        <w:rPr>
          <w:rFonts w:ascii="Times New Roman" w:hAnsi="Times New Roman"/>
          <w:b w:val="false"/>
          <w:i w:val="false"/>
          <w:color w:val="000000"/>
          <w:sz w:val="22"/>
        </w:rPr>
        <w:t>Ability of the project to leverage other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0159D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761—924.11</w:t>
      </w:r>
      <w:r>
        <w:rPr>
          <w:rFonts w:ascii="Times New Roman" w:hAnsi="Times New Roman"/>
          <w:b/>
          <w:i w:val="false"/>
          <w:color w:val="000000"/>
          <w:sz w:val="22"/>
        </w:rPr>
        <w:t xml:space="preserve">(324A) </w:t>
      </w:r>
      <w:r>
        <w:rPr>
          <w:rFonts w:ascii="Times New Roman" w:hAnsi="Times New Roman"/>
          <w:b/>
          <w:i w:val="false"/>
          <w:color w:val="000000"/>
          <w:sz w:val="22"/>
        </w:rPr>
        <w:t xml:space="preserve">Project agreement, administration and ownership.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924.11(1)</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After a project has been approved, the department will enter into an agreement with the transit system sponsoring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924.11(2)</w:t>
      </w:r>
      <w:r>
        <w:rPr>
          <w:rFonts w:ascii="Times New Roman" w:hAnsi="Times New Roman"/>
          <w:b w:val="false"/>
          <w:i w:val="false"/>
          <w:color w:val="000000"/>
          <w:sz w:val="22"/>
        </w:rPr>
        <w:t> </w:t>
      </w:r>
      <w:r>
        <w:rPr>
          <w:rFonts w:ascii="Times New Roman" w:hAnsi="Times New Roman"/>
          <w:b w:val="false"/>
          <w:i/>
          <w:color w:val="000000"/>
          <w:sz w:val="22"/>
        </w:rPr>
        <w:t xml:space="preserve">Payments. </w:t>
      </w:r>
      <w:r>
        <w:rPr>
          <w:rFonts w:ascii="Times New Roman" w:hAnsi="Times New Roman"/>
          <w:b w:val="false"/>
          <w:i w:val="false"/>
          <w:color w:val="000000"/>
          <w:sz w:val="22"/>
        </w:rPr>
        <w:t>Payments to the transit system sponsor for eligible project costs will be made on a cost reimbursement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924.11(3)</w:t>
      </w:r>
      <w:r>
        <w:rPr>
          <w:rFonts w:ascii="Times New Roman" w:hAnsi="Times New Roman"/>
          <w:b w:val="false"/>
          <w:i w:val="false"/>
          <w:color w:val="000000"/>
          <w:sz w:val="22"/>
        </w:rPr>
        <w:t> </w:t>
      </w:r>
      <w:r>
        <w:rPr>
          <w:rFonts w:ascii="Times New Roman" w:hAnsi="Times New Roman"/>
          <w:b w:val="false"/>
          <w:i/>
          <w:color w:val="000000"/>
          <w:sz w:val="22"/>
        </w:rPr>
        <w:t xml:space="preserve">Ownership. </w:t>
      </w:r>
      <w:r>
        <w:rPr>
          <w:rFonts w:ascii="Times New Roman" w:hAnsi="Times New Roman"/>
          <w:b w:val="false"/>
          <w:i w:val="false"/>
          <w:color w:val="000000"/>
          <w:sz w:val="22"/>
        </w:rPr>
        <w:t xml:space="preserve">The transit system must retain ownership of the new, renovated or repaired structure or facility for its useful life. If the structure or facility is transferred or sold before the useful life has expired, the transit system must repay the prorated state interest to the department. Useful life thresholds can be found in the department’s transit manager’s handbook, which is available on the department’s website at </w:t>
      </w:r>
      <w:hyperlink r:id="rId8">
        <w:r>
          <w:rPr>
            <w:rStyle w:val="Hyperlink"/>
            <w:rFonts w:ascii="Times New Roman" w:hAnsi="Times New Roman"/>
            <w:b w:val="false"/>
            <w:i w:val="false"/>
            <w:color w:val="000000"/>
            <w:sz w:val="22"/>
            <w:u w:val="single"/>
          </w:rPr>
          <w:t>iowadot.gov/modes-travel/transit</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0159D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8.57</w:t>
        </w:r>
      </w:hyperlink>
      <w:r>
        <w:rPr>
          <w:rFonts w:ascii="Times New Roman" w:hAnsi="Times New Roman"/>
          <w:b w:val="false"/>
          <w:i w:val="false"/>
          <w:color w:val="000000"/>
          <w:sz w:val="22"/>
        </w:rPr>
        <w:t>, </w:t>
      </w:r>
      <w:hyperlink r:id="rId10">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324A.6A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ARC 3194C</w:t>
      </w:r>
      <w:r>
        <w:rPr>
          <w:rFonts w:ascii="Times New Roman" w:hAnsi="Times New Roman"/>
          <w:b w:val="false"/>
          <w:i w:val="false"/>
          <w:color w:val="000000"/>
          <w:sz w:val="21"/>
        </w:rPr>
        <w:t xml:space="preserve"> (Notice ARC 3034C, IAB 4/26/17)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5498C</w:t>
      </w:r>
      <w:r>
        <w:rPr>
          <w:rFonts w:ascii="Times New Roman" w:hAnsi="Times New Roman"/>
          <w:b w:val="false"/>
          <w:i w:val="false"/>
          <w:color w:val="000000"/>
          <w:sz w:val="21"/>
        </w:rPr>
        <w:t xml:space="preserve"> (Notice ARC 5313C, IAB 12/16/20)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0159D</w:t>
      </w:r>
      <w:r>
        <w:rPr>
          <w:rFonts w:ascii="Times New Roman" w:hAnsi="Times New Roman"/>
          <w:b w:val="false"/>
          <w:i w:val="false"/>
          <w:color w:val="000000"/>
          <w:sz w:val="21"/>
        </w:rPr>
        <w:t xml:space="preserve"> (Notice ARC 9786C, IAB 12/10/25)</w:t>
      </w:r>
      <w:r>
        <w:rPr>
          <w:rFonts w:ascii="Times New Roman" w:hAnsi="Times New Roman"/>
          <w:b w:val="false"/>
          <w:i w:val="false"/>
          <w:color w:val="000000"/>
          <w:sz w:val="21"/>
        </w:rPr>
        <w:t>, IAB 3/18/26, effective 4/22/26]</w:t>
      </w:r>
    </w:p>
    <w:sectPr>
      <w:footerReference r:id="rId12"/>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4A.1.pdf" Type="http://schemas.openxmlformats.org/officeDocument/2006/relationships/hyperlink" Id="rId5"/>
    <Relationship TargetMode="External" Target="https://www.legis.iowa.gov/docs/ico/chapter/8.57.pdf" Type="http://schemas.openxmlformats.org/officeDocument/2006/relationships/hyperlink" Id="rId6"/>
    <Relationship TargetMode="External" Target="http://iowadot.gov/modes-travel/transit" Type="http://schemas.openxmlformats.org/officeDocument/2006/relationships/hyperlink" Id="rId7"/>
    <Relationship TargetMode="External" Target="http://iowadot.gov/modes-travel/transit" Type="http://schemas.openxmlformats.org/officeDocument/2006/relationships/hyperlink" Id="rId8"/>
    <Relationship TargetMode="External" Target="https://www.legis.iowa.gov/docs/ico/chapter/8.57.pdf" Type="http://schemas.openxmlformats.org/officeDocument/2006/relationships/hyperlink" Id="rId9"/>
    <Relationship TargetMode="External" Target="https://www.legis.iowa.gov/docs/ico/chapter/324A.1.pdf" Type="http://schemas.openxmlformats.org/officeDocument/2006/relationships/hyperlink" Id="rId10"/>
    <Relationship TargetMode="External" Target="https://www.legis.iowa.gov/docs/ico/chapter/324A.6A.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