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911</w:t>
      </w:r>
    </w:p>
    <w:p>
      <w:pPr>
        <w:spacing w:before="0" w:after="0"/>
        <w:ind w:left="120"/>
        <w:jc w:val="center"/>
      </w:pPr>
      <w:r>
        <w:rPr>
          <w:rFonts w:ascii="Times New Roman" w:hAnsi="Times New Roman"/>
          <w:b w:val="false"/>
          <w:i w:val="false"/>
          <w:color w:val="000000"/>
          <w:sz w:val="21"/>
        </w:rPr>
        <w:t xml:space="preserve">SCHOOL TRANSPORTATION SERVICES PROVIDED </w:t>
      </w:r>
      <w:r>
        <w:br/>
      </w:r>
      <w:r>
        <w:rPr>
          <w:rFonts w:ascii="Times New Roman" w:hAnsi="Times New Roman"/>
          <w:b w:val="false"/>
          <w:i w:val="false"/>
          <w:color w:val="000000"/>
          <w:sz w:val="21"/>
        </w:rPr>
        <w:t>BY REGIONAL TRANSIT SYSTEMS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5/20/31</w:t>
      </w:r>
    </w:p>
    <w:p>
      <w:pPr>
        <w:spacing w:before="0" w:after="0"/>
        <w:ind w:left="120"/>
        <w:jc w:val="both"/>
      </w:pPr>
      <w:r>
        <w:rPr>
          <w:rFonts w:ascii="Times New Roman" w:hAnsi="Times New Roman"/>
          <w:b/>
          <w:i w:val="false"/>
          <w:color w:val="000000"/>
          <w:sz w:val="22"/>
        </w:rPr>
        <w:t>761—911.1</w:t>
      </w:r>
      <w:r>
        <w:rPr>
          <w:rFonts w:ascii="Times New Roman" w:hAnsi="Times New Roman"/>
          <w:b/>
          <w:i w:val="false"/>
          <w:color w:val="000000"/>
          <w:sz w:val="22"/>
        </w:rPr>
        <w:t xml:space="preserve">(321) </w:t>
      </w:r>
      <w:r>
        <w:rPr>
          <w:rFonts w:ascii="Times New Roman" w:hAnsi="Times New Roman"/>
          <w:b/>
          <w:i w:val="false"/>
          <w:color w:val="000000"/>
          <w:sz w:val="22"/>
        </w:rPr>
        <w:t xml:space="preserve">Purpose and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chapter establishes standards for school transportation services provided by Iowa’s regional transit systems under contract with local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911.1(2)</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 xml:space="preserve">Information and forms may be obtained from the Modal Transportation Bureau, Iowa Department of Transportation, 800 Lincoln Way, Ames, Iowa 50010; telephone 515.233.7870; or the department’s website at </w:t>
      </w:r>
      <w:hyperlink r:id="rId5">
        <w:r>
          <w:rPr>
            <w:rStyle w:val="Hyperlink"/>
            <w:rFonts w:ascii="Times New Roman" w:hAnsi="Times New Roman"/>
            <w:b w:val="false"/>
            <w:i w:val="false"/>
            <w:color w:val="000000"/>
            <w:sz w:val="22"/>
            <w:u w:val="single"/>
          </w:rPr>
          <w:t>www.iowadot.gov/transit</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0220D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761—911.2</w:t>
      </w:r>
      <w:r>
        <w:rPr>
          <w:rFonts w:ascii="Times New Roman" w:hAnsi="Times New Roman"/>
          <w:b/>
          <w:i w:val="false"/>
          <w:color w:val="000000"/>
          <w:sz w:val="22"/>
        </w:rPr>
        <w:t xml:space="preserve">(321,324A)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sections </w:t>
      </w:r>
      <w:hyperlink r:id="rId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 xml:space="preserve">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“Bus”</w:t>
      </w:r>
      <w:r>
        <w:rPr>
          <w:rFonts w:ascii="Times New Roman" w:hAnsi="Times New Roman"/>
          <w:b w:val="false"/>
          <w:i w:val="false"/>
          <w:color w:val="000000"/>
          <w:sz w:val="22"/>
        </w:rPr>
        <w:t> </w:t>
      </w:r>
      <w:r>
        <w:rPr>
          <w:rFonts w:ascii="Times New Roman" w:hAnsi="Times New Roman"/>
          <w:b w:val="false"/>
          <w:i w:val="false"/>
          <w:color w:val="000000"/>
          <w:sz w:val="22"/>
        </w:rPr>
        <w:t>means a motor vehicle, excluding a trailer, designed to carry ten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bus”</w:t>
      </w:r>
      <w:r>
        <w:rPr>
          <w:rFonts w:ascii="Times New Roman" w:hAnsi="Times New Roman"/>
          <w:b w:val="false"/>
          <w:i w:val="false"/>
          <w:color w:val="000000"/>
          <w:sz w:val="22"/>
        </w:rPr>
        <w:t> </w:t>
      </w:r>
      <w:r>
        <w:rPr>
          <w:rFonts w:ascii="Times New Roman" w:hAnsi="Times New Roman"/>
          <w:b w:val="false"/>
          <w:i w:val="false"/>
          <w:color w:val="000000"/>
          <w:sz w:val="22"/>
        </w:rPr>
        <w:t>means a bus that complies with all federal motor vehicle safety standards applicable to a school bus.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 transportation service”</w:t>
      </w:r>
      <w:r>
        <w:rPr>
          <w:rFonts w:ascii="Times New Roman" w:hAnsi="Times New Roman"/>
          <w:b w:val="false"/>
          <w:i w:val="false"/>
          <w:color w:val="000000"/>
          <w:sz w:val="22"/>
        </w:rPr>
        <w:t> </w:t>
      </w:r>
      <w:r>
        <w:rPr>
          <w:rFonts w:ascii="Times New Roman" w:hAnsi="Times New Roman"/>
          <w:b w:val="false"/>
          <w:i w:val="false"/>
          <w:color w:val="000000"/>
          <w:sz w:val="22"/>
        </w:rPr>
        <w:t>means transit service provided under contract to a public or nonpublic school or other group, including day care centers, to transport students to or from schools or school-sponsored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means a person attending a public or nonpublic school, grades prekindergarten through high school, including a Head Start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“Vehicle”</w:t>
      </w:r>
      <w:r>
        <w:rPr>
          <w:rFonts w:ascii="Times New Roman" w:hAnsi="Times New Roman"/>
          <w:b w:val="false"/>
          <w:i w:val="false"/>
          <w:color w:val="000000"/>
          <w:sz w:val="22"/>
        </w:rPr>
        <w:t> </w:t>
      </w:r>
      <w:r>
        <w:rPr>
          <w:rFonts w:ascii="Times New Roman" w:hAnsi="Times New Roman"/>
          <w:b w:val="false"/>
          <w:i w:val="false"/>
          <w:color w:val="000000"/>
          <w:sz w:val="22"/>
        </w:rPr>
        <w:t>means an automobile, multipurpose vehicle, bus or school bus, including as defined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0220D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761—911.3</w:t>
      </w:r>
      <w:r>
        <w:rPr>
          <w:rFonts w:ascii="Times New Roman" w:hAnsi="Times New Roman"/>
          <w:b/>
          <w:i w:val="false"/>
          <w:color w:val="000000"/>
          <w:sz w:val="22"/>
        </w:rPr>
        <w:t xml:space="preserve">(321) </w:t>
      </w:r>
      <w:r>
        <w:rPr>
          <w:rFonts w:ascii="Times New Roman" w:hAnsi="Times New Roman"/>
          <w:b/>
          <w:i w:val="false"/>
          <w:color w:val="000000"/>
          <w:sz w:val="22"/>
        </w:rPr>
        <w:t xml:space="preserve">Services to students as part of the general public. </w:t>
      </w:r>
      <w:r>
        <w:rPr>
          <w:rFonts w:ascii="Times New Roman" w:hAnsi="Times New Roman"/>
          <w:b w:val="false"/>
          <w:i w:val="false"/>
          <w:color w:val="000000"/>
          <w:sz w:val="22"/>
        </w:rPr>
        <w:t>All services provided by regional transit systems must be open to the public. This chapter shall not be construed to restrict the use of these services by any individual fare-paying passenger, in either fixed route or demand response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0220D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761—911.4</w:t>
      </w:r>
      <w:r>
        <w:rPr>
          <w:rFonts w:ascii="Times New Roman" w:hAnsi="Times New Roman"/>
          <w:b/>
          <w:i w:val="false"/>
          <w:color w:val="000000"/>
          <w:sz w:val="22"/>
        </w:rPr>
        <w:t xml:space="preserve">(321) </w:t>
      </w:r>
      <w:r>
        <w:rPr>
          <w:rFonts w:ascii="Times New Roman" w:hAnsi="Times New Roman"/>
          <w:b/>
          <w:i w:val="false"/>
          <w:color w:val="000000"/>
          <w:sz w:val="22"/>
        </w:rPr>
        <w:t xml:space="preserve">Contracts for nonexclusive school transportation. </w:t>
      </w:r>
      <w:r>
        <w:rPr>
          <w:rFonts w:ascii="Times New Roman" w:hAnsi="Times New Roman"/>
          <w:b w:val="false"/>
          <w:i w:val="false"/>
          <w:color w:val="000000"/>
          <w:sz w:val="22"/>
        </w:rPr>
        <w:t>Regional transit systems may contract with schools, day care providers, after-school program providers or others to provide nonexclusive school transportation service that meets the requirements of this chapter. Exclusive service contracts are prohibited.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0220D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761—911.5</w:t>
      </w:r>
      <w:r>
        <w:rPr>
          <w:rFonts w:ascii="Times New Roman" w:hAnsi="Times New Roman"/>
          <w:b/>
          <w:i w:val="false"/>
          <w:color w:val="000000"/>
          <w:sz w:val="22"/>
        </w:rPr>
        <w:t xml:space="preserve">(321) </w:t>
      </w:r>
      <w:r>
        <w:rPr>
          <w:rFonts w:ascii="Times New Roman" w:hAnsi="Times New Roman"/>
          <w:b/>
          <w:i w:val="false"/>
          <w:color w:val="000000"/>
          <w:sz w:val="22"/>
        </w:rPr>
        <w:t xml:space="preserve">Adoption of federal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911.5(1)</w:t>
      </w:r>
      <w:r>
        <w:rPr>
          <w:rFonts w:ascii="Times New Roman" w:hAnsi="Times New Roman"/>
          <w:b w:val="false"/>
          <w:i w:val="false"/>
          <w:color w:val="000000"/>
          <w:sz w:val="22"/>
        </w:rPr>
        <w:t>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The department adopts the following portions of the October 1, 2024, Code of Federal Regulations, which are referenced throughout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49 CFR Part 38</w:t>
      </w:r>
      <w:r>
        <w:rPr>
          <w:rFonts w:ascii="Times New Roman" w:hAnsi="Times New Roman"/>
          <w:b w:val="false"/>
          <w:i w:val="false"/>
          <w:color w:val="000000"/>
          <w:sz w:val="22"/>
        </w:rPr>
        <w:t>, Americans with Disabilities Act (ADA) Accessibility Specifications for Transportation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49 CFR Part 571</w:t>
      </w:r>
      <w:r>
        <w:rPr>
          <w:rFonts w:ascii="Times New Roman" w:hAnsi="Times New Roman"/>
          <w:b w:val="false"/>
          <w:i w:val="false"/>
          <w:color w:val="000000"/>
          <w:sz w:val="22"/>
        </w:rPr>
        <w:t>, Federal Motor Vehicle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49 CFR Part 655</w:t>
      </w:r>
      <w:r>
        <w:rPr>
          <w:rFonts w:ascii="Times New Roman" w:hAnsi="Times New Roman"/>
          <w:b w:val="false"/>
          <w:i w:val="false"/>
          <w:color w:val="000000"/>
          <w:sz w:val="22"/>
        </w:rPr>
        <w:t>, Prevention of Alcohol Misuse and Prohibited Drug Use in Transit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911.5(2)</w:t>
      </w:r>
      <w:r>
        <w:rPr>
          <w:rFonts w:ascii="Times New Roman" w:hAnsi="Times New Roman"/>
          <w:b w:val="false"/>
          <w:i w:val="false"/>
          <w:color w:val="000000"/>
          <w:sz w:val="22"/>
        </w:rPr>
        <w:t> </w:t>
      </w:r>
      <w:r>
        <w:rPr>
          <w:rFonts w:ascii="Times New Roman" w:hAnsi="Times New Roman"/>
          <w:b w:val="false"/>
          <w:i/>
          <w:color w:val="000000"/>
          <w:sz w:val="22"/>
        </w:rPr>
        <w:t xml:space="preserve">Obtaining copies of regulations. </w:t>
      </w:r>
      <w:r>
        <w:rPr>
          <w:rFonts w:ascii="Times New Roman" w:hAnsi="Times New Roman"/>
          <w:b w:val="false"/>
          <w:i w:val="false"/>
          <w:color w:val="000000"/>
          <w:sz w:val="22"/>
        </w:rPr>
        <w:t xml:space="preserve">Copies of these regulations are available from the state law library or online through the U.S. Government Publishing Office at </w:t>
      </w:r>
      <w:hyperlink r:id="rId8">
        <w:r>
          <w:rPr>
            <w:rStyle w:val="Hyperlink"/>
            <w:rFonts w:ascii="Times New Roman" w:hAnsi="Times New Roman"/>
            <w:b w:val="false"/>
            <w:i w:val="false"/>
            <w:color w:val="000000"/>
            <w:sz w:val="22"/>
            <w:u w:val="single"/>
          </w:rPr>
          <w:t>www.ecfr.gov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0220D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761—911.6</w:t>
      </w:r>
      <w:r>
        <w:rPr>
          <w:rFonts w:ascii="Times New Roman" w:hAnsi="Times New Roman"/>
          <w:b/>
          <w:i w:val="false"/>
          <w:color w:val="000000"/>
          <w:sz w:val="22"/>
        </w:rPr>
        <w:t xml:space="preserve">(321) </w:t>
      </w:r>
      <w:r>
        <w:rPr>
          <w:rFonts w:ascii="Times New Roman" w:hAnsi="Times New Roman"/>
          <w:b/>
          <w:i w:val="false"/>
          <w:color w:val="000000"/>
          <w:sz w:val="22"/>
        </w:rPr>
        <w:t xml:space="preserve">Driver standards. </w:t>
      </w:r>
      <w:r>
        <w:rPr>
          <w:rFonts w:ascii="Times New Roman" w:hAnsi="Times New Roman"/>
          <w:b w:val="false"/>
          <w:i w:val="false"/>
          <w:color w:val="000000"/>
          <w:sz w:val="22"/>
        </w:rPr>
        <w:t>The following standards apply to regional transit system drivers assigned to provide school transportation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911.6(1)</w:t>
      </w:r>
      <w:r>
        <w:rPr>
          <w:rFonts w:ascii="Times New Roman" w:hAnsi="Times New Roman"/>
          <w:b w:val="false"/>
          <w:i w:val="false"/>
          <w:color w:val="000000"/>
          <w:sz w:val="22"/>
        </w:rPr>
        <w:t> </w:t>
      </w:r>
      <w:r>
        <w:rPr>
          <w:rFonts w:ascii="Times New Roman" w:hAnsi="Times New Roman"/>
          <w:b w:val="false"/>
          <w:i/>
          <w:color w:val="000000"/>
          <w:sz w:val="22"/>
        </w:rPr>
        <w:t xml:space="preserve">Federal Transit Administration (FTA) drug and alcohol testing. </w:t>
      </w:r>
      <w:r>
        <w:rPr>
          <w:rFonts w:ascii="Times New Roman" w:hAnsi="Times New Roman"/>
          <w:b w:val="false"/>
          <w:i w:val="false"/>
          <w:color w:val="000000"/>
          <w:sz w:val="22"/>
        </w:rPr>
        <w:t xml:space="preserve">Each driver is subject to the following testing for drug and alcohol usage as detailed by the FTA in </w:t>
      </w:r>
      <w:r>
        <w:rPr>
          <w:rFonts w:ascii="Times New Roman" w:hAnsi="Times New Roman"/>
          <w:b w:val="false"/>
          <w:i w:val="false"/>
          <w:color w:val="000000"/>
          <w:sz w:val="22"/>
        </w:rPr>
        <w:t>49 CFR Part 655</w:t>
      </w:r>
      <w:r>
        <w:rPr>
          <w:rFonts w:ascii="Times New Roman" w:hAnsi="Times New Roman"/>
          <w:b w:val="false"/>
          <w:i w:val="false"/>
          <w:color w:val="000000"/>
          <w:sz w:val="22"/>
        </w:rPr>
        <w: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Preemployment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Reasonable suspicion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Postaccident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Random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Return to duty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Follow-up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911.6(2)</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r>
        <w:rPr>
          <w:rFonts w:ascii="Times New Roman" w:hAnsi="Times New Roman"/>
          <w:b w:val="false"/>
          <w:i w:val="false"/>
          <w:color w:val="000000"/>
          <w:sz w:val="22"/>
        </w:rPr>
        <w:t xml:space="preserve">Each driver must, before or within the first 6 months of assignment and at least every 24 months thereafter, complete a course of instruction approved by the department of education in accordance with Iowa Code section </w:t>
      </w:r>
      <w:hyperlink r:id="rId9">
        <w:r>
          <w:rPr>
            <w:rStyle w:val="Hyperlink"/>
            <w:rFonts w:ascii="Times New Roman" w:hAnsi="Times New Roman"/>
            <w:b w:val="false"/>
            <w:i w:val="false"/>
            <w:color w:val="000000"/>
            <w:sz w:val="22"/>
          </w:rPr>
          <w:t>321.376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911.6(3)</w:t>
      </w:r>
      <w:r>
        <w:rPr>
          <w:rFonts w:ascii="Times New Roman" w:hAnsi="Times New Roman"/>
          <w:b w:val="false"/>
          <w:i w:val="false"/>
          <w:color w:val="000000"/>
          <w:sz w:val="22"/>
        </w:rPr>
        <w:t> </w:t>
      </w:r>
      <w:r>
        <w:rPr>
          <w:rFonts w:ascii="Times New Roman" w:hAnsi="Times New Roman"/>
          <w:b w:val="false"/>
          <w:i/>
          <w:color w:val="000000"/>
          <w:sz w:val="22"/>
        </w:rPr>
        <w:t xml:space="preserve">Driving record check. </w:t>
      </w:r>
      <w:r>
        <w:rPr>
          <w:rFonts w:ascii="Times New Roman" w:hAnsi="Times New Roman"/>
          <w:b w:val="false"/>
          <w:i w:val="false"/>
          <w:color w:val="000000"/>
          <w:sz w:val="22"/>
        </w:rPr>
        <w:t>The regional transit system must review the driving record of each driver prior to assignment and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911.6(4)</w:t>
      </w:r>
      <w:r>
        <w:rPr>
          <w:rFonts w:ascii="Times New Roman" w:hAnsi="Times New Roman"/>
          <w:b w:val="false"/>
          <w:i w:val="false"/>
          <w:color w:val="000000"/>
          <w:sz w:val="22"/>
        </w:rPr>
        <w:t> </w:t>
      </w:r>
      <w:r>
        <w:rPr>
          <w:rFonts w:ascii="Times New Roman" w:hAnsi="Times New Roman"/>
          <w:b w:val="false"/>
          <w:i/>
          <w:color w:val="000000"/>
          <w:sz w:val="22"/>
        </w:rPr>
        <w:t xml:space="preserve">Criminal record check. </w:t>
      </w:r>
      <w:r>
        <w:rPr>
          <w:rFonts w:ascii="Times New Roman" w:hAnsi="Times New Roman"/>
          <w:b w:val="false"/>
          <w:i w:val="false"/>
          <w:color w:val="000000"/>
          <w:sz w:val="22"/>
        </w:rPr>
        <w:t>The regional transit system must conduct a criminal records review of each driver prior to assignment and on an annual basis. This review verifies that the driver has no history of child abuse or other criminal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911.6(5)</w:t>
      </w:r>
      <w:r>
        <w:rPr>
          <w:rFonts w:ascii="Times New Roman" w:hAnsi="Times New Roman"/>
          <w:b w:val="false"/>
          <w:i w:val="false"/>
          <w:color w:val="000000"/>
          <w:sz w:val="22"/>
        </w:rPr>
        <w:t> </w:t>
      </w:r>
      <w:r>
        <w:rPr>
          <w:rFonts w:ascii="Times New Roman" w:hAnsi="Times New Roman"/>
          <w:b w:val="false"/>
          <w:i/>
          <w:color w:val="000000"/>
          <w:sz w:val="22"/>
        </w:rPr>
        <w:t xml:space="preserve">Driver licensing. </w:t>
      </w:r>
      <w:r>
        <w:rPr>
          <w:rFonts w:ascii="Times New Roman" w:hAnsi="Times New Roman"/>
          <w:b w:val="false"/>
          <w:i w:val="false"/>
          <w:color w:val="000000"/>
          <w:sz w:val="22"/>
        </w:rPr>
        <w:t xml:space="preserve">Each driver must be licensed appropriately for the size and type of vehicle used as provided in Iowa Code section </w:t>
      </w:r>
      <w:hyperlink r:id="rId10">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 Class A, B or C commercial driver’s license with passenger endorsement may be required. A driver may operate the vehicle for purposes of training if the driver has the appropriate commercial learner’s permit as described in </w:t>
      </w:r>
      <w:hyperlink r:id="rId11">
        <w:r>
          <w:rPr>
            <w:rStyle w:val="Hyperlink"/>
            <w:rFonts w:ascii="Times New Roman" w:hAnsi="Times New Roman"/>
            <w:b w:val="false"/>
            <w:i w:val="false"/>
            <w:color w:val="000000"/>
            <w:sz w:val="22"/>
          </w:rPr>
          <w:t>761—Chapter 607</w:t>
        </w:r>
      </w:hyperlink>
      <w:r>
        <w:rPr>
          <w:rFonts w:ascii="Times New Roman" w:hAnsi="Times New Roman"/>
          <w:b w:val="false"/>
          <w:i w:val="false"/>
          <w:color w:val="000000"/>
          <w:sz w:val="22"/>
        </w:rPr>
        <w:t xml:space="preserve">, and the restrictions in rule </w:t>
      </w:r>
      <w:hyperlink r:id="rId12">
        <w:r>
          <w:rPr>
            <w:rStyle w:val="Hyperlink"/>
            <w:rFonts w:ascii="Times New Roman" w:hAnsi="Times New Roman"/>
            <w:b w:val="false"/>
            <w:i w:val="false"/>
            <w:color w:val="000000"/>
            <w:sz w:val="22"/>
          </w:rPr>
          <w:t>761—607.20</w:t>
        </w:r>
      </w:hyperlink>
      <w:r>
        <w:rPr>
          <w:rFonts w:ascii="Times New Roman" w:hAnsi="Times New Roman"/>
          <w:b w:val="false"/>
          <w:i w:val="false"/>
          <w:color w:val="000000"/>
          <w:sz w:val="22"/>
        </w:rPr>
        <w:t>(321) shall apply. If a commercial driver’s license is not required, a Class D (chauffeur) license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911.6(6)</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operate a school bus. </w:t>
      </w:r>
      <w:r>
        <w:rPr>
          <w:rFonts w:ascii="Times New Roman" w:hAnsi="Times New Roman"/>
          <w:b w:val="false"/>
          <w:i w:val="false"/>
          <w:color w:val="000000"/>
          <w:sz w:val="22"/>
        </w:rPr>
        <w:t xml:space="preserve">Each driver who transports students must have an authorization to operate a school bus issued by the department of education in accordance with Iowa Code section </w:t>
      </w:r>
      <w:hyperlink r:id="rId13">
        <w:r>
          <w:rPr>
            <w:rStyle w:val="Hyperlink"/>
            <w:rFonts w:ascii="Times New Roman" w:hAnsi="Times New Roman"/>
            <w:b w:val="false"/>
            <w:i w:val="false"/>
            <w:color w:val="000000"/>
            <w:sz w:val="22"/>
          </w:rPr>
          <w:t>321.376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911.6(7)</w:t>
      </w:r>
      <w:r>
        <w:rPr>
          <w:rFonts w:ascii="Times New Roman" w:hAnsi="Times New Roman"/>
          <w:b w:val="false"/>
          <w:i w:val="false"/>
          <w:color w:val="000000"/>
          <w:sz w:val="22"/>
        </w:rPr>
        <w:t> </w:t>
      </w:r>
      <w:r>
        <w:rPr>
          <w:rFonts w:ascii="Times New Roman" w:hAnsi="Times New Roman"/>
          <w:b w:val="false"/>
          <w:i/>
          <w:color w:val="000000"/>
          <w:sz w:val="22"/>
        </w:rPr>
        <w:t xml:space="preserve">Physical fitness.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driver who transports students must undergo a physical examination by a certified medical examiner who is listed on the National Registry of Certified Medical Examiners in accordance with Iowa Code section </w:t>
      </w:r>
      <w:hyperlink r:id="rId14">
        <w:r>
          <w:rPr>
            <w:rStyle w:val="Hyperlink"/>
            <w:rFonts w:ascii="Times New Roman" w:hAnsi="Times New Roman"/>
            <w:b w:val="false"/>
            <w:i w:val="false"/>
            <w:color w:val="000000"/>
            <w:sz w:val="22"/>
          </w:rPr>
          <w:t>321.375(1)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with rule </w:t>
      </w:r>
      <w:hyperlink r:id="rId15">
        <w:r>
          <w:rPr>
            <w:rStyle w:val="Hyperlink"/>
            <w:rFonts w:ascii="Times New Roman" w:hAnsi="Times New Roman"/>
            <w:b w:val="false"/>
            <w:i w:val="false"/>
            <w:color w:val="000000"/>
            <w:sz w:val="22"/>
          </w:rPr>
          <w:t>281—43.15</w:t>
        </w:r>
      </w:hyperlink>
      <w:r>
        <w:rPr>
          <w:rFonts w:ascii="Times New Roman" w:hAnsi="Times New Roman"/>
          <w:b w:val="false"/>
          <w:i w:val="false"/>
          <w:color w:val="000000"/>
          <w:sz w:val="22"/>
        </w:rPr>
        <w:t xml:space="preserve">(285) or </w:t>
      </w:r>
      <w:hyperlink r:id="rId16">
        <w:r>
          <w:rPr>
            <w:rStyle w:val="Hyperlink"/>
            <w:rFonts w:ascii="Times New Roman" w:hAnsi="Times New Roman"/>
            <w:b w:val="false"/>
            <w:i w:val="false"/>
            <w:color w:val="000000"/>
            <w:sz w:val="22"/>
          </w:rPr>
          <w:t>281—43.17</w:t>
        </w:r>
      </w:hyperlink>
      <w:r>
        <w:rPr>
          <w:rFonts w:ascii="Times New Roman" w:hAnsi="Times New Roman"/>
          <w:b w:val="false"/>
          <w:i w:val="false"/>
          <w:color w:val="000000"/>
          <w:sz w:val="22"/>
        </w:rPr>
        <w:t xml:space="preserve">(285). Annually, the driver must submit the signed medical examiner’s certificate to the driver’s employer.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 commercial driver’s license issuance or renewal, the driver shall self-certify as to the type of driving the driver does and, if required, provide a current medical examiner’s certificate to the department unless the driver’s medical examiner’s certification is provided to the department electronically by the Federal Motor Carrier Safety Administration pursuant to </w:t>
      </w:r>
      <w:hyperlink r:id="rId17">
        <w:r>
          <w:rPr>
            <w:rStyle w:val="Hyperlink"/>
            <w:rFonts w:ascii="Times New Roman" w:hAnsi="Times New Roman"/>
            <w:b w:val="false"/>
            <w:i w:val="false"/>
            <w:color w:val="000000"/>
            <w:sz w:val="22"/>
          </w:rPr>
          <w:t>761—paragraph 607.37(1)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761—subrule 607.50(2)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0220D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761—911.7</w:t>
      </w:r>
      <w:r>
        <w:rPr>
          <w:rFonts w:ascii="Times New Roman" w:hAnsi="Times New Roman"/>
          <w:b/>
          <w:i w:val="false"/>
          <w:color w:val="000000"/>
          <w:sz w:val="22"/>
        </w:rPr>
        <w:t xml:space="preserve">(321) </w:t>
      </w:r>
      <w:r>
        <w:rPr>
          <w:rFonts w:ascii="Times New Roman" w:hAnsi="Times New Roman"/>
          <w:b/>
          <w:i w:val="false"/>
          <w:color w:val="000000"/>
          <w:sz w:val="22"/>
        </w:rPr>
        <w:t xml:space="preserve">Vehicle standards. </w:t>
      </w:r>
      <w:r>
        <w:rPr>
          <w:rFonts w:ascii="Times New Roman" w:hAnsi="Times New Roman"/>
          <w:b w:val="false"/>
          <w:i w:val="false"/>
          <w:color w:val="000000"/>
          <w:sz w:val="22"/>
        </w:rPr>
        <w:t>The following standards apply to regional transit system vehicles assigned to provide school transportation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911.7(1)</w:t>
      </w:r>
      <w:r>
        <w:rPr>
          <w:rFonts w:ascii="Times New Roman" w:hAnsi="Times New Roman"/>
          <w:b w:val="false"/>
          <w:i w:val="false"/>
          <w:color w:val="000000"/>
          <w:sz w:val="22"/>
        </w:rPr>
        <w:t> </w:t>
      </w:r>
      <w:r>
        <w:rPr>
          <w:rFonts w:ascii="Times New Roman" w:hAnsi="Times New Roman"/>
          <w:b w:val="false"/>
          <w:i/>
          <w:color w:val="000000"/>
          <w:sz w:val="22"/>
        </w:rPr>
        <w:t xml:space="preserve">Vehicle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vehicle must be constructed in compliance with the federal motor vehicle safety standards for that type of vehicle as set forth in </w:t>
      </w:r>
      <w:r>
        <w:rPr>
          <w:rFonts w:ascii="Times New Roman" w:hAnsi="Times New Roman"/>
          <w:b w:val="false"/>
          <w:i w:val="false"/>
          <w:color w:val="000000"/>
          <w:sz w:val="22"/>
        </w:rPr>
        <w:t>49 CFR Part 571</w:t>
      </w:r>
      <w:r>
        <w:rPr>
          <w:rFonts w:ascii="Times New Roman" w:hAnsi="Times New Roman"/>
          <w:b w:val="false"/>
          <w:i w:val="false"/>
          <w:color w:val="000000"/>
          <w:sz w:val="22"/>
        </w:rPr>
        <w:t>. The capacity rating of automobiles and multipurpose vehicles shall not be modified or altered in any way except by the original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bus in use must also comply with the following federal motor vehicle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Standard No. 217, Bus Emergency Exits and Window Retention and Release. Buses utilized for school transportation shall incorporate a rear emergency exit door in meeting this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 No. 220, School Bus Rollover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Standard No. 221, School Bus Body Joint Strength.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Standard No. 301, Fuel System Integrity.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911.7(2)</w:t>
      </w:r>
      <w:r>
        <w:rPr>
          <w:rFonts w:ascii="Times New Roman" w:hAnsi="Times New Roman"/>
          <w:b w:val="false"/>
          <w:i w:val="false"/>
          <w:color w:val="000000"/>
          <w:sz w:val="22"/>
        </w:rPr>
        <w:t> </w:t>
      </w:r>
      <w:r>
        <w:rPr>
          <w:rFonts w:ascii="Times New Roman" w:hAnsi="Times New Roman"/>
          <w:b w:val="false"/>
          <w:i/>
          <w:color w:val="000000"/>
          <w:sz w:val="22"/>
        </w:rPr>
        <w:t xml:space="preserve">Passenger restraint/protection. </w:t>
      </w:r>
      <w:r>
        <w:rPr>
          <w:rFonts w:ascii="Times New Roman" w:hAnsi="Times New Roman"/>
          <w:b w:val="false"/>
          <w:i w:val="false"/>
          <w:color w:val="000000"/>
          <w:sz w:val="22"/>
        </w:rPr>
        <w:t xml:space="preserve">Each automobile, multipurpose vehicle or school bus must provide passenger restraint/protection devices as required for that type of vehicle in the federal motor vehicle safety standards. Each bus must meet the standards listed in either paragraphs </w:t>
      </w:r>
      <w:hyperlink r:id="rId19">
        <w:r>
          <w:rPr>
            <w:rStyle w:val="Hyperlink"/>
            <w:rFonts w:ascii="Times New Roman" w:hAnsi="Times New Roman"/>
            <w:b w:val="false"/>
            <w:i w:val="false"/>
            <w:color w:val="000000"/>
            <w:sz w:val="22"/>
          </w:rPr>
          <w:t>911.7(2)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or paragraph </w:t>
      </w:r>
      <w:hyperlink r:id="rId20">
        <w:r>
          <w:rPr>
            <w:rStyle w:val="Hyperlink"/>
            <w:rFonts w:ascii="Times New Roman" w:hAnsi="Times New Roman"/>
            <w:b w:val="false"/>
            <w:i w:val="false"/>
            <w:color w:val="000000"/>
            <w:sz w:val="22"/>
          </w:rPr>
          <w:t>911.7(2)</w:t>
        </w:r>
      </w:hyperlink>
      <w:r>
        <w:rPr>
          <w:rFonts w:ascii="Times New Roman" w:hAnsi="Times New Roman"/>
          <w:b w:val="false"/>
          <w:i/>
          <w:color w:val="000000"/>
          <w:sz w:val="22"/>
        </w:rPr>
        <w:t>“g”</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Standard No. 207, Seating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Standard No. 208, Occupant Crash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 No. 209, Seat Belt Assemblies.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Standard No. 210, Seat Belt Assembly Anchorages.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Standard No. 213, Child Restraint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Standard No. 225, Child Restraint Anchorage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Standard No. 222, School Bus Passenger Seating and Crash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911.7(3)</w:t>
      </w:r>
      <w:r>
        <w:rPr>
          <w:rFonts w:ascii="Times New Roman" w:hAnsi="Times New Roman"/>
          <w:b w:val="false"/>
          <w:i w:val="false"/>
          <w:color w:val="000000"/>
          <w:sz w:val="22"/>
        </w:rPr>
        <w:t> </w:t>
      </w:r>
      <w:r>
        <w:rPr>
          <w:rFonts w:ascii="Times New Roman" w:hAnsi="Times New Roman"/>
          <w:b w:val="false"/>
          <w:i/>
          <w:color w:val="000000"/>
          <w:sz w:val="22"/>
        </w:rPr>
        <w:t xml:space="preserve">Accessibility for persons with disabilities. </w:t>
      </w:r>
      <w:r>
        <w:rPr>
          <w:rFonts w:ascii="Times New Roman" w:hAnsi="Times New Roman"/>
          <w:b w:val="false"/>
          <w:i w:val="false"/>
          <w:color w:val="000000"/>
          <w:sz w:val="22"/>
        </w:rPr>
        <w:t xml:space="preserve">Each vehicle used for students with disabilities must comply with all applicable provisions of </w:t>
      </w:r>
      <w:r>
        <w:rPr>
          <w:rFonts w:ascii="Times New Roman" w:hAnsi="Times New Roman"/>
          <w:b w:val="false"/>
          <w:i w:val="false"/>
          <w:color w:val="000000"/>
          <w:sz w:val="22"/>
        </w:rPr>
        <w:t>49 CFR Part 38</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911.7(4)</w:t>
      </w:r>
      <w:r>
        <w:rPr>
          <w:rFonts w:ascii="Times New Roman" w:hAnsi="Times New Roman"/>
          <w:b w:val="false"/>
          <w:i w:val="false"/>
          <w:color w:val="000000"/>
          <w:sz w:val="22"/>
        </w:rPr>
        <w:t> </w:t>
      </w:r>
      <w:r>
        <w:rPr>
          <w:rFonts w:ascii="Times New Roman" w:hAnsi="Times New Roman"/>
          <w:b w:val="false"/>
          <w:i/>
          <w:color w:val="000000"/>
          <w:sz w:val="22"/>
        </w:rPr>
        <w:t xml:space="preserve">Signage. </w:t>
      </w:r>
      <w:r>
        <w:rPr>
          <w:rFonts w:ascii="Times New Roman" w:hAnsi="Times New Roman"/>
          <w:b w:val="false"/>
          <w:i w:val="false"/>
          <w:color w:val="000000"/>
          <w:sz w:val="22"/>
        </w:rPr>
        <w:t>A vehicle must not be signed as a school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911.7(5)</w:t>
      </w:r>
      <w:r>
        <w:rPr>
          <w:rFonts w:ascii="Times New Roman" w:hAnsi="Times New Roman"/>
          <w:b w:val="false"/>
          <w:i w:val="false"/>
          <w:color w:val="000000"/>
          <w:sz w:val="22"/>
        </w:rPr>
        <w:t> </w:t>
      </w:r>
      <w:r>
        <w:rPr>
          <w:rFonts w:ascii="Times New Roman" w:hAnsi="Times New Roman"/>
          <w:b w:val="false"/>
          <w:i/>
          <w:color w:val="000000"/>
          <w:sz w:val="22"/>
        </w:rPr>
        <w:t xml:space="preserve">Department of education inspection. </w:t>
      </w:r>
      <w:r>
        <w:rPr>
          <w:rFonts w:ascii="Times New Roman" w:hAnsi="Times New Roman"/>
          <w:b w:val="false"/>
          <w:i w:val="false"/>
          <w:color w:val="000000"/>
          <w:sz w:val="22"/>
        </w:rPr>
        <w:t>Every vehicle must be inspected twice annually by the department of education school bus inspectors and officers of the Iowa state patrol to determine if the vehicle meets all vehicle standards set forth in this chapter. The department of education will notify each regional transit system of the dates and locations of scheduled inspections. Inspections must be documented on a form prescribed jointly by the departments of transportation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911.7(6)</w:t>
      </w:r>
      <w:r>
        <w:rPr>
          <w:rFonts w:ascii="Times New Roman" w:hAnsi="Times New Roman"/>
          <w:b w:val="false"/>
          <w:i w:val="false"/>
          <w:color w:val="000000"/>
          <w:sz w:val="22"/>
        </w:rPr>
        <w:t> </w:t>
      </w:r>
      <w:r>
        <w:rPr>
          <w:rFonts w:ascii="Times New Roman" w:hAnsi="Times New Roman"/>
          <w:b w:val="false"/>
          <w:i/>
          <w:color w:val="000000"/>
          <w:sz w:val="22"/>
        </w:rPr>
        <w:t xml:space="preserve">Transfer to another public transit system. </w:t>
      </w:r>
      <w:r>
        <w:rPr>
          <w:rFonts w:ascii="Times New Roman" w:hAnsi="Times New Roman"/>
          <w:b w:val="false"/>
          <w:i w:val="false"/>
          <w:color w:val="000000"/>
          <w:sz w:val="22"/>
        </w:rPr>
        <w:t>When a public transit system purchases a used vehicle from another public transit system, the previous owner’s department of education’s bus inspections stickers must be removed. If the purchasing public transit system plans to use the vehicle for school transportation service, a new inspection must be performed on the vehicle.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0220D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761—911.8</w:t>
      </w:r>
      <w:r>
        <w:rPr>
          <w:rFonts w:ascii="Times New Roman" w:hAnsi="Times New Roman"/>
          <w:b/>
          <w:i w:val="false"/>
          <w:color w:val="000000"/>
          <w:sz w:val="22"/>
        </w:rPr>
        <w:t xml:space="preserve">(321) </w:t>
      </w:r>
      <w:r>
        <w:rPr>
          <w:rFonts w:ascii="Times New Roman" w:hAnsi="Times New Roman"/>
          <w:b/>
          <w:i w:val="false"/>
          <w:color w:val="000000"/>
          <w:sz w:val="22"/>
        </w:rPr>
        <w:t xml:space="preserve">Maintenance. </w:t>
      </w:r>
      <w:r>
        <w:rPr>
          <w:rFonts w:ascii="Times New Roman" w:hAnsi="Times New Roman"/>
          <w:b w:val="false"/>
          <w:i w:val="false"/>
          <w:color w:val="000000"/>
          <w:sz w:val="22"/>
        </w:rPr>
        <w:t>Regional transit system vehicles assigned to provide school transportation service must be maintained in a safe and operable condition. The following maintenance practices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911.8(1)</w:t>
      </w:r>
      <w:r>
        <w:rPr>
          <w:rFonts w:ascii="Times New Roman" w:hAnsi="Times New Roman"/>
          <w:b w:val="false"/>
          <w:i w:val="false"/>
          <w:color w:val="000000"/>
          <w:sz w:val="22"/>
        </w:rPr>
        <w:t> </w:t>
      </w:r>
      <w:r>
        <w:rPr>
          <w:rFonts w:ascii="Times New Roman" w:hAnsi="Times New Roman"/>
          <w:b w:val="false"/>
          <w:i/>
          <w:color w:val="000000"/>
          <w:sz w:val="22"/>
        </w:rPr>
        <w:t xml:space="preserve">FTA drug and alcohol testing of mechanics. </w:t>
      </w:r>
      <w:r>
        <w:rPr>
          <w:rFonts w:ascii="Times New Roman" w:hAnsi="Times New Roman"/>
          <w:b w:val="false"/>
          <w:i w:val="false"/>
          <w:color w:val="000000"/>
          <w:sz w:val="22"/>
        </w:rPr>
        <w:t xml:space="preserve">With the exception of mechanics providing vehicle maintenance services under contract to a regional transit system-recipient of funding from </w:t>
      </w:r>
      <w:r>
        <w:rPr>
          <w:rFonts w:ascii="Times New Roman" w:hAnsi="Times New Roman"/>
          <w:b w:val="false"/>
          <w:i w:val="false"/>
          <w:color w:val="000000"/>
          <w:sz w:val="22"/>
        </w:rPr>
        <w:t>49 U.S.C. 5311</w:t>
      </w:r>
      <w:r>
        <w:rPr>
          <w:rFonts w:ascii="Times New Roman" w:hAnsi="Times New Roman"/>
          <w:b w:val="false"/>
          <w:i w:val="false"/>
          <w:color w:val="000000"/>
          <w:sz w:val="22"/>
        </w:rPr>
        <w:t xml:space="preserve">, all personnel providing maintenance services on regional transit system vehicles are subject to drug and alcohol testing as required by the FTA in </w:t>
      </w:r>
      <w:r>
        <w:rPr>
          <w:rFonts w:ascii="Times New Roman" w:hAnsi="Times New Roman"/>
          <w:b w:val="false"/>
          <w:i w:val="false"/>
          <w:color w:val="000000"/>
          <w:sz w:val="22"/>
        </w:rPr>
        <w:t>49 CFR Part 655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911.8(2)</w:t>
      </w:r>
      <w:r>
        <w:rPr>
          <w:rFonts w:ascii="Times New Roman" w:hAnsi="Times New Roman"/>
          <w:b w:val="false"/>
          <w:i w:val="false"/>
          <w:color w:val="000000"/>
          <w:sz w:val="22"/>
        </w:rPr>
        <w:t> </w:t>
      </w:r>
      <w:r>
        <w:rPr>
          <w:rFonts w:ascii="Times New Roman" w:hAnsi="Times New Roman"/>
          <w:b w:val="false"/>
          <w:i/>
          <w:color w:val="000000"/>
          <w:sz w:val="22"/>
        </w:rPr>
        <w:t xml:space="preserve">Daily pretrip vehicle inspections. </w:t>
      </w:r>
      <w:r>
        <w:rPr>
          <w:rFonts w:ascii="Times New Roman" w:hAnsi="Times New Roman"/>
          <w:b w:val="false"/>
          <w:i w:val="false"/>
          <w:color w:val="000000"/>
          <w:sz w:val="22"/>
        </w:rPr>
        <w:t>Drivers of these vehicles must perform daily pretrip vehicle inspections using a form prescribed by the department or a mobile application including the same information. Regional transit systems must retain daily pretrip vehicle inspection reports and documentation of follow-up maintenance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911.8(3)</w:t>
      </w:r>
      <w:r>
        <w:rPr>
          <w:rFonts w:ascii="Times New Roman" w:hAnsi="Times New Roman"/>
          <w:b w:val="false"/>
          <w:i w:val="false"/>
          <w:color w:val="000000"/>
          <w:sz w:val="22"/>
        </w:rPr>
        <w:t> </w:t>
      </w:r>
      <w:r>
        <w:rPr>
          <w:rFonts w:ascii="Times New Roman" w:hAnsi="Times New Roman"/>
          <w:b w:val="false"/>
          <w:i/>
          <w:color w:val="000000"/>
          <w:sz w:val="22"/>
        </w:rPr>
        <w:t xml:space="preserve">Annual vehicle inspection. </w:t>
      </w:r>
      <w:r>
        <w:rPr>
          <w:rFonts w:ascii="Times New Roman" w:hAnsi="Times New Roman"/>
          <w:b w:val="false"/>
          <w:i w:val="false"/>
          <w:color w:val="000000"/>
          <w:sz w:val="22"/>
        </w:rPr>
        <w:t>Maintenance personnel must annually inspect each vehicle. Regional transit systems must retain annual vehicle inspection records for one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0220D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761—911.9</w:t>
      </w:r>
      <w:r>
        <w:rPr>
          <w:rFonts w:ascii="Times New Roman" w:hAnsi="Times New Roman"/>
          <w:b/>
          <w:i w:val="false"/>
          <w:color w:val="000000"/>
          <w:sz w:val="22"/>
        </w:rPr>
        <w:t xml:space="preserve">(321) </w:t>
      </w:r>
      <w:r>
        <w:rPr>
          <w:rFonts w:ascii="Times New Roman" w:hAnsi="Times New Roman"/>
          <w:b/>
          <w:i w:val="false"/>
          <w:color w:val="000000"/>
          <w:sz w:val="22"/>
        </w:rPr>
        <w:t xml:space="preserve">Safety equipment. </w:t>
      </w:r>
      <w:r>
        <w:rPr>
          <w:rFonts w:ascii="Times New Roman" w:hAnsi="Times New Roman"/>
          <w:b w:val="false"/>
          <w:i w:val="false"/>
          <w:color w:val="000000"/>
          <w:sz w:val="22"/>
        </w:rPr>
        <w:t>Regional transit system vehicles assigned to provide school transportation service must carry the following safety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911.9(1)</w:t>
      </w:r>
      <w:r>
        <w:rPr>
          <w:rFonts w:ascii="Times New Roman" w:hAnsi="Times New Roman"/>
          <w:b w:val="false"/>
          <w:i w:val="false"/>
          <w:color w:val="000000"/>
          <w:sz w:val="22"/>
        </w:rPr>
        <w:t> </w:t>
      </w:r>
      <w:r>
        <w:rPr>
          <w:rFonts w:ascii="Times New Roman" w:hAnsi="Times New Roman"/>
          <w:b w:val="false"/>
          <w:i/>
          <w:color w:val="000000"/>
          <w:sz w:val="22"/>
        </w:rPr>
        <w:t xml:space="preserve">Communication equipment. </w:t>
      </w:r>
      <w:r>
        <w:rPr>
          <w:rFonts w:ascii="Times New Roman" w:hAnsi="Times New Roman"/>
          <w:b w:val="false"/>
          <w:i w:val="false"/>
          <w:color w:val="000000"/>
          <w:sz w:val="22"/>
        </w:rPr>
        <w:t>Each vehicle must be equipped with a two-way radio, cellular telephone, or mobile data terminal tablet capable of emergency communication between the vehicle and the regional transit system’s base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911.9(2)</w:t>
      </w:r>
      <w:r>
        <w:rPr>
          <w:rFonts w:ascii="Times New Roman" w:hAnsi="Times New Roman"/>
          <w:b w:val="false"/>
          <w:i w:val="false"/>
          <w:color w:val="000000"/>
          <w:sz w:val="22"/>
        </w:rPr>
        <w:t> </w:t>
      </w:r>
      <w:r>
        <w:rPr>
          <w:rFonts w:ascii="Times New Roman" w:hAnsi="Times New Roman"/>
          <w:b w:val="false"/>
          <w:i/>
          <w:color w:val="000000"/>
          <w:sz w:val="22"/>
        </w:rPr>
        <w:t xml:space="preserve">First-aid/body fluids cleanup kit(s). </w:t>
      </w:r>
      <w:r>
        <w:rPr>
          <w:rFonts w:ascii="Times New Roman" w:hAnsi="Times New Roman"/>
          <w:b w:val="false"/>
          <w:i w:val="false"/>
          <w:color w:val="000000"/>
          <w:sz w:val="22"/>
        </w:rPr>
        <w:t>Each vehicle must be equipped with a first-aid kit of sufficient size and content for the capacity of the vehicle and be equipped with a body fluid cleanup kit. These may be provided as separate kits or combined into one kit. The contents of the kit(s) must be contained in one or more moistureproof and dustproof container(s) stored in an accessible location within the driver’s compartment and must be removable from the vehicle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911.9(3)</w:t>
      </w:r>
      <w:r>
        <w:rPr>
          <w:rFonts w:ascii="Times New Roman" w:hAnsi="Times New Roman"/>
          <w:b w:val="false"/>
          <w:i w:val="false"/>
          <w:color w:val="000000"/>
          <w:sz w:val="22"/>
        </w:rPr>
        <w:t> </w:t>
      </w:r>
      <w:r>
        <w:rPr>
          <w:rFonts w:ascii="Times New Roman" w:hAnsi="Times New Roman"/>
          <w:b w:val="false"/>
          <w:i/>
          <w:color w:val="000000"/>
          <w:sz w:val="22"/>
        </w:rPr>
        <w:t xml:space="preserve">Fire extinguisher. </w:t>
      </w:r>
      <w:r>
        <w:rPr>
          <w:rFonts w:ascii="Times New Roman" w:hAnsi="Times New Roman"/>
          <w:b w:val="false"/>
          <w:i w:val="false"/>
          <w:color w:val="000000"/>
          <w:sz w:val="22"/>
        </w:rPr>
        <w:t xml:space="preserve">Each bus or school bus must be equipped with a minimum 5-pound capacity, dry chemical fire extinguisher. Each automobile and multipurpose vehicle must be equipped with an extinguisher of at least 2.5-pound capacity. Extinguishers must have a 2A-10BC rating. All fire extinguishers shall be inspected and maintained in accordance with the National Fire Protection Association requirements. The standards for portable extinguishers are available online from the National Fire Protection Association at </w:t>
      </w:r>
      <w:hyperlink r:id="rId21">
        <w:r>
          <w:rPr>
            <w:rStyle w:val="Hyperlink"/>
            <w:rFonts w:ascii="Times New Roman" w:hAnsi="Times New Roman"/>
            <w:b w:val="false"/>
            <w:i w:val="false"/>
            <w:color w:val="000000"/>
            <w:sz w:val="22"/>
            <w:u w:val="single"/>
          </w:rPr>
          <w:t>www.nfpa.org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911.9(4)</w:t>
      </w:r>
      <w:r>
        <w:rPr>
          <w:rFonts w:ascii="Times New Roman" w:hAnsi="Times New Roman"/>
          <w:b w:val="false"/>
          <w:i w:val="false"/>
          <w:color w:val="000000"/>
          <w:sz w:val="22"/>
        </w:rPr>
        <w:t> </w:t>
      </w:r>
      <w:r>
        <w:rPr>
          <w:rFonts w:ascii="Times New Roman" w:hAnsi="Times New Roman"/>
          <w:b w:val="false"/>
          <w:i/>
          <w:color w:val="000000"/>
          <w:sz w:val="22"/>
        </w:rPr>
        <w:t xml:space="preserve">Seatbelt web cutter. </w:t>
      </w:r>
      <w:r>
        <w:rPr>
          <w:rFonts w:ascii="Times New Roman" w:hAnsi="Times New Roman"/>
          <w:b w:val="false"/>
          <w:i w:val="false"/>
          <w:color w:val="000000"/>
          <w:sz w:val="22"/>
        </w:rPr>
        <w:t>A seatbelt web cutter must be mounted or placed within reach of the driver.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911.9(5)</w:t>
      </w:r>
      <w:r>
        <w:rPr>
          <w:rFonts w:ascii="Times New Roman" w:hAnsi="Times New Roman"/>
          <w:b w:val="false"/>
          <w:i w:val="false"/>
          <w:color w:val="000000"/>
          <w:sz w:val="22"/>
        </w:rPr>
        <w:t> </w:t>
      </w:r>
      <w:r>
        <w:rPr>
          <w:rFonts w:ascii="Times New Roman" w:hAnsi="Times New Roman"/>
          <w:b w:val="false"/>
          <w:i/>
          <w:color w:val="000000"/>
          <w:sz w:val="22"/>
        </w:rPr>
        <w:t xml:space="preserve">Roadside reflective triangles. </w:t>
      </w:r>
      <w:r>
        <w:rPr>
          <w:rFonts w:ascii="Times New Roman" w:hAnsi="Times New Roman"/>
          <w:b w:val="false"/>
          <w:i w:val="false"/>
          <w:color w:val="000000"/>
          <w:sz w:val="22"/>
        </w:rPr>
        <w:t>Each vehicle must be equipped with roadside reflective triangles for use in case of breakdown or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911.9(6)</w:t>
      </w:r>
      <w:r>
        <w:rPr>
          <w:rFonts w:ascii="Times New Roman" w:hAnsi="Times New Roman"/>
          <w:b w:val="false"/>
          <w:i w:val="false"/>
          <w:color w:val="000000"/>
          <w:sz w:val="22"/>
        </w:rPr>
        <w:t> </w:t>
      </w:r>
      <w:r>
        <w:rPr>
          <w:rFonts w:ascii="Times New Roman" w:hAnsi="Times New Roman"/>
          <w:b w:val="false"/>
          <w:i/>
          <w:color w:val="000000"/>
          <w:sz w:val="22"/>
        </w:rPr>
        <w:t xml:space="preserve">Flashlight. </w:t>
      </w:r>
      <w:r>
        <w:rPr>
          <w:rFonts w:ascii="Times New Roman" w:hAnsi="Times New Roman"/>
          <w:b w:val="false"/>
          <w:i w:val="false"/>
          <w:color w:val="000000"/>
          <w:sz w:val="22"/>
        </w:rPr>
        <w:t>Each vehicle must be equipped with an operable flashlight, or each driver must be assigned an operable flashlight to be in the vehicle at all times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911.9(7)</w:t>
      </w:r>
      <w:r>
        <w:rPr>
          <w:rFonts w:ascii="Times New Roman" w:hAnsi="Times New Roman"/>
          <w:b w:val="false"/>
          <w:i w:val="false"/>
          <w:color w:val="000000"/>
          <w:sz w:val="22"/>
        </w:rPr>
        <w:t> </w:t>
      </w:r>
      <w:r>
        <w:rPr>
          <w:rFonts w:ascii="Times New Roman" w:hAnsi="Times New Roman"/>
          <w:b w:val="false"/>
          <w:i/>
          <w:color w:val="000000"/>
          <w:sz w:val="22"/>
        </w:rPr>
        <w:t xml:space="preserve">Reflective vest. </w:t>
      </w:r>
      <w:r>
        <w:rPr>
          <w:rFonts w:ascii="Times New Roman" w:hAnsi="Times New Roman"/>
          <w:b w:val="false"/>
          <w:i w:val="false"/>
          <w:color w:val="000000"/>
          <w:sz w:val="22"/>
        </w:rPr>
        <w:t>Each vehicle must be equipped with a reflective vest, or each driver must be assigned a reflective vest that must be in the vehicle at all times of operation. Individual regional transit systems are to establish a policy for when the reflective vests must be worn.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0220D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761—911.10</w:t>
      </w:r>
      <w:r>
        <w:rPr>
          <w:rFonts w:ascii="Times New Roman" w:hAnsi="Times New Roman"/>
          <w:b/>
          <w:i w:val="false"/>
          <w:color w:val="000000"/>
          <w:sz w:val="22"/>
        </w:rPr>
        <w:t xml:space="preserve">(321) </w:t>
      </w:r>
      <w:r>
        <w:rPr>
          <w:rFonts w:ascii="Times New Roman" w:hAnsi="Times New Roman"/>
          <w:b/>
          <w:i w:val="false"/>
          <w:color w:val="000000"/>
          <w:sz w:val="22"/>
        </w:rPr>
        <w:t xml:space="preserve">Operating policies. </w:t>
      </w:r>
      <w:r>
        <w:rPr>
          <w:rFonts w:ascii="Times New Roman" w:hAnsi="Times New Roman"/>
          <w:b w:val="false"/>
          <w:i w:val="false"/>
          <w:color w:val="000000"/>
          <w:sz w:val="22"/>
        </w:rPr>
        <w:t>School transportation services provided by regional transit systems must be designed to maximize the safety of student riders and must, at a minimum,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911.10(1)</w:t>
      </w:r>
      <w:r>
        <w:rPr>
          <w:rFonts w:ascii="Times New Roman" w:hAnsi="Times New Roman"/>
          <w:b w:val="false"/>
          <w:i w:val="false"/>
          <w:color w:val="000000"/>
          <w:sz w:val="22"/>
        </w:rPr>
        <w:t> </w:t>
      </w:r>
      <w:r>
        <w:rPr>
          <w:rFonts w:ascii="Times New Roman" w:hAnsi="Times New Roman"/>
          <w:b w:val="false"/>
          <w:i/>
          <w:color w:val="000000"/>
          <w:sz w:val="22"/>
        </w:rPr>
        <w:t xml:space="preserve">Passenger loading/unloading. </w:t>
      </w:r>
      <w:r>
        <w:rPr>
          <w:rFonts w:ascii="Times New Roman" w:hAnsi="Times New Roman"/>
          <w:b w:val="false"/>
          <w:i w:val="false"/>
          <w:color w:val="000000"/>
          <w:sz w:val="22"/>
        </w:rPr>
        <w:t>Unless prohibited by law, students transported in vehicles other than school buses must be loaded and unloaded on the same side of the street as their residence or other origin or destination. Students may be released only to the custody of a designated school official, parent or guardian, employee of the department of health and human services, or law enforcement official, unless other arrangements are made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911.10(2)</w:t>
      </w:r>
      <w:r>
        <w:rPr>
          <w:rFonts w:ascii="Times New Roman" w:hAnsi="Times New Roman"/>
          <w:b w:val="false"/>
          <w:i w:val="false"/>
          <w:color w:val="000000"/>
          <w:sz w:val="22"/>
        </w:rPr>
        <w:t> </w:t>
      </w:r>
      <w:r>
        <w:rPr>
          <w:rFonts w:ascii="Times New Roman" w:hAnsi="Times New Roman"/>
          <w:b w:val="false"/>
          <w:i/>
          <w:color w:val="000000"/>
          <w:sz w:val="22"/>
        </w:rPr>
        <w:t xml:space="preserve">Student passenger behavior and discipline policy. </w:t>
      </w:r>
      <w:r>
        <w:rPr>
          <w:rFonts w:ascii="Times New Roman" w:hAnsi="Times New Roman"/>
          <w:b w:val="false"/>
          <w:i w:val="false"/>
          <w:color w:val="000000"/>
          <w:sz w:val="22"/>
        </w:rPr>
        <w:t>Each contract for school transportation service must include a policy relating to the behavior of students while they ride in vehicles. The regional transit system or school must provide instruction to all drivers assigned to school transportation service relative to the content and application of the policy. If a student is removed from a vehicle for one or more policy violations, the student may be released only to the custody of a school official, parent or guardian, employee of the department of health and human services or a law enforcement officer. In all cases, the school must be notified immediately of any such disciplinary action, and a written report must be filed with the school describing the circumstances resulting in the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911.10(3)</w:t>
      </w:r>
      <w:r>
        <w:rPr>
          <w:rFonts w:ascii="Times New Roman" w:hAnsi="Times New Roman"/>
          <w:b w:val="false"/>
          <w:i w:val="false"/>
          <w:color w:val="000000"/>
          <w:sz w:val="22"/>
        </w:rPr>
        <w:t> </w:t>
      </w:r>
      <w:r>
        <w:rPr>
          <w:rFonts w:ascii="Times New Roman" w:hAnsi="Times New Roman"/>
          <w:b w:val="false"/>
          <w:i/>
          <w:color w:val="000000"/>
          <w:sz w:val="22"/>
        </w:rPr>
        <w:t xml:space="preserve">Standing prohibited. </w:t>
      </w:r>
      <w:r>
        <w:rPr>
          <w:rFonts w:ascii="Times New Roman" w:hAnsi="Times New Roman"/>
          <w:b w:val="false"/>
          <w:i w:val="false"/>
          <w:color w:val="000000"/>
          <w:sz w:val="22"/>
        </w:rPr>
        <w:t>Under no circumstances shall a student be permitted or required to stand while a vehicle is in motion. Every student must be provided an appropriate seat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911.10(4)</w:t>
      </w:r>
      <w:r>
        <w:rPr>
          <w:rFonts w:ascii="Times New Roman" w:hAnsi="Times New Roman"/>
          <w:b w:val="false"/>
          <w:i w:val="false"/>
          <w:color w:val="000000"/>
          <w:sz w:val="22"/>
        </w:rPr>
        <w:t> </w:t>
      </w:r>
      <w:r>
        <w:rPr>
          <w:rFonts w:ascii="Times New Roman" w:hAnsi="Times New Roman"/>
          <w:b w:val="false"/>
          <w:i/>
          <w:color w:val="000000"/>
          <w:sz w:val="22"/>
        </w:rPr>
        <w:t xml:space="preserve">Stops at rail crossings. </w:t>
      </w:r>
      <w:r>
        <w:rPr>
          <w:rFonts w:ascii="Times New Roman" w:hAnsi="Times New Roman"/>
          <w:b w:val="false"/>
          <w:i w:val="false"/>
          <w:color w:val="000000"/>
          <w:sz w:val="22"/>
        </w:rPr>
        <w:t xml:space="preserve">Every driver must make a complete stop before driving across the tracks of any railroad crossing in accordance with Iowa Code section </w:t>
      </w:r>
      <w:hyperlink r:id="rId22">
        <w:r>
          <w:rPr>
            <w:rStyle w:val="Hyperlink"/>
            <w:rFonts w:ascii="Times New Roman" w:hAnsi="Times New Roman"/>
            <w:b w:val="false"/>
            <w:i w:val="false"/>
            <w:color w:val="000000"/>
            <w:sz w:val="22"/>
          </w:rPr>
          <w:t>321.343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911.10(5)</w:t>
      </w:r>
      <w:r>
        <w:rPr>
          <w:rFonts w:ascii="Times New Roman" w:hAnsi="Times New Roman"/>
          <w:b w:val="false"/>
          <w:i w:val="false"/>
          <w:color w:val="000000"/>
          <w:sz w:val="22"/>
        </w:rPr>
        <w:t> </w:t>
      </w:r>
      <w:r>
        <w:rPr>
          <w:rFonts w:ascii="Times New Roman" w:hAnsi="Times New Roman"/>
          <w:b w:val="false"/>
          <w:i/>
          <w:color w:val="000000"/>
          <w:sz w:val="22"/>
        </w:rPr>
        <w:t xml:space="preserve">Accident reporting. </w:t>
      </w:r>
      <w:r>
        <w:rPr>
          <w:rFonts w:ascii="Times New Roman" w:hAnsi="Times New Roman"/>
          <w:b w:val="false"/>
          <w:i w:val="false"/>
          <w:color w:val="000000"/>
          <w:sz w:val="22"/>
        </w:rPr>
        <w:t>If a driver is involved in a collision or other incident causing or having a potential to cause injuries to students, the regional transit system must immediately notify the school of the incident. The regional transit system must file all accident reports required by law. In addition, the regional transit system must complete a school bus accident report on a form prescribed by the department of education and submit it to the school or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911.10(6)</w:t>
      </w:r>
      <w:r>
        <w:rPr>
          <w:rFonts w:ascii="Times New Roman" w:hAnsi="Times New Roman"/>
          <w:b w:val="false"/>
          <w:i w:val="false"/>
          <w:color w:val="000000"/>
          <w:sz w:val="22"/>
        </w:rPr>
        <w:t> </w:t>
      </w:r>
      <w:r>
        <w:rPr>
          <w:rFonts w:ascii="Times New Roman" w:hAnsi="Times New Roman"/>
          <w:b w:val="false"/>
          <w:i/>
          <w:color w:val="000000"/>
          <w:sz w:val="22"/>
        </w:rPr>
        <w:t xml:space="preserve">Passenger instruction/evacuation drills. </w:t>
      </w:r>
      <w:r>
        <w:rPr>
          <w:rFonts w:ascii="Times New Roman" w:hAnsi="Times New Roman"/>
          <w:b w:val="false"/>
          <w:i w:val="false"/>
          <w:color w:val="000000"/>
          <w:sz w:val="22"/>
        </w:rPr>
        <w:t>Each school must provide students assigned to school transportation service with school bus passenger safety instruction and emergency evacuation drills at least twice each school year. These evacuation drills must involve a vehicle of the same type used to provide the school transportation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911.10(7)</w:t>
      </w:r>
      <w:r>
        <w:rPr>
          <w:rFonts w:ascii="Times New Roman" w:hAnsi="Times New Roman"/>
          <w:b w:val="false"/>
          <w:i w:val="false"/>
          <w:color w:val="000000"/>
          <w:sz w:val="22"/>
        </w:rPr>
        <w:t> </w:t>
      </w:r>
      <w:r>
        <w:rPr>
          <w:rFonts w:ascii="Times New Roman" w:hAnsi="Times New Roman"/>
          <w:b w:val="false"/>
          <w:i/>
          <w:color w:val="000000"/>
          <w:sz w:val="22"/>
        </w:rPr>
        <w:t xml:space="preserve">Special training for drivers carrying students with disabilities. </w:t>
      </w:r>
      <w:r>
        <w:rPr>
          <w:rFonts w:ascii="Times New Roman" w:hAnsi="Times New Roman"/>
          <w:b w:val="false"/>
          <w:i w:val="false"/>
          <w:color w:val="000000"/>
          <w:sz w:val="22"/>
        </w:rPr>
        <w:t>Each school contracting for school transportation services for a student with one or more disabilities must provide the regional transit system with information on any special needs of the student and, if necessary, provide the assigned driver with appropriate information and training on how to appropriately respond to the needs of the student during transit and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911.10(8)</w:t>
      </w:r>
      <w:r>
        <w:rPr>
          <w:rFonts w:ascii="Times New Roman" w:hAnsi="Times New Roman"/>
          <w:b w:val="false"/>
          <w:i w:val="false"/>
          <w:color w:val="000000"/>
          <w:sz w:val="22"/>
        </w:rPr>
        <w:t> </w:t>
      </w:r>
      <w:r>
        <w:rPr>
          <w:rFonts w:ascii="Times New Roman" w:hAnsi="Times New Roman"/>
          <w:b w:val="false"/>
          <w:i/>
          <w:color w:val="000000"/>
          <w:sz w:val="22"/>
        </w:rPr>
        <w:t xml:space="preserve">Posttrip inspection. </w:t>
      </w:r>
      <w:r>
        <w:rPr>
          <w:rFonts w:ascii="Times New Roman" w:hAnsi="Times New Roman"/>
          <w:b w:val="false"/>
          <w:i w:val="false"/>
          <w:color w:val="000000"/>
          <w:sz w:val="22"/>
        </w:rPr>
        <w:t>After each trip that had students on board, the driver must perform a posttrip inspection of the interior of the vehicle. The posttrip inspection must include a walk-through to the back of the vehicle to ensure no sleeping or hiding children are left behind.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0220D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321.343</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321.375</w:t>
        </w:r>
      </w:hyperlink>
      <w:r>
        <w:rPr>
          <w:rFonts w:ascii="Times New Roman" w:hAnsi="Times New Roman"/>
          <w:b w:val="false"/>
          <w:i w:val="false"/>
          <w:color w:val="000000"/>
          <w:sz w:val="22"/>
        </w:rPr>
        <w:t xml:space="preserve"> through </w:t>
      </w:r>
      <w:hyperlink r:id="rId27">
        <w:r>
          <w:rPr>
            <w:rStyle w:val="Hyperlink"/>
            <w:rFonts w:ascii="Times New Roman" w:hAnsi="Times New Roman"/>
            <w:b w:val="false"/>
            <w:i w:val="false"/>
            <w:color w:val="000000"/>
            <w:sz w:val="22"/>
          </w:rPr>
          <w:t>321.377</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324A.1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6/22/00, Notice 4/19/00—published 7/12/00, effective 8/16/00]</w:t>
      </w:r>
    </w:p>
    <w:p>
      <w:pPr>
        <w:spacing w:before="0" w:after="0"/>
        <w:ind w:left="120"/>
        <w:jc w:val="center"/>
      </w:pPr>
      <w:r>
        <w:rPr>
          <w:rFonts w:ascii="Times New Roman" w:hAnsi="Times New Roman"/>
          <w:b w:val="false"/>
          <w:i w:val="false"/>
          <w:color w:val="000000"/>
          <w:sz w:val="21"/>
        </w:rPr>
        <w:t>[Filed 6/2/04, Notice 4/28/04—published 6/23/04, effective 7/28/04]</w:t>
      </w:r>
    </w:p>
    <w:p>
      <w:pPr>
        <w:spacing w:before="0" w:after="0"/>
        <w:ind w:left="120"/>
        <w:jc w:val="center"/>
      </w:pPr>
      <w:r>
        <w:rPr>
          <w:rFonts w:ascii="Times New Roman" w:hAnsi="Times New Roman"/>
          <w:b w:val="false"/>
          <w:i w:val="false"/>
          <w:color w:val="000000"/>
          <w:sz w:val="21"/>
        </w:rPr>
        <w:t>[Filed 6/14/07, Notice 5/9/07—published 7/4/07, effective 8/8/07]</w:t>
      </w:r>
    </w:p>
    <w:p>
      <w:pPr>
        <w:spacing w:before="0" w:after="0"/>
        <w:ind w:left="120"/>
        <w:jc w:val="center"/>
      </w:pPr>
      <w:r>
        <w:rPr>
          <w:rFonts w:ascii="Times New Roman" w:hAnsi="Times New Roman"/>
          <w:b w:val="false"/>
          <w:i w:val="false"/>
          <w:color w:val="000000"/>
          <w:sz w:val="21"/>
        </w:rPr>
        <w:t>[Filed ARC 3691C</w:t>
      </w:r>
      <w:r>
        <w:rPr>
          <w:rFonts w:ascii="Times New Roman" w:hAnsi="Times New Roman"/>
          <w:b w:val="false"/>
          <w:i w:val="false"/>
          <w:color w:val="000000"/>
          <w:sz w:val="21"/>
        </w:rPr>
        <w:t xml:space="preserve"> (Notice ARC 3534C,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6708C</w:t>
      </w:r>
      <w:r>
        <w:rPr>
          <w:rFonts w:ascii="Times New Roman" w:hAnsi="Times New Roman"/>
          <w:b w:val="false"/>
          <w:i w:val="false"/>
          <w:color w:val="000000"/>
          <w:sz w:val="21"/>
        </w:rPr>
        <w:t xml:space="preserve"> (Notice ARC 6572C, IAB 10/5/22)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[Editorial change: IAC Supplement 11/29/23]</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[Filed ARC 0220D</w:t>
      </w:r>
      <w:r>
        <w:rPr>
          <w:rFonts w:ascii="Times New Roman" w:hAnsi="Times New Roman"/>
          <w:b w:val="false"/>
          <w:i w:val="false"/>
          <w:color w:val="000000"/>
          <w:sz w:val="21"/>
        </w:rPr>
        <w:t xml:space="preserve"> (Notice ARC 9885C, IAB 1/7/26)</w:t>
      </w:r>
      <w:r>
        <w:rPr>
          <w:rFonts w:ascii="Times New Roman" w:hAnsi="Times New Roman"/>
          <w:b w:val="false"/>
          <w:i w:val="false"/>
          <w:color w:val="000000"/>
          <w:sz w:val="21"/>
        </w:rPr>
        <w:t>, IAB 4/15/26, effective 5/20/26]</w:t>
      </w:r>
    </w:p>
    <w:sectPr>
      <w:footerReference r:id="rId29"/>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transit" Type="http://schemas.openxmlformats.org/officeDocument/2006/relationships/hyperlink" Id="rId5"/>
    <Relationship TargetMode="External" Target="https://www.legis.iowa.gov/docs/ico/chapter/321.1.pdf" Type="http://schemas.openxmlformats.org/officeDocument/2006/relationships/hyperlink" Id="rId6"/>
    <Relationship TargetMode="External" Target="https://www.legis.iowa.gov/docs/ico/chapter/324A.1.pdf" Type="http://schemas.openxmlformats.org/officeDocument/2006/relationships/hyperlink" Id="rId7"/>
    <Relationship TargetMode="External" Target="http://www.ecfr.gov" Type="http://schemas.openxmlformats.org/officeDocument/2006/relationships/hyperlink" Id="rId8"/>
    <Relationship TargetMode="External" Target="https://www.legis.iowa.gov/docs/ico/chapter/321.376.pdf" Type="http://schemas.openxmlformats.org/officeDocument/2006/relationships/hyperlink" Id="rId9"/>
    <Relationship TargetMode="External" Target="https://www.legis.iowa.gov/docs/ico/chapter/321.189.pdf" Type="http://schemas.openxmlformats.org/officeDocument/2006/relationships/hyperlink" Id="rId10"/>
    <Relationship TargetMode="External" Target="https://www.legis.iowa.gov/docs/iac/chapter/761.607.pdf" Type="http://schemas.openxmlformats.org/officeDocument/2006/relationships/hyperlink" Id="rId11"/>
    <Relationship TargetMode="External" Target="https://www.legis.iowa.gov/docs/iac/rule/761.607.20.pdf" Type="http://schemas.openxmlformats.org/officeDocument/2006/relationships/hyperlink" Id="rId12"/>
    <Relationship TargetMode="External" Target="https://www.legis.iowa.gov/docs/ico/chapter/321.376.pdf" Type="http://schemas.openxmlformats.org/officeDocument/2006/relationships/hyperlink" Id="rId13"/>
    <Relationship TargetMode="External" Target="https://www.legis.iowa.gov/docs/ico/chapter/321.375.pdf" Type="http://schemas.openxmlformats.org/officeDocument/2006/relationships/hyperlink" Id="rId14"/>
    <Relationship TargetMode="External" Target="https://www.legis.iowa.gov/docs/iac/rule/281.43.15.pdf" Type="http://schemas.openxmlformats.org/officeDocument/2006/relationships/hyperlink" Id="rId15"/>
    <Relationship TargetMode="External" Target="https://www.legis.iowa.gov/docs/iac/rule/281.43.17.pdf" Type="http://schemas.openxmlformats.org/officeDocument/2006/relationships/hyperlink" Id="rId16"/>
    <Relationship TargetMode="External" Target="https://www.legis.iowa.gov/docs/iac/rule/761.607.37.pdf" Type="http://schemas.openxmlformats.org/officeDocument/2006/relationships/hyperlink" Id="rId17"/>
    <Relationship TargetMode="External" Target="https://www.legis.iowa.gov/docs/iac/rule/761.607.50.pdf" Type="http://schemas.openxmlformats.org/officeDocument/2006/relationships/hyperlink" Id="rId18"/>
    <Relationship TargetMode="External" Target="https://www.legis.iowa.gov/docs/iac/rule/761.911.7.pdf" Type="http://schemas.openxmlformats.org/officeDocument/2006/relationships/hyperlink" Id="rId19"/>
    <Relationship TargetMode="External" Target="https://www.legis.iowa.gov/docs/iac/rule/761.911.7.pdf" Type="http://schemas.openxmlformats.org/officeDocument/2006/relationships/hyperlink" Id="rId20"/>
    <Relationship TargetMode="External" Target="http://www.nfpa.org" Type="http://schemas.openxmlformats.org/officeDocument/2006/relationships/hyperlink" Id="rId21"/>
    <Relationship TargetMode="External" Target="https://www.legis.iowa.gov/docs/ico/chapter/321.343.pdf" Type="http://schemas.openxmlformats.org/officeDocument/2006/relationships/hyperlink" Id="rId22"/>
    <Relationship TargetMode="External" Target="https://www.legis.iowa.gov/docs/ico/chapter/321.1.pdf" Type="http://schemas.openxmlformats.org/officeDocument/2006/relationships/hyperlink" Id="rId23"/>
    <Relationship TargetMode="External" Target="https://www.legis.iowa.gov/docs/ico/chapter/321.189.pdf" Type="http://schemas.openxmlformats.org/officeDocument/2006/relationships/hyperlink" Id="rId24"/>
    <Relationship TargetMode="External" Target="https://www.legis.iowa.gov/docs/ico/chapter/321.343.pdf" Type="http://schemas.openxmlformats.org/officeDocument/2006/relationships/hyperlink" Id="rId25"/>
    <Relationship TargetMode="External" Target="https://www.legis.iowa.gov/docs/ico/chapter/321.375.pdf" Type="http://schemas.openxmlformats.org/officeDocument/2006/relationships/hyperlink" Id="rId26"/>
    <Relationship TargetMode="External" Target="https://www.legis.iowa.gov/docs/ico/chapter/321.377.pdf" Type="http://schemas.openxmlformats.org/officeDocument/2006/relationships/hyperlink" Id="rId27"/>
    <Relationship TargetMode="External" Target="https://www.legis.iowa.gov/docs/ico/chapter/324A.1.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