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802</w:t>
      </w:r>
    </w:p>
    <w:p>
      <w:pPr>
        <w:spacing w:before="0" w:after="0"/>
        <w:ind w:left="120"/>
        <w:jc w:val="center"/>
      </w:pPr>
      <w:r>
        <w:rPr>
          <w:rFonts w:ascii="Times New Roman" w:hAnsi="Times New Roman"/>
          <w:b w:val="false"/>
          <w:i w:val="false"/>
          <w:color w:val="000000"/>
          <w:sz w:val="21"/>
        </w:rPr>
        <w:t>NOTIFICATION OF RAILROAD ACCIDENTS OR INCIDENTS</w:t>
      </w:r>
    </w:p>
    <w:p>
      <w:pPr>
        <w:spacing w:before="0" w:after="0"/>
        <w:ind w:left="120"/>
        <w:jc w:val="center"/>
      </w:pPr>
      <w:r>
        <w:rPr>
          <w:rFonts w:ascii="Times New Roman" w:hAnsi="Times New Roman"/>
          <w:b w:val="false"/>
          <w:i w:val="false"/>
          <w:color w:val="000000"/>
          <w:sz w:val="14"/>
        </w:rPr>
        <w:t>[Prior to 6/3/87, Transportation Department [820]—(10,B)Ch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4/22/31</w:t>
      </w:r>
    </w:p>
    <w:p>
      <w:pPr>
        <w:spacing w:before="0" w:after="0"/>
        <w:ind w:left="120"/>
        <w:jc w:val="both"/>
      </w:pPr>
      <w:r>
        <w:rPr>
          <w:rFonts w:ascii="Times New Roman" w:hAnsi="Times New Roman"/>
          <w:b/>
          <w:i w:val="false"/>
          <w:color w:val="000000"/>
          <w:sz w:val="22"/>
        </w:rPr>
        <w:t>761—802.1</w:t>
      </w:r>
      <w:r>
        <w:rPr>
          <w:rFonts w:ascii="Times New Roman" w:hAnsi="Times New Roman"/>
          <w:b/>
          <w:i w:val="false"/>
          <w:color w:val="000000"/>
          <w:sz w:val="22"/>
        </w:rPr>
        <w:t xml:space="preserve">(307,327C) </w:t>
      </w:r>
      <w:r>
        <w:rPr>
          <w:rFonts w:ascii="Times New Roman" w:hAnsi="Times New Roman"/>
          <w:b/>
          <w:i w:val="false"/>
          <w:color w:val="000000"/>
          <w:sz w:val="22"/>
        </w:rPr>
        <w:t xml:space="preserve">Notification of railroad accidents or incidents.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802.1(1)</w:t>
      </w:r>
      <w:r>
        <w:rPr>
          <w:rFonts w:ascii="Times New Roman" w:hAnsi="Times New Roman"/>
          <w:b w:val="false"/>
          <w:i w:val="false"/>
          <w:color w:val="000000"/>
          <w:sz w:val="22"/>
        </w:rPr>
        <w:t> </w:t>
      </w:r>
      <w:r>
        <w:rPr>
          <w:rFonts w:ascii="Times New Roman" w:hAnsi="Times New Roman"/>
          <w:b w:val="false"/>
          <w:i/>
          <w:color w:val="000000"/>
          <w:sz w:val="22"/>
        </w:rPr>
        <w:t xml:space="preserve">Accidents or incidents requiring notification. </w:t>
      </w:r>
      <w:r>
        <w:rPr>
          <w:rFonts w:ascii="Times New Roman" w:hAnsi="Times New Roman"/>
          <w:b w:val="false"/>
          <w:i w:val="false"/>
          <w:color w:val="000000"/>
          <w:sz w:val="22"/>
        </w:rPr>
        <w:t>Any accident or incident involving train movement that results in any of the following must be reported within 4 hours of the accident or incident to the department’s traffic management center by telephone at 515.237.3300 (open year-round, 24 hours a day, including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Fatality.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Personal injury requiring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Derailment of ten or more rail cars and locomotives.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Derailment of any number of cars or locomotives when one or more are not upright.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Derailment or other incident involving a railroad passenger train.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Release or potential release of hazardous materials that presents a risk or potential risk to public safety, including injury, fatality, evacuation or shelter-in-place of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Damage to public or private transportation infrastructure not owned by the involved railroad.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802.1(2)</w:t>
      </w:r>
      <w:r>
        <w:rPr>
          <w:rFonts w:ascii="Times New Roman" w:hAnsi="Times New Roman"/>
          <w:b w:val="false"/>
          <w:i w:val="false"/>
          <w:color w:val="000000"/>
          <w:sz w:val="22"/>
        </w:rPr>
        <w:t> </w:t>
      </w:r>
      <w:r>
        <w:rPr>
          <w:rFonts w:ascii="Times New Roman" w:hAnsi="Times New Roman"/>
          <w:b w:val="false"/>
          <w:i/>
          <w:color w:val="000000"/>
          <w:sz w:val="22"/>
        </w:rPr>
        <w:t xml:space="preserve">Property damage only. </w:t>
      </w:r>
      <w:r>
        <w:rPr>
          <w:rFonts w:ascii="Times New Roman" w:hAnsi="Times New Roman"/>
          <w:b w:val="false"/>
          <w:i w:val="false"/>
          <w:color w:val="000000"/>
          <w:sz w:val="22"/>
        </w:rPr>
        <w:t xml:space="preserve">Any accident or incident involving train movement that results in property damage only must be reported within 24 hours of the accident or incident in the same manner as provided in subrule </w:t>
      </w:r>
      <w:hyperlink r:id="rId5">
        <w:r>
          <w:rPr>
            <w:rStyle w:val="Hyperlink"/>
            <w:rFonts w:ascii="Times New Roman" w:hAnsi="Times New Roman"/>
            <w:b w:val="false"/>
            <w:i w:val="false"/>
            <w:color w:val="000000"/>
            <w:sz w:val="22"/>
          </w:rPr>
          <w:t>802.1(1)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802.1(3)</w:t>
      </w:r>
      <w:r>
        <w:rPr>
          <w:rFonts w:ascii="Times New Roman" w:hAnsi="Times New Roman"/>
          <w:b w:val="false"/>
          <w:i w:val="false"/>
          <w:color w:val="000000"/>
          <w:sz w:val="22"/>
        </w:rPr>
        <w:t> </w:t>
      </w:r>
      <w:r>
        <w:rPr>
          <w:rFonts w:ascii="Times New Roman" w:hAnsi="Times New Roman"/>
          <w:b w:val="false"/>
          <w:i/>
          <w:color w:val="000000"/>
          <w:sz w:val="22"/>
        </w:rPr>
        <w:t xml:space="preserve">Content of notice. </w:t>
      </w:r>
      <w:r>
        <w:rPr>
          <w:rFonts w:ascii="Times New Roman" w:hAnsi="Times New Roman"/>
          <w:b w:val="false"/>
          <w:i w:val="false"/>
          <w:color w:val="000000"/>
          <w:sz w:val="22"/>
        </w:rPr>
        <w:t>The notice of an accident or incident is to provide,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railroad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and contact information of the individual calling to file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and time the accident or incident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Location of the accident or incident, described as accurately as possible, including the nearest city and the U.S. DOT crossing identification number or railroad milepost.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Description of the accident or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Impact on motor vehicle travel,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Number of injuries and fatalities.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Hazardous materials involved in the incident and actions taken in the event of a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Number of rail cars derailed.</w:t>
      </w:r>
    </w:p>
    <w:p>
      <w:pPr>
        <w:spacing w:before="0" w:after="0"/>
        <w:ind w:left="120"/>
        <w:jc w:val="both"/>
      </w:pPr>
      <w:r>
        <w:rPr>
          <w:rFonts w:ascii="Times New Roman" w:hAnsi="Times New Roman"/>
          <w:b w:val="false"/>
          <w:i w:val="false"/>
          <w:color w:val="000000"/>
          <w:sz w:val="22"/>
        </w:rPr>
        <w:t>This rule is intended to implement Iowa Code sections </w:t>
      </w:r>
      <w:hyperlink r:id="rId6">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7">
        <w:r>
          <w:rPr>
            <w:rStyle w:val="Hyperlink"/>
            <w:rFonts w:ascii="Times New Roman" w:hAnsi="Times New Roman"/>
            <w:b w:val="false"/>
            <w:i w:val="false"/>
            <w:color w:val="000000"/>
            <w:sz w:val="22"/>
          </w:rPr>
          <w:t>327C.37</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327C.41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0150D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8/24/82, Notice 7/7/82—published 9/15/82, effective 10/20/82]</w:t>
      </w:r>
    </w:p>
    <w:p>
      <w:pPr>
        <w:spacing w:before="0" w:after="0"/>
        <w:ind w:left="120"/>
        <w:jc w:val="center"/>
      </w:pPr>
      <w:r>
        <w:rPr>
          <w:rFonts w:ascii="Times New Roman" w:hAnsi="Times New Roman"/>
          <w:b w:val="false"/>
          <w:i w:val="false"/>
          <w:color w:val="000000"/>
          <w:sz w:val="21"/>
        </w:rPr>
        <w:t>[Filed 10/2/85, Notice 8/14/85—published 10/23/85, effective 11/27/85]</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8/26/88, Notice 7/13/88—published 9/21/88, effective 10/26/88]</w:t>
      </w:r>
    </w:p>
    <w:p>
      <w:pPr>
        <w:spacing w:before="0" w:after="0"/>
        <w:ind w:left="120"/>
        <w:jc w:val="center"/>
      </w:pPr>
      <w:r>
        <w:rPr>
          <w:rFonts w:ascii="Times New Roman" w:hAnsi="Times New Roman"/>
          <w:b w:val="false"/>
          <w:i w:val="false"/>
          <w:color w:val="000000"/>
          <w:sz w:val="21"/>
        </w:rPr>
        <w:t>[Filed 1/10/90, Notice 11/29/89—published 2/7/90, effective 3/14/90]</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7/15/03, Notice 5/14/03—published 8/6/03, effective 9/10/03]</w:t>
      </w:r>
    </w:p>
    <w:p>
      <w:pPr>
        <w:spacing w:before="0" w:after="0"/>
        <w:ind w:left="120"/>
        <w:jc w:val="center"/>
      </w:pPr>
      <w:r>
        <w:rPr>
          <w:rFonts w:ascii="Times New Roman" w:hAnsi="Times New Roman"/>
          <w:b w:val="false"/>
          <w:i w:val="false"/>
          <w:color w:val="000000"/>
          <w:sz w:val="21"/>
        </w:rPr>
        <w:t>[Filed ARC 3882C</w:t>
      </w:r>
      <w:r>
        <w:rPr>
          <w:rFonts w:ascii="Times New Roman" w:hAnsi="Times New Roman"/>
          <w:b w:val="false"/>
          <w:i w:val="false"/>
          <w:color w:val="000000"/>
          <w:sz w:val="21"/>
        </w:rPr>
        <w:t xml:space="preserve"> (Notice ARC 3757C, IAB 4/25/18)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[Editorial change: IAC Supplement 8/24/22]</w:t>
      </w:r>
    </w:p>
    <w:p>
      <w:pPr>
        <w:spacing w:before="0" w:after="0"/>
        <w:ind w:left="120"/>
        <w:jc w:val="center"/>
      </w:pPr>
      <w:r>
        <w:rPr>
          <w:rFonts w:ascii="Times New Roman" w:hAnsi="Times New Roman"/>
          <w:b w:val="false"/>
          <w:i w:val="false"/>
          <w:color w:val="000000"/>
          <w:sz w:val="21"/>
        </w:rPr>
        <w:t>[Filed ARC 0150D</w:t>
      </w:r>
      <w:r>
        <w:rPr>
          <w:rFonts w:ascii="Times New Roman" w:hAnsi="Times New Roman"/>
          <w:b w:val="false"/>
          <w:i w:val="false"/>
          <w:color w:val="000000"/>
          <w:sz w:val="21"/>
        </w:rPr>
        <w:t xml:space="preserve"> (Notice ARC 9791C, IAB 12/10/25)</w:t>
      </w:r>
      <w:r>
        <w:rPr>
          <w:rFonts w:ascii="Times New Roman" w:hAnsi="Times New Roman"/>
          <w:b w:val="false"/>
          <w:i w:val="false"/>
          <w:color w:val="000000"/>
          <w:sz w:val="21"/>
        </w:rPr>
        <w:t>, IAB 3/18/26, effective 4/22/26]</w:t>
      </w:r>
    </w:p>
    <w:sectPr>
      <w:footerReference r:id="rId9"/>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61.802.1.pdf" Type="http://schemas.openxmlformats.org/officeDocument/2006/relationships/hyperlink" Id="rId5"/>
    <Relationship TargetMode="External" Target="https://www.legis.iowa.gov/docs/ico/chapter/307.12.pdf" Type="http://schemas.openxmlformats.org/officeDocument/2006/relationships/hyperlink" Id="rId6"/>
    <Relationship TargetMode="External" Target="https://www.legis.iowa.gov/docs/ico/chapter/327C.37.pdf" Type="http://schemas.openxmlformats.org/officeDocument/2006/relationships/hyperlink" Id="rId7"/>
    <Relationship TargetMode="External" Target="https://www.legis.iowa.gov/docs/ico/chapter/327C.41.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