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636</w:t>
      </w:r>
    </w:p>
    <w:p>
      <w:pPr>
        <w:spacing w:before="0" w:after="0"/>
        <w:ind w:left="120"/>
        <w:jc w:val="center"/>
      </w:pPr>
      <w:r>
        <w:rPr>
          <w:rFonts w:ascii="Times New Roman" w:hAnsi="Times New Roman"/>
          <w:b w:val="false"/>
          <w:i w:val="false"/>
          <w:color w:val="000000"/>
          <w:sz w:val="21"/>
        </w:rPr>
        <w:t>MOTORIZED BICYCLE RIDER EDUCATION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4/23/30</w:t>
      </w:r>
    </w:p>
    <w:p>
      <w:pPr>
        <w:spacing w:before="0" w:after="0"/>
        <w:ind w:left="120"/>
        <w:jc w:val="both"/>
      </w:pPr>
      <w:r>
        <w:rPr>
          <w:rFonts w:ascii="Times New Roman" w:hAnsi="Times New Roman"/>
          <w:b/>
          <w:i w:val="false"/>
          <w:color w:val="000000"/>
          <w:sz w:val="22"/>
        </w:rPr>
        <w:t>761—636.1</w:t>
      </w:r>
      <w:r>
        <w:rPr>
          <w:rFonts w:ascii="Times New Roman" w:hAnsi="Times New Roman"/>
          <w:b/>
          <w:i w:val="false"/>
          <w:color w:val="000000"/>
          <w:sz w:val="22"/>
        </w:rPr>
        <w:t xml:space="preserve">(307,321) </w:t>
      </w:r>
      <w:r>
        <w:rPr>
          <w:rFonts w:ascii="Times New Roman" w:hAnsi="Times New Roman"/>
          <w:b/>
          <w:i w:val="false"/>
          <w:color w:val="000000"/>
          <w:sz w:val="22"/>
        </w:rPr>
        <w:t xml:space="preserve">Information and location. </w:t>
      </w:r>
      <w:r>
        <w:rPr>
          <w:rFonts w:ascii="Times New Roman" w:hAnsi="Times New Roman"/>
          <w:b w:val="false"/>
          <w:i w:val="false"/>
          <w:color w:val="000000"/>
          <w:sz w:val="22"/>
        </w:rPr>
        <w:t>Applications, forms and information regarding this chapter are available by mail from the Motor Vehicle Division, Iowa Department of Transportation, P.O. Box 9204, Des Moines, Iowa 50306-9204; in person at 6310 SE Convenience Blvd., Ankeny, Iowa; by telephone at 515.244.8725; or by facsimile at 515.239.1837.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9015C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761—636.2</w:t>
      </w:r>
      <w:r>
        <w:rPr>
          <w:rFonts w:ascii="Times New Roman" w:hAnsi="Times New Roman"/>
          <w:b/>
          <w:i w:val="false"/>
          <w:color w:val="000000"/>
          <w:sz w:val="22"/>
        </w:rPr>
        <w:t xml:space="preserve">(307,321)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course” </w:t>
      </w:r>
      <w:r>
        <w:rPr>
          <w:rFonts w:ascii="Times New Roman" w:hAnsi="Times New Roman"/>
          <w:b w:val="false"/>
          <w:i w:val="false"/>
          <w:color w:val="000000"/>
          <w:sz w:val="22"/>
        </w:rPr>
        <w:t>means the motorized bicycle rider education course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“Instructor” </w:t>
      </w:r>
      <w:r>
        <w:rPr>
          <w:rFonts w:ascii="Times New Roman" w:hAnsi="Times New Roman"/>
          <w:b w:val="false"/>
          <w:i w:val="false"/>
          <w:color w:val="000000"/>
          <w:sz w:val="22"/>
        </w:rPr>
        <w:t>means a person approved by the department to instruct a motorized bicycle rider education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approval” </w:t>
      </w:r>
      <w:r>
        <w:rPr>
          <w:rFonts w:ascii="Times New Roman" w:hAnsi="Times New Roman"/>
          <w:b w:val="false"/>
          <w:i w:val="false"/>
          <w:color w:val="000000"/>
          <w:sz w:val="22"/>
        </w:rPr>
        <w:t>means department approval of an entity’s motorized bicycle rider education course and instructors.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“Sponsor” </w:t>
      </w:r>
      <w:r>
        <w:rPr>
          <w:rFonts w:ascii="Times New Roman" w:hAnsi="Times New Roman"/>
          <w:b w:val="false"/>
          <w:i w:val="false"/>
          <w:color w:val="000000"/>
          <w:sz w:val="22"/>
        </w:rPr>
        <w:t>means an entity that delivers the approved course.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9015C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761—636.3</w:t>
      </w:r>
      <w:r>
        <w:rPr>
          <w:rFonts w:ascii="Times New Roman" w:hAnsi="Times New Roman"/>
          <w:b/>
          <w:i w:val="false"/>
          <w:color w:val="000000"/>
          <w:sz w:val="22"/>
        </w:rPr>
        <w:t xml:space="preserve">(307,321) </w:t>
      </w:r>
      <w:r>
        <w:rPr>
          <w:rFonts w:ascii="Times New Roman" w:hAnsi="Times New Roman"/>
          <w:b/>
          <w:i w:val="false"/>
          <w:color w:val="000000"/>
          <w:sz w:val="22"/>
        </w:rPr>
        <w:t xml:space="preserve">Application, renewal and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636.3(1)</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renewal.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sponsor must apply to the department for program approval in a manner determined by the department prior to the beginning of the first class offered in the approved course and annually thereafter. An instructor of an approved course must be listed on the application and approved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Program approval is valid for a calendar year or remainder of a calendar year and expires on December 31 but remains valid for an additional 30 days after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Unless otherwise approved by the department, an application for renewal is due to the department within 60 days of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636.3(2)</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The initial application and annual renewal fee are $25 for a private or a commercial sponsor. The fee is to be paid in a manner approved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9015C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761—636.4</w:t>
      </w:r>
      <w:r>
        <w:rPr>
          <w:rFonts w:ascii="Times New Roman" w:hAnsi="Times New Roman"/>
          <w:b/>
          <w:i w:val="false"/>
          <w:color w:val="000000"/>
          <w:sz w:val="22"/>
        </w:rPr>
        <w:t xml:space="preserve">(307,321) </w:t>
      </w:r>
      <w:r>
        <w:rPr>
          <w:rFonts w:ascii="Times New Roman" w:hAnsi="Times New Roman"/>
          <w:b/>
          <w:i w:val="false"/>
          <w:color w:val="000000"/>
          <w:sz w:val="22"/>
        </w:rPr>
        <w:t xml:space="preserve">Course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636.4(1)</w:t>
      </w:r>
      <w:r>
        <w:rPr>
          <w:rFonts w:ascii="Times New Roman" w:hAnsi="Times New Roman"/>
          <w:b w:val="false"/>
          <w:i w:val="false"/>
          <w:color w:val="000000"/>
          <w:sz w:val="22"/>
        </w:rPr>
        <w:t> </w:t>
      </w:r>
      <w:r>
        <w:rPr>
          <w:rFonts w:ascii="Times New Roman" w:hAnsi="Times New Roman"/>
          <w:b w:val="false"/>
          <w:i/>
          <w:color w:val="000000"/>
          <w:sz w:val="22"/>
        </w:rPr>
        <w:t xml:space="preserve">Classroom instruction. </w:t>
      </w:r>
      <w:r>
        <w:rPr>
          <w:rFonts w:ascii="Times New Roman" w:hAnsi="Times New Roman"/>
          <w:b w:val="false"/>
          <w:i w:val="false"/>
          <w:color w:val="000000"/>
          <w:sz w:val="22"/>
        </w:rPr>
        <w:t xml:space="preserve">The course approved by the department must include a minimum of six clock hours of classroom instruction that includes the instructional components contained in subrule </w:t>
      </w:r>
      <w:r>
        <w:rPr>
          <w:rFonts w:ascii="Times New Roman" w:hAnsi="Times New Roman"/>
          <w:b w:val="false"/>
          <w:i w:val="false"/>
          <w:color w:val="000000"/>
          <w:sz w:val="22"/>
        </w:rPr>
        <w:t>636.4(3)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636.4(2)</w:t>
      </w:r>
      <w:r>
        <w:rPr>
          <w:rFonts w:ascii="Times New Roman" w:hAnsi="Times New Roman"/>
          <w:b w:val="false"/>
          <w:i w:val="false"/>
          <w:color w:val="000000"/>
          <w:sz w:val="22"/>
        </w:rPr>
        <w:t> </w:t>
      </w:r>
      <w:r>
        <w:rPr>
          <w:rFonts w:ascii="Times New Roman" w:hAnsi="Times New Roman"/>
          <w:b w:val="false"/>
          <w:i/>
          <w:color w:val="000000"/>
          <w:sz w:val="22"/>
        </w:rPr>
        <w:t xml:space="preserve">Driving instruction. </w:t>
      </w:r>
      <w:r>
        <w:rPr>
          <w:rFonts w:ascii="Times New Roman" w:hAnsi="Times New Roman"/>
          <w:b w:val="false"/>
          <w:i w:val="false"/>
          <w:color w:val="000000"/>
          <w:sz w:val="22"/>
        </w:rPr>
        <w:t>Motorized bicycle rider driving experiences in addition to classroom instruction are permissible but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636.4(3)</w:t>
      </w:r>
      <w:r>
        <w:rPr>
          <w:rFonts w:ascii="Times New Roman" w:hAnsi="Times New Roman"/>
          <w:b w:val="false"/>
          <w:i w:val="false"/>
          <w:color w:val="000000"/>
          <w:sz w:val="22"/>
        </w:rPr>
        <w:t> </w:t>
      </w:r>
      <w:r>
        <w:rPr>
          <w:rFonts w:ascii="Times New Roman" w:hAnsi="Times New Roman"/>
          <w:b w:val="false"/>
          <w:i/>
          <w:color w:val="000000"/>
          <w:sz w:val="22"/>
        </w:rPr>
        <w:t xml:space="preserve">Course content. </w:t>
      </w:r>
      <w:r>
        <w:rPr>
          <w:rFonts w:ascii="Times New Roman" w:hAnsi="Times New Roman"/>
          <w:b w:val="false"/>
          <w:i w:val="false"/>
          <w:color w:val="000000"/>
          <w:sz w:val="22"/>
        </w:rPr>
        <w:t>Every motorized bicycle rider education course must include the following instructional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Operator and motorized bicycle preparation.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Knowledge of Iowa driving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Knowledge of vehicle registration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Vehicle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Protective clothing and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Route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Basic control skills.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Starting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Speed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Turning.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Stopping.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Safe driving practices.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of lights and warning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Signaling.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Maintaining directional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Perception skills and observation.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Use of mirrors.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Recognition of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Speed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Lane positioning.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Concerns and conflicts regarding intersections.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Following distances.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Lateral separation.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Complex situations.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Limited visibility.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Adverse weather.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Critical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Malfunctions.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Motorized bicycle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Maintenance.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636.4(4)</w:t>
      </w:r>
      <w:r>
        <w:rPr>
          <w:rFonts w:ascii="Times New Roman" w:hAnsi="Times New Roman"/>
          <w:b w:val="false"/>
          <w:i w:val="false"/>
          <w:color w:val="000000"/>
          <w:sz w:val="22"/>
        </w:rPr>
        <w:t> </w:t>
      </w:r>
      <w:r>
        <w:rPr>
          <w:rFonts w:ascii="Times New Roman" w:hAnsi="Times New Roman"/>
          <w:b w:val="false"/>
          <w:i/>
          <w:color w:val="000000"/>
          <w:sz w:val="22"/>
        </w:rPr>
        <w:t xml:space="preserve">Evaluation. </w:t>
      </w:r>
      <w:r>
        <w:rPr>
          <w:rFonts w:ascii="Times New Roman" w:hAnsi="Times New Roman"/>
          <w:b w:val="false"/>
          <w:i w:val="false"/>
          <w:color w:val="000000"/>
          <w:sz w:val="22"/>
        </w:rPr>
        <w:t>Each student shall be evaluated by the instructor to determine successful completion of the course.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9015C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761—636.5</w:t>
      </w:r>
      <w:r>
        <w:rPr>
          <w:rFonts w:ascii="Times New Roman" w:hAnsi="Times New Roman"/>
          <w:b/>
          <w:i w:val="false"/>
          <w:color w:val="000000"/>
          <w:sz w:val="22"/>
        </w:rPr>
        <w:t xml:space="preserve">(307,321) </w:t>
      </w:r>
      <w:r>
        <w:rPr>
          <w:rFonts w:ascii="Times New Roman" w:hAnsi="Times New Roman"/>
          <w:b/>
          <w:i w:val="false"/>
          <w:color w:val="000000"/>
          <w:sz w:val="22"/>
        </w:rPr>
        <w:t xml:space="preserve">Instructor qualifications. </w:t>
      </w:r>
      <w:r>
        <w:rPr>
          <w:rFonts w:ascii="Times New Roman" w:hAnsi="Times New Roman"/>
          <w:b w:val="false"/>
          <w:i w:val="false"/>
          <w:color w:val="000000"/>
          <w:sz w:val="22"/>
        </w:rPr>
        <w:t>To qualify as an instructor of an approved course, an individual must: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636.5(1)</w:t>
      </w:r>
      <w:r>
        <w:rPr>
          <w:rFonts w:ascii="Times New Roman" w:hAnsi="Times New Roman"/>
          <w:b w:val="false"/>
          <w:i w:val="false"/>
          <w:color w:val="000000"/>
          <w:sz w:val="22"/>
        </w:rPr>
        <w:t> </w:t>
      </w:r>
      <w:r>
        <w:rPr>
          <w:rFonts w:ascii="Times New Roman" w:hAnsi="Times New Roman"/>
          <w:b w:val="false"/>
          <w:i w:val="false"/>
          <w:color w:val="000000"/>
          <w:sz w:val="22"/>
        </w:rPr>
        <w:t>Possess a valid driver’s license allowing unaccompanied driving other than a temporary restricted license and be able to operate a motorized bicycle.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636.5(2)</w:t>
      </w:r>
      <w:r>
        <w:rPr>
          <w:rFonts w:ascii="Times New Roman" w:hAnsi="Times New Roman"/>
          <w:b w:val="false"/>
          <w:i w:val="false"/>
          <w:color w:val="000000"/>
          <w:sz w:val="22"/>
        </w:rPr>
        <w:t> </w:t>
      </w:r>
      <w:r>
        <w:rPr>
          <w:rFonts w:ascii="Times New Roman" w:hAnsi="Times New Roman"/>
          <w:b w:val="false"/>
          <w:i w:val="false"/>
          <w:color w:val="000000"/>
          <w:sz w:val="22"/>
        </w:rPr>
        <w:t>Have a clear driving record for the previous two years. A clear driving record means the instructor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 been identified as a candidate for driver’s license suspension under the habitual violator provisions of rule </w:t>
      </w:r>
      <w:hyperlink r:id="rId5">
        <w:r>
          <w:rPr>
            <w:rStyle w:val="Hyperlink"/>
            <w:rFonts w:ascii="Times New Roman" w:hAnsi="Times New Roman"/>
            <w:b w:val="false"/>
            <w:i w:val="false"/>
            <w:color w:val="000000"/>
            <w:sz w:val="22"/>
          </w:rPr>
          <w:t>761—615.13</w:t>
        </w:r>
      </w:hyperlink>
      <w:r>
        <w:rPr>
          <w:rFonts w:ascii="Times New Roman" w:hAnsi="Times New Roman"/>
          <w:b w:val="false"/>
          <w:i w:val="false"/>
          <w:color w:val="000000"/>
          <w:sz w:val="22"/>
        </w:rPr>
        <w:t xml:space="preserve">(321) or the serious violation provisions of rule </w:t>
      </w:r>
      <w:hyperlink r:id="rId6">
        <w:r>
          <w:rPr>
            <w:rStyle w:val="Hyperlink"/>
            <w:rFonts w:ascii="Times New Roman" w:hAnsi="Times New Roman"/>
            <w:b w:val="false"/>
            <w:i w:val="false"/>
            <w:color w:val="000000"/>
            <w:sz w:val="22"/>
          </w:rPr>
          <w:t>761—615.17</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driver’s license suspensions, revocations, denials, cancellations, disqualifications or bars.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committed an offense that would result in driver’s license suspension, revocation, denial, cancellation, disqualification or bar.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record of a law enforcement investigative report indicating a contributive motor vehicle accident that caused the death or serious injury of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record of a law enforcement investigative report indicating two or more contributive motor vehicle accidents in a two-year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9015C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761—636.6</w:t>
      </w:r>
      <w:r>
        <w:rPr>
          <w:rFonts w:ascii="Times New Roman" w:hAnsi="Times New Roman"/>
          <w:b/>
          <w:i w:val="false"/>
          <w:color w:val="000000"/>
          <w:sz w:val="22"/>
        </w:rPr>
        <w:t xml:space="preserve">(307,321) </w:t>
      </w:r>
      <w:r>
        <w:rPr>
          <w:rFonts w:ascii="Times New Roman" w:hAnsi="Times New Roman"/>
          <w:b/>
          <w:i w:val="false"/>
          <w:color w:val="000000"/>
          <w:sz w:val="22"/>
        </w:rPr>
        <w:t xml:space="preserve">Cancellation or denial.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636.6(1)</w:t>
      </w:r>
      <w:r>
        <w:rPr>
          <w:rFonts w:ascii="Times New Roman" w:hAnsi="Times New Roman"/>
          <w:b w:val="false"/>
          <w:i w:val="false"/>
          <w:color w:val="000000"/>
          <w:sz w:val="22"/>
        </w:rPr>
        <w:t> </w:t>
      </w:r>
      <w:r>
        <w:rPr>
          <w:rFonts w:ascii="Times New Roman" w:hAnsi="Times New Roman"/>
          <w:b w:val="false"/>
          <w:i/>
          <w:color w:val="000000"/>
          <w:sz w:val="22"/>
        </w:rPr>
        <w:t xml:space="preserve">Cancellation. </w:t>
      </w:r>
      <w:r>
        <w:rPr>
          <w:rFonts w:ascii="Times New Roman" w:hAnsi="Times New Roman"/>
          <w:b w:val="false"/>
          <w:i w:val="false"/>
          <w:color w:val="000000"/>
          <w:sz w:val="22"/>
        </w:rPr>
        <w:t>The department shall cancel program approval if the sponsor or instructor fails to comply with the applicable provisions of this chapter or if the course or instructors are no longer approved. However, an approved program that meets the applicable provisions of this chapter except for an approved instructor may retain program approval if the department approves an alternate instructor.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636.6(2)</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 xml:space="preserve">The department shall deny an initial or renewal application if the applicant does not meet the criteria for approval under this chapter.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9015C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7">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3/10/04, Notice 2/4/04—published 3/31/04, effective 5/5/04]</w:t>
      </w:r>
    </w:p>
    <w:p>
      <w:pPr>
        <w:spacing w:before="0" w:after="0"/>
        <w:ind w:left="120"/>
        <w:jc w:val="center"/>
      </w:pPr>
      <w:r>
        <w:rPr>
          <w:rFonts w:ascii="Times New Roman" w:hAnsi="Times New Roman"/>
          <w:b w:val="false"/>
          <w:i w:val="false"/>
          <w:color w:val="000000"/>
          <w:sz w:val="21"/>
        </w:rPr>
        <w:t>[Filed 12/12/07, Notice 11/7/07—published 1/2/08, effective 2/6/08]</w:t>
      </w:r>
    </w:p>
    <w:p>
      <w:pPr>
        <w:spacing w:before="0" w:after="0"/>
        <w:ind w:left="120"/>
        <w:jc w:val="center"/>
      </w:pPr>
      <w:r>
        <w:rPr>
          <w:rFonts w:ascii="Times New Roman" w:hAnsi="Times New Roman"/>
          <w:b w:val="false"/>
          <w:i w:val="false"/>
          <w:color w:val="000000"/>
          <w:sz w:val="21"/>
        </w:rPr>
        <w:t>[Filed ARC 5258C</w:t>
      </w:r>
      <w:r>
        <w:rPr>
          <w:rFonts w:ascii="Times New Roman" w:hAnsi="Times New Roman"/>
          <w:b w:val="false"/>
          <w:i w:val="false"/>
          <w:color w:val="000000"/>
          <w:sz w:val="21"/>
        </w:rPr>
        <w:t xml:space="preserve"> (Notice ARC 5154C, IAB 8/26/20)</w:t>
      </w:r>
      <w:r>
        <w:rPr>
          <w:rFonts w:ascii="Times New Roman" w:hAnsi="Times New Roman"/>
          <w:b w:val="false"/>
          <w:i w:val="false"/>
          <w:color w:val="000000"/>
          <w:sz w:val="21"/>
        </w:rPr>
        <w:t>, IAB 11/4/20, effective 12/9/20]</w:t>
      </w:r>
    </w:p>
    <w:p>
      <w:pPr>
        <w:spacing w:before="0" w:after="0"/>
        <w:ind w:left="120"/>
        <w:jc w:val="center"/>
      </w:pPr>
      <w:r>
        <w:rPr>
          <w:rFonts w:ascii="Times New Roman" w:hAnsi="Times New Roman"/>
          <w:b w:val="false"/>
          <w:i w:val="false"/>
          <w:color w:val="000000"/>
          <w:sz w:val="21"/>
        </w:rPr>
        <w:t>[Editorial change: IAC Supplement 12/28/22]</w:t>
      </w:r>
    </w:p>
    <w:p>
      <w:pPr>
        <w:spacing w:before="0" w:after="0"/>
        <w:ind w:left="120"/>
        <w:jc w:val="center"/>
      </w:pPr>
      <w:r>
        <w:rPr>
          <w:rFonts w:ascii="Times New Roman" w:hAnsi="Times New Roman"/>
          <w:b w:val="false"/>
          <w:i w:val="false"/>
          <w:color w:val="000000"/>
          <w:sz w:val="21"/>
        </w:rPr>
        <w:t>[Filed ARC 9015C</w:t>
      </w:r>
      <w:r>
        <w:rPr>
          <w:rFonts w:ascii="Times New Roman" w:hAnsi="Times New Roman"/>
          <w:b w:val="false"/>
          <w:i w:val="false"/>
          <w:color w:val="000000"/>
          <w:sz w:val="21"/>
        </w:rPr>
        <w:t xml:space="preserve"> (Notice ARC 8397C, IAB 11/27/24)</w:t>
      </w:r>
      <w:r>
        <w:rPr>
          <w:rFonts w:ascii="Times New Roman" w:hAnsi="Times New Roman"/>
          <w:b w:val="false"/>
          <w:i w:val="false"/>
          <w:color w:val="000000"/>
          <w:sz w:val="21"/>
        </w:rPr>
        <w:t>, IAB 3/19/25, effective 4/23/25]</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61.615.13.pdf" Type="http://schemas.openxmlformats.org/officeDocument/2006/relationships/hyperlink" Id="rId5"/>
    <Relationship TargetMode="External" Target="https://www.legis.iowa.gov/docs/iac/rule/761.615.17.pdf" Type="http://schemas.openxmlformats.org/officeDocument/2006/relationships/hyperlink" Id="rId6"/>
    <Relationship TargetMode="External" Target="https://www.legis.iowa.gov/docs/ico/chapter/307.12.pdf" Type="http://schemas.openxmlformats.org/officeDocument/2006/relationships/hyperlink" Id="rId7"/>
    <Relationship TargetMode="External" Target="https://www.legis.iowa.gov/docs/ico/chapter/321.189.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