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635</w:t>
      </w:r>
    </w:p>
    <w:p>
      <w:pPr>
        <w:spacing w:before="0" w:after="0"/>
        <w:ind w:left="120"/>
        <w:jc w:val="center"/>
      </w:pPr>
      <w:r>
        <w:rPr>
          <w:rFonts w:ascii="Times New Roman" w:hAnsi="Times New Roman"/>
          <w:b w:val="false"/>
          <w:i w:val="false"/>
          <w:color w:val="000000"/>
          <w:sz w:val="21"/>
        </w:rPr>
        <w:t>MOTORCYCLE RIDER EDUCATION (MRE)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761—635.1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regarding this chapter are available by mail from the Motor Vehicle Division, Iowa Department of Transportation, P.O. Box 9204, Des Moines, Iowa 50306-9204; in person at 6310 SE Convenience Blvd., Ankeny, Iowa; by telephone at 515.244.8725; by facsimile at 515.239.1837; or by email at </w:t>
      </w:r>
      <w:hyperlink r:id="rId5">
        <w:r>
          <w:rPr>
            <w:rStyle w:val="Hyperlink"/>
            <w:rFonts w:ascii="Times New Roman" w:hAnsi="Times New Roman"/>
            <w:b w:val="false"/>
            <w:i w:val="false"/>
            <w:color w:val="000000"/>
            <w:sz w:val="22"/>
            <w:u w:val="single"/>
          </w:rPr>
          <w:t>mre.dot@iowadot.us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761—635.2</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the motorcycle rider education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means a person licensed by the department to instruct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“MRE” </w:t>
      </w:r>
      <w:r>
        <w:rPr>
          <w:rFonts w:ascii="Times New Roman" w:hAnsi="Times New Roman"/>
          <w:b w:val="false"/>
          <w:i w:val="false"/>
          <w:color w:val="000000"/>
          <w:sz w:val="22"/>
        </w:rPr>
        <w:t>means motorcycle rider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provides the approved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761—635.3</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Application, renewal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sponsor license must apply to the department in a manner determined by the department prior to the beginning of the first class offered in the approved course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an instructor license must apply to the department in a manner determined by the department prior to the beginning of the first class of the approved course taught by the instructor and annually thereafter. However, an individual who meets the qualifications for a license except for paragraph </w:t>
      </w:r>
      <w:hyperlink r:id="rId6">
        <w:r>
          <w:rPr>
            <w:rStyle w:val="Hyperlink"/>
            <w:rFonts w:ascii="Times New Roman" w:hAnsi="Times New Roman"/>
            <w:b w:val="false"/>
            <w:i w:val="false"/>
            <w:color w:val="000000"/>
            <w:sz w:val="22"/>
          </w:rPr>
          <w:t>635.5(2)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whose license is denied under subrule </w:t>
      </w:r>
      <w:hyperlink r:id="rId7">
        <w:r>
          <w:rPr>
            <w:rStyle w:val="Hyperlink"/>
            <w:rFonts w:ascii="Times New Roman" w:hAnsi="Times New Roman"/>
            <w:b w:val="false"/>
            <w:i w:val="false"/>
            <w:color w:val="000000"/>
            <w:sz w:val="22"/>
          </w:rPr>
          <w:t>635.6(2)</w:t>
        </w:r>
      </w:hyperlink>
      <w:r>
        <w:rPr>
          <w:rFonts w:ascii="Times New Roman" w:hAnsi="Times New Roman"/>
          <w:b w:val="false"/>
          <w:i w:val="false"/>
          <w:color w:val="000000"/>
          <w:sz w:val="22"/>
        </w:rPr>
        <w:t xml:space="preserve"> may teach the approved course as provided in paragraph </w:t>
      </w:r>
      <w:hyperlink r:id="rId8">
        <w:r>
          <w:rPr>
            <w:rStyle w:val="Hyperlink"/>
            <w:rFonts w:ascii="Times New Roman" w:hAnsi="Times New Roman"/>
            <w:b w:val="false"/>
            <w:i w:val="false"/>
            <w:color w:val="000000"/>
            <w:sz w:val="22"/>
          </w:rPr>
          <w:t>635.6(2)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sponsor or instructor license is valid for a calendar year or remainder of a calendar year and expires on December 31 but remains valid for an additional 30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approved by the department, an application for license renewal is due to the department within 60 days of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initial application and annual renewal fee are $25 for a private or a commercial sponsor. The fee is to be paid in a manner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761—635.4</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Approved course in MRE.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635.4(1)</w:t>
      </w:r>
      <w:r>
        <w:rPr>
          <w:rFonts w:ascii="Times New Roman" w:hAnsi="Times New Roman"/>
          <w:b w:val="false"/>
          <w:i w:val="false"/>
          <w:color w:val="000000"/>
          <w:sz w:val="22"/>
        </w:rPr>
        <w:t> </w:t>
      </w:r>
      <w:r>
        <w:rPr>
          <w:rFonts w:ascii="Times New Roman" w:hAnsi="Times New Roman"/>
          <w:b w:val="false"/>
          <w:i/>
          <w:color w:val="000000"/>
          <w:sz w:val="22"/>
        </w:rPr>
        <w:t xml:space="preserve">Course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an MRE course approved by the department using nationally recognized, research-based curriculum is to be taught by any sponsor providing MRE.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On-cycle instruction of the approved course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is at least 14 years of age; possesses a valid driver’s license as defined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is able to touch the ground with the balls of both feet while sitting astride the training motorcycle; wears a U.S. DOT-approved helmet, an eye-protective device, and protective clothing including gloves, a long-sleeved shirt or jacket, long pants, and shoes or boots that cover the feet and ankles; and completes the motorcycle safety course waiver form, including the signature of a parent or legal guardian if the student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scheduled time for classroom or on-cycle instruction, or a combination of both, does not exceed eight hours in any one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student-instructor ratio for classroom instruction does not exceed 36 to 1. The student-instructor ratio for on-cycle instruction does not exceed 6 to 1; however, no more than 12 students may receive on-cycle instruction at one time on a single full-size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driving range used for on-cycle instruction is paved, free of hazards to motorcycle travel, and has an unobstructed, paved runoff of at least 20 feet in all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sponsor provides for each student engaged in on-cycle instruction one fully operational motorcycle manufactured for highway use that has not been modified, does not contain aftermarket equipment, and meets at least two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 engine displacement of 500 cubic centimeters or less, or an electric motor of 30 kW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curb (wet) weight of 440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 seat height of 30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 xml:space="preserve">Only persons successfully completing all elements of the approved course will be issued an Iowa certificate of completion for MRE by the sponsor to be submitted to the department by the methods provided in </w:t>
      </w:r>
      <w:hyperlink r:id="rId10">
        <w:r>
          <w:rPr>
            <w:rStyle w:val="Hyperlink"/>
            <w:rFonts w:ascii="Times New Roman" w:hAnsi="Times New Roman"/>
            <w:b w:val="false"/>
            <w:i w:val="false"/>
            <w:color w:val="000000"/>
            <w:sz w:val="22"/>
          </w:rPr>
          <w:t>761—subrule 602.2(1)</w:t>
        </w:r>
      </w:hyperlink>
      <w:r>
        <w:rPr>
          <w:rFonts w:ascii="Times New Roman" w:hAnsi="Times New Roman"/>
          <w:b w:val="false"/>
          <w:i w:val="false"/>
          <w:color w:val="000000"/>
          <w:sz w:val="22"/>
        </w:rPr>
        <w:t xml:space="preserve">. The driving test for a Class M driver’s license or a motorcycle endorsement may be waived under </w:t>
      </w:r>
      <w:hyperlink r:id="rId11">
        <w:r>
          <w:rPr>
            <w:rStyle w:val="Hyperlink"/>
            <w:rFonts w:ascii="Times New Roman" w:hAnsi="Times New Roman"/>
            <w:b w:val="false"/>
            <w:i w:val="false"/>
            <w:color w:val="000000"/>
            <w:sz w:val="22"/>
          </w:rPr>
          <w:t>761—subrule 604.31(2)</w:t>
        </w:r>
      </w:hyperlink>
      <w:r>
        <w:rPr>
          <w:rFonts w:ascii="Times New Roman" w:hAnsi="Times New Roman"/>
          <w:b w:val="false"/>
          <w:i w:val="false"/>
          <w:color w:val="000000"/>
          <w:sz w:val="22"/>
        </w:rPr>
        <w:t xml:space="preserve"> within two years of the issuance of a certificate of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761—635.5</w:t>
      </w:r>
      <w:r>
        <w:rPr>
          <w:rFonts w:ascii="Times New Roman" w:hAnsi="Times New Roman"/>
          <w:b/>
          <w:i w:val="false"/>
          <w:color w:val="000000"/>
          <w:sz w:val="22"/>
        </w:rPr>
        <w:t xml:space="preserve">(307,321) </w:t>
      </w:r>
      <w:r>
        <w:rPr>
          <w:rFonts w:ascii="Times New Roman" w:hAnsi="Times New Roman"/>
          <w:b/>
          <w:i w:val="false"/>
          <w:color w:val="000000"/>
          <w:sz w:val="22"/>
        </w:rPr>
        <w:t xml:space="preserve">Instructor and sponsor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635.5(1)</w:t>
      </w:r>
      <w:r>
        <w:rPr>
          <w:rFonts w:ascii="Times New Roman" w:hAnsi="Times New Roman"/>
          <w:b w:val="false"/>
          <w:i w:val="false"/>
          <w:color w:val="000000"/>
          <w:sz w:val="22"/>
        </w:rPr>
        <w:t> </w:t>
      </w:r>
      <w:r>
        <w:rPr>
          <w:rFonts w:ascii="Times New Roman" w:hAnsi="Times New Roman"/>
          <w:b w:val="false"/>
          <w:i/>
          <w:color w:val="000000"/>
          <w:sz w:val="22"/>
        </w:rPr>
        <w:t xml:space="preserve">Instructor license. </w:t>
      </w:r>
      <w:r>
        <w:rPr>
          <w:rFonts w:ascii="Times New Roman" w:hAnsi="Times New Roman"/>
          <w:b w:val="false"/>
          <w:i w:val="false"/>
          <w:color w:val="000000"/>
          <w:sz w:val="22"/>
        </w:rPr>
        <w:t>To qualify for an instructor’s license,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 a valid Class M driver’s license or a motorcycle endorsement or equivalent license or endorsement that is valid for a two-wheel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nationally recognized, research-based instructor preparation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 a current instructor certification from a nationally recognized motorcycle safety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Before a license is granted, teach one class of the approved course under the guidance of an experienced, licensed instructor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year in which a license is granted, teach at least one nationally recognized, research-based motorcycle rider preparation course approved by the department in Iowa or another state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the year in which a license is granted, complete at least one state-sponsored or state-approved instructor update each calendar year. The update must be completed in Iowa every other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a clear driving record for the previous two years. A clear driving record means the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identified as a candidate for driver’s license suspension under the habitual violator provisions of rule </w:t>
      </w:r>
      <w:hyperlink r:id="rId12">
        <w:r>
          <w:rPr>
            <w:rStyle w:val="Hyperlink"/>
            <w:rFonts w:ascii="Times New Roman" w:hAnsi="Times New Roman"/>
            <w:b w:val="false"/>
            <w:i w:val="false"/>
            <w:color w:val="000000"/>
            <w:sz w:val="22"/>
          </w:rPr>
          <w:t>761—615.13</w:t>
        </w:r>
      </w:hyperlink>
      <w:r>
        <w:rPr>
          <w:rFonts w:ascii="Times New Roman" w:hAnsi="Times New Roman"/>
          <w:b w:val="false"/>
          <w:i w:val="false"/>
          <w:color w:val="000000"/>
          <w:sz w:val="22"/>
        </w:rPr>
        <w:t xml:space="preserve">(321) or the serious violation provisions of rule </w:t>
      </w:r>
      <w:hyperlink r:id="rId13">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denials, cancellations, disqualifications or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committed an offense that would result in driver’s license suspension, revocation, denial, cancellation,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a contributive motor vehicle accident that caused the death or serious injury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record of two or more contributive motor vehicle accidents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Comply with any department review and verification of the instructor’s qualifications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635.5(2)</w:t>
      </w:r>
      <w:r>
        <w:rPr>
          <w:rFonts w:ascii="Times New Roman" w:hAnsi="Times New Roman"/>
          <w:b w:val="false"/>
          <w:i w:val="false"/>
          <w:color w:val="000000"/>
          <w:sz w:val="22"/>
        </w:rPr>
        <w:t> </w:t>
      </w:r>
      <w:r>
        <w:rPr>
          <w:rFonts w:ascii="Times New Roman" w:hAnsi="Times New Roman"/>
          <w:b w:val="false"/>
          <w:i/>
          <w:color w:val="000000"/>
          <w:sz w:val="22"/>
        </w:rPr>
        <w:t xml:space="preserve">Sponsor license. </w:t>
      </w:r>
      <w:r>
        <w:rPr>
          <w:rFonts w:ascii="Times New Roman" w:hAnsi="Times New Roman"/>
          <w:b w:val="false"/>
          <w:i w:val="false"/>
          <w:color w:val="000000"/>
          <w:sz w:val="22"/>
        </w:rPr>
        <w:t>To qualify for a sponsor’s license, an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only a course approved under rule </w:t>
      </w:r>
      <w:hyperlink r:id="rId14">
        <w:r>
          <w:rPr>
            <w:rStyle w:val="Hyperlink"/>
            <w:rFonts w:ascii="Times New Roman" w:hAnsi="Times New Roman"/>
            <w:b w:val="false"/>
            <w:i w:val="false"/>
            <w:color w:val="000000"/>
            <w:sz w:val="22"/>
          </w:rPr>
          <w:t>761—635.4</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only instructors licensed by the department to teach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liability insurance in an amount of not less than $1 million, combined single limit, with an aggregate limit of not less than $2 million, and file a certificate of this insurance with the department verifying coverage for scheduled courses of instruction. The certificate shall name the department and its officers, agents, representatives and employees as additional insureds with respect to all work, deliveries or services performed for the department by the named insured, and specify that the department’s motor vehicle division shall be given at least 30 days’ prior notice of any material change in or cancellation of the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written verification of self-insurance to the department if the sponsor is a state agency or public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complete instructional accident report files and furnish this information to the department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 a record of costs incurred in providing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Allow the department or the department’s designee to audit any class of the approved course, either announced or unannounced.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Involve a program administrator in an annual department-sponsored, in-service seminar.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and maintain adequate instructional facilities and equipment to accommodate all components of the approved course, including but not limited to the lecture, audio-visual, and on-cycle components.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761—635.6</w:t>
      </w:r>
      <w:r>
        <w:rPr>
          <w:rFonts w:ascii="Times New Roman" w:hAnsi="Times New Roman"/>
          <w:b/>
          <w:i w:val="false"/>
          <w:color w:val="000000"/>
          <w:sz w:val="22"/>
        </w:rPr>
        <w:t xml:space="preserve">(307,321) </w:t>
      </w:r>
      <w:r>
        <w:rPr>
          <w:rFonts w:ascii="Times New Roman" w:hAnsi="Times New Roman"/>
          <w:b/>
          <w:i w:val="false"/>
          <w:color w:val="000000"/>
          <w:sz w:val="22"/>
        </w:rPr>
        <w:t xml:space="preserve">Cancellation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635.6(1)</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 xml:space="preserve">The department shall cancel the license if the sponsor or instructor fails to comply with the applicable provisions of this chapter or Iowa Code section </w:t>
      </w:r>
      <w:hyperlink r:id="rId15">
        <w:r>
          <w:rPr>
            <w:rStyle w:val="Hyperlink"/>
            <w:rFonts w:ascii="Times New Roman" w:hAnsi="Times New Roman"/>
            <w:b w:val="false"/>
            <w:i w:val="false"/>
            <w:color w:val="000000"/>
            <w:sz w:val="22"/>
          </w:rPr>
          <w:t>321.179</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321.180B(5)</w:t>
        </w:r>
      </w:hyperlink>
      <w:r>
        <w:rPr>
          <w:rFonts w:ascii="Times New Roman" w:hAnsi="Times New Roman"/>
          <w:b w:val="false"/>
          <w:i w:val="false"/>
          <w:color w:val="000000"/>
          <w:sz w:val="22"/>
        </w:rPr>
        <w:t xml:space="preserve"> or if the course or instructors are no longer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shall deny an initial or renewal application if the applicant does not meet the criteria for issuance of a license under this chapter. A denial for an instructor’s failure to comply with the provisions of paragraph </w:t>
      </w:r>
      <w:hyperlink r:id="rId17">
        <w:r>
          <w:rPr>
            <w:rStyle w:val="Hyperlink"/>
            <w:rFonts w:ascii="Times New Roman" w:hAnsi="Times New Roman"/>
            <w:b w:val="false"/>
            <w:i w:val="false"/>
            <w:color w:val="000000"/>
            <w:sz w:val="22"/>
          </w:rPr>
          <w:t>635.5(1)</w:t>
        </w:r>
      </w:hyperlink>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will remain in effect until the instructor completes the following requirements,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Presents an unexpired instructor certification from a nationally recognized motorcycle safety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Teaches one class of the approved course under the guidance of an experienced, licensed instructor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Completes at least one state-sponsored or state-approved instructor update.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761—635.7</w:t>
      </w:r>
      <w:r>
        <w:rPr>
          <w:rFonts w:ascii="Times New Roman" w:hAnsi="Times New Roman"/>
          <w:b/>
          <w:i w:val="false"/>
          <w:color w:val="000000"/>
          <w:sz w:val="22"/>
        </w:rPr>
        <w:t xml:space="preserve">(321) </w:t>
      </w:r>
      <w:r>
        <w:rPr>
          <w:rFonts w:ascii="Times New Roman" w:hAnsi="Times New Roman"/>
          <w:b/>
          <w:i w:val="false"/>
          <w:color w:val="000000"/>
          <w:sz w:val="22"/>
        </w:rPr>
        <w:t xml:space="preserve">Use of MRE fund. </w:t>
      </w:r>
      <w:r>
        <w:rPr>
          <w:rFonts w:ascii="Times New Roman" w:hAnsi="Times New Roman"/>
          <w:b w:val="false"/>
          <w:i w:val="false"/>
          <w:color w:val="000000"/>
          <w:sz w:val="22"/>
        </w:rPr>
        <w:t>The MRE fund may be used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635.7(1)</w:t>
      </w:r>
      <w:r>
        <w:rPr>
          <w:rFonts w:ascii="Times New Roman" w:hAnsi="Times New Roman"/>
          <w:b w:val="false"/>
          <w:i w:val="false"/>
          <w:color w:val="000000"/>
          <w:sz w:val="22"/>
        </w:rPr>
        <w:t> </w:t>
      </w:r>
      <w:r>
        <w:rPr>
          <w:rFonts w:ascii="Times New Roman" w:hAnsi="Times New Roman"/>
          <w:b w:val="false"/>
          <w:i/>
          <w:color w:val="000000"/>
          <w:sz w:val="22"/>
        </w:rPr>
        <w:t xml:space="preserve">Course development. </w:t>
      </w:r>
      <w:r>
        <w:rPr>
          <w:rFonts w:ascii="Times New Roman" w:hAnsi="Times New Roman"/>
          <w:b w:val="false"/>
          <w:i w:val="false"/>
          <w:color w:val="000000"/>
          <w:sz w:val="22"/>
        </w:rPr>
        <w:t>New or current sponsors may apply to the department for funds to establish delivery of the approved course at an unserved site. Current sponsors may apply for funds to expand delivery at an existing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Expenditures eligible for funding are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Acquisition of necessary classroom furnishings and audio-visual systems if used exclusively to deliver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Required curriculum materials including necessary audio and visual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Range development and maintenance excluding land acquisition, surfacing and resurfacing.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motorcycles and motorcycle maintenance equipment if the equipment is to be used exclusively for the upkeep of the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On-cycle safety equipment limited to helmets, eye-protective devices and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funds shall be made in a manner determined by the department. Departmental approval will be based on the geographical area, the number of students to be served and the availability of moneys in the MRE fund. The number of students to be served is determined by range size, the number of courses to be offered, and the number of sponsors providing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to the sponsor for course development expenditures will be on a cost-reimbursement basis and made after claims under subrule </w:t>
      </w:r>
      <w:hyperlink r:id="rId18">
        <w:r>
          <w:rPr>
            <w:rStyle w:val="Hyperlink"/>
            <w:rFonts w:ascii="Times New Roman" w:hAnsi="Times New Roman"/>
            <w:b w:val="false"/>
            <w:i w:val="false"/>
            <w:color w:val="000000"/>
            <w:sz w:val="22"/>
          </w:rPr>
          <w:t>635.7(5)</w:t>
        </w:r>
      </w:hyperlink>
      <w:r>
        <w:rPr>
          <w:rFonts w:ascii="Times New Roman" w:hAnsi="Times New Roman"/>
          <w:b w:val="false"/>
          <w:i w:val="false"/>
          <w:color w:val="000000"/>
          <w:sz w:val="22"/>
        </w:rPr>
        <w:t xml:space="preserve"> are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635.7(2)</w:t>
      </w:r>
      <w:r>
        <w:rPr>
          <w:rFonts w:ascii="Times New Roman" w:hAnsi="Times New Roman"/>
          <w:b w:val="false"/>
          <w:i w:val="false"/>
          <w:color w:val="000000"/>
          <w:sz w:val="22"/>
        </w:rPr>
        <w:t> </w:t>
      </w:r>
      <w:r>
        <w:rPr>
          <w:rFonts w:ascii="Times New Roman" w:hAnsi="Times New Roman"/>
          <w:b w:val="false"/>
          <w:i/>
          <w:color w:val="000000"/>
          <w:sz w:val="22"/>
        </w:rPr>
        <w:t xml:space="preserve">Instructor preparation. </w:t>
      </w:r>
      <w:r>
        <w:rPr>
          <w:rFonts w:ascii="Times New Roman" w:hAnsi="Times New Roman"/>
          <w:b w:val="false"/>
          <w:i w:val="false"/>
          <w:color w:val="000000"/>
          <w:sz w:val="22"/>
        </w:rPr>
        <w:t>The department will sponsor and accept applications for enrollment in initial instructor preparation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instructor preparation course is open to any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valid Class M driver’s license or a motorcycle endorsement or equivalent license or endorsement that is valid for a two-wheel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Submits verification from an approved sponsor of employment as an instructor of the approved course to be offered within the next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proof of successful completion of the instructor preparation course, an individual may be reimbursed for course tuition.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635.7(3)</w:t>
      </w:r>
      <w:r>
        <w:rPr>
          <w:rFonts w:ascii="Times New Roman" w:hAnsi="Times New Roman"/>
          <w:b w:val="false"/>
          <w:i w:val="false"/>
          <w:color w:val="000000"/>
          <w:sz w:val="22"/>
        </w:rPr>
        <w:t> </w:t>
      </w:r>
      <w:r>
        <w:rPr>
          <w:rFonts w:ascii="Times New Roman" w:hAnsi="Times New Roman"/>
          <w:b w:val="false"/>
          <w:i/>
          <w:color w:val="000000"/>
          <w:sz w:val="22"/>
        </w:rPr>
        <w:t xml:space="preserve">Instructor updates. </w:t>
      </w:r>
      <w:r>
        <w:rPr>
          <w:rFonts w:ascii="Times New Roman" w:hAnsi="Times New Roman"/>
          <w:b w:val="false"/>
          <w:i w:val="false"/>
          <w:color w:val="000000"/>
          <w:sz w:val="22"/>
        </w:rPr>
        <w:t>The department will sponsor and fund instructor updates held in Iowa. Instructor updates are open to all state-licensed MRE instructors and instructor trainers.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635.7(4)</w:t>
      </w:r>
      <w:r>
        <w:rPr>
          <w:rFonts w:ascii="Times New Roman" w:hAnsi="Times New Roman"/>
          <w:b w:val="false"/>
          <w:i w:val="false"/>
          <w:color w:val="000000"/>
          <w:sz w:val="22"/>
        </w:rPr>
        <w:t> </w:t>
      </w:r>
      <w:r>
        <w:rPr>
          <w:rFonts w:ascii="Times New Roman" w:hAnsi="Times New Roman"/>
          <w:b w:val="false"/>
          <w:i/>
          <w:color w:val="000000"/>
          <w:sz w:val="22"/>
        </w:rPr>
        <w:t xml:space="preserve">Instructor trainer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experienced, state-licensed MRE instructor may apply to the department for funding assistance on forms provided by the department if both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instructor is accepted for enrollment in a nationally recognized instructor trainer preparation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instructor agrees to be an instructor trainer in a department-sponsored instructor preparation course within 12 months following successful completion of the instructor trainer preparation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the application if the department determines there is a need for additional instructor trainers.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then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Funding assistance is limited to course tuition, travel, and subsistence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approval of the application, the department will pay for course tuition and travel to the training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receipt by the department of evidence of successful completion accompanied by documentation of subsistence expenses incurred, the department will reimburse the instructor for food and lodging based on the in-state reimbursement limits established for state employees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instructor fails to attend the training, the instructor must repay the department both the course tuition and the travel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instructor fails to successfully complete the course, the instructor must repay the department one-half the course tuition and one-half the travel purchased. Meal and lodging expenses will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635.7(5)</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per pupil costs. </w:t>
      </w:r>
      <w:r>
        <w:rPr>
          <w:rFonts w:ascii="Times New Roman" w:hAnsi="Times New Roman"/>
          <w:b w:val="false"/>
          <w:i w:val="false"/>
          <w:color w:val="000000"/>
          <w:sz w:val="22"/>
        </w:rPr>
        <w:t>The department will reimburse a sponsor for each student who completes the approved course contingent upon the availability of moneys in the MRE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be paid twice each calendar year, once for training provided from January to June and once for training provided from July to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will be based on a per pupil rate determined semiannually by the department. The rate will be based on the amount of moneys available in the MRE fund, less the administrative and instructor training costs, and will be distributed to sponsors based on the total number of students who complete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for reimbursement shall be submitted in a manner determined by the department and include a summary of courses taught with site, date, and instructor information; a report for each class taught that provides the name, age, and driver’s license number of each student; and 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provide course, instructor and student information; failure to meet instructor certification and licensure requirements; failure to comply with applicable provisions of this chapter in providing the course; or failure to meet prescribed instructor-student ratios shall result in the forfeiture of reimbursement for those courses and students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20">
        <w:r>
          <w:rPr>
            <w:rStyle w:val="Hyperlink"/>
            <w:rFonts w:ascii="Times New Roman" w:hAnsi="Times New Roman"/>
            <w:b w:val="false"/>
            <w:i w:val="false"/>
            <w:color w:val="000000"/>
            <w:sz w:val="22"/>
          </w:rPr>
          <w:t>321.179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321.180B(5)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2/11/98, Notice 12/31/97—published 3/11/98, effective 4/15/98]</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3452C</w:t>
      </w:r>
      <w:r>
        <w:rPr>
          <w:rFonts w:ascii="Times New Roman" w:hAnsi="Times New Roman"/>
          <w:b w:val="false"/>
          <w:i w:val="false"/>
          <w:color w:val="000000"/>
          <w:sz w:val="21"/>
        </w:rPr>
        <w:t xml:space="preserve"> (Notice ARC 3305C,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5204C</w:t>
      </w:r>
      <w:r>
        <w:rPr>
          <w:rFonts w:ascii="Times New Roman" w:hAnsi="Times New Roman"/>
          <w:b w:val="false"/>
          <w:i w:val="false"/>
          <w:color w:val="000000"/>
          <w:sz w:val="21"/>
        </w:rPr>
        <w:t xml:space="preserve"> (Notice ARC 5102C,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9137C</w:t>
      </w:r>
      <w:r>
        <w:rPr>
          <w:rFonts w:ascii="Times New Roman" w:hAnsi="Times New Roman"/>
          <w:b w:val="false"/>
          <w:i w:val="false"/>
          <w:color w:val="000000"/>
          <w:sz w:val="21"/>
        </w:rPr>
        <w:t xml:space="preserve"> (Notice ARC 8472C,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mre.dot@iowadot.us" Type="http://schemas.openxmlformats.org/officeDocument/2006/relationships/hyperlink" Id="rId5"/>
    <Relationship TargetMode="External" Target="https://www.legis.iowa.gov/docs/iac/rule/761.635.5.pdf" Type="http://schemas.openxmlformats.org/officeDocument/2006/relationships/hyperlink" Id="rId6"/>
    <Relationship TargetMode="External" Target="https://www.legis.iowa.gov/docs/iac/rule/761.635.6.pdf" Type="http://schemas.openxmlformats.org/officeDocument/2006/relationships/hyperlink" Id="rId7"/>
    <Relationship TargetMode="External" Target="https://www.legis.iowa.gov/docs/iac/rule/761.635.6.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ac/rule/761.602.2.pdf" Type="http://schemas.openxmlformats.org/officeDocument/2006/relationships/hyperlink" Id="rId10"/>
    <Relationship TargetMode="External" Target="https://www.legis.iowa.gov/docs/iac/rule/761.604.31.pdf" Type="http://schemas.openxmlformats.org/officeDocument/2006/relationships/hyperlink" Id="rId11"/>
    <Relationship TargetMode="External" Target="https://www.legis.iowa.gov/docs/iac/rule/761.615.13.pdf" Type="http://schemas.openxmlformats.org/officeDocument/2006/relationships/hyperlink" Id="rId12"/>
    <Relationship TargetMode="External" Target="https://www.legis.iowa.gov/docs/iac/rule/761.615.17.pdf" Type="http://schemas.openxmlformats.org/officeDocument/2006/relationships/hyperlink" Id="rId13"/>
    <Relationship TargetMode="External" Target="https://www.legis.iowa.gov/docs/iac/rule/761.635.4.pdf" Type="http://schemas.openxmlformats.org/officeDocument/2006/relationships/hyperlink" Id="rId14"/>
    <Relationship TargetMode="External" Target="https://www.legis.iowa.gov/docs/ico/chapter/321.179.pdf" Type="http://schemas.openxmlformats.org/officeDocument/2006/relationships/hyperlink" Id="rId15"/>
    <Relationship TargetMode="External" Target="https://www.legis.iowa.gov/docs/ico/chapter/321.180B.pdf" Type="http://schemas.openxmlformats.org/officeDocument/2006/relationships/hyperlink" Id="rId16"/>
    <Relationship TargetMode="External" Target="https://www.legis.iowa.gov/docs/iac/rule/761.635.5.pdf" Type="http://schemas.openxmlformats.org/officeDocument/2006/relationships/hyperlink" Id="rId17"/>
    <Relationship TargetMode="External" Target="https://www.legis.iowa.gov/docs/iac/rule/761.635.7.pdf" Type="http://schemas.openxmlformats.org/officeDocument/2006/relationships/hyperlink" Id="rId18"/>
    <Relationship TargetMode="External" Target="https://www.legis.iowa.gov/docs/ico/chapter/307.12.pdf" Type="http://schemas.openxmlformats.org/officeDocument/2006/relationships/hyperlink" Id="rId19"/>
    <Relationship TargetMode="External" Target="https://www.legis.iowa.gov/docs/ico/chapter/321.179.pdf" Type="http://schemas.openxmlformats.org/officeDocument/2006/relationships/hyperlink" Id="rId20"/>
    <Relationship TargetMode="External" Target="https://www.legis.iowa.gov/docs/ico/chapter/321.180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