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620</w:t>
      </w:r>
    </w:p>
    <w:p>
      <w:pPr>
        <w:spacing w:before="0" w:after="0"/>
        <w:ind w:left="120"/>
        <w:jc w:val="center"/>
      </w:pPr>
      <w:r>
        <w:rPr>
          <w:rFonts w:ascii="Times New Roman" w:hAnsi="Times New Roman"/>
          <w:b w:val="false"/>
          <w:i w:val="false"/>
          <w:color w:val="000000"/>
          <w:sz w:val="21"/>
        </w:rPr>
        <w:t>OWI AND IMPLIED CONSENT</w:t>
      </w:r>
    </w:p>
    <w:p>
      <w:pPr>
        <w:spacing w:before="0" w:after="0"/>
        <w:ind w:left="120"/>
        <w:jc w:val="center"/>
      </w:pPr>
      <w:r>
        <w:rPr>
          <w:rFonts w:ascii="Times New Roman" w:hAnsi="Times New Roman"/>
          <w:b w:val="false"/>
          <w:i w:val="false"/>
          <w:color w:val="000000"/>
          <w:sz w:val="14"/>
        </w:rPr>
        <w:t>[Prior to 6/3/87, Transportation Department[820]—(07,C)Ch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761—620.1</w:t>
      </w:r>
      <w:r>
        <w:rPr>
          <w:rFonts w:ascii="Times New Roman" w:hAnsi="Times New Roman"/>
          <w:b/>
          <w:i w:val="false"/>
          <w:color w:val="000000"/>
          <w:sz w:val="22"/>
        </w:rPr>
        <w:t xml:space="preserve">(321J)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compliance report” </w:t>
      </w:r>
      <w:r>
        <w:rPr>
          <w:rFonts w:ascii="Times New Roman" w:hAnsi="Times New Roman"/>
          <w:b w:val="false"/>
          <w:i w:val="false"/>
          <w:color w:val="000000"/>
          <w:sz w:val="22"/>
        </w:rPr>
        <w:t xml:space="preserve">means a report as described in Iowa Code section </w:t>
      </w:r>
      <w:hyperlink r:id="rId5">
        <w:r>
          <w:rPr>
            <w:rStyle w:val="Hyperlink"/>
            <w:rFonts w:ascii="Times New Roman" w:hAnsi="Times New Roman"/>
            <w:b w:val="false"/>
            <w:i w:val="false"/>
            <w:color w:val="000000"/>
            <w:sz w:val="22"/>
          </w:rPr>
          <w:t>321J.17A(3)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doctor” </w:t>
      </w:r>
      <w:r>
        <w:rPr>
          <w:rFonts w:ascii="Times New Roman" w:hAnsi="Times New Roman"/>
          <w:b w:val="false"/>
          <w:i w:val="false"/>
          <w:color w:val="000000"/>
          <w:sz w:val="22"/>
        </w:rPr>
        <w:t xml:space="preserve">for purposes of this chapter means a licensed physician under Iowa Code chapter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(doctor of medicine or osteopathy) or the equivalent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“Violation” </w:t>
      </w:r>
      <w:r>
        <w:rPr>
          <w:rFonts w:ascii="Times New Roman" w:hAnsi="Times New Roman"/>
          <w:b w:val="false"/>
          <w:i w:val="false"/>
          <w:color w:val="000000"/>
          <w:sz w:val="22"/>
        </w:rPr>
        <w:t xml:space="preserve">means a violation as described in Iowa Code section </w:t>
      </w:r>
      <w:hyperlink r:id="rId7">
        <w:r>
          <w:rPr>
            <w:rStyle w:val="Hyperlink"/>
            <w:rFonts w:ascii="Times New Roman" w:hAnsi="Times New Roman"/>
            <w:b w:val="false"/>
            <w:i w:val="false"/>
            <w:color w:val="000000"/>
            <w:sz w:val="22"/>
          </w:rPr>
          <w:t>321J.17A(4)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“Violation occurrence” </w:t>
      </w:r>
      <w:r>
        <w:rPr>
          <w:rFonts w:ascii="Times New Roman" w:hAnsi="Times New Roman"/>
          <w:b w:val="false"/>
          <w:i w:val="false"/>
          <w:color w:val="000000"/>
          <w:sz w:val="22"/>
        </w:rPr>
        <w:t xml:space="preserve">means an occurrence as described in Iowa Code section </w:t>
      </w:r>
      <w:hyperlink r:id="rId8">
        <w:r>
          <w:rPr>
            <w:rStyle w:val="Hyperlink"/>
            <w:rFonts w:ascii="Times New Roman" w:hAnsi="Times New Roman"/>
            <w:b w:val="false"/>
            <w:i w:val="false"/>
            <w:color w:val="000000"/>
            <w:sz w:val="22"/>
          </w:rPr>
          <w:t>321J.17A(1)</w:t>
        </w:r>
      </w:hyperlink>
      <w:r>
        <w:rPr>
          <w:rFonts w:ascii="Times New Roman" w:hAnsi="Times New Roman"/>
          <w:b w:val="false"/>
          <w:i w:val="false"/>
          <w:color w:val="000000"/>
          <w:sz w:val="22"/>
        </w:rPr>
        <w:t xml:space="preserve">. A “violation occurrence” as described in Iowa Code section </w:t>
      </w:r>
      <w:hyperlink r:id="rId9">
        <w:r>
          <w:rPr>
            <w:rStyle w:val="Hyperlink"/>
            <w:rFonts w:ascii="Times New Roman" w:hAnsi="Times New Roman"/>
            <w:b w:val="false"/>
            <w:i w:val="false"/>
            <w:color w:val="000000"/>
            <w:sz w:val="22"/>
          </w:rPr>
          <w:t>321J.17A(1)</w:t>
        </w:r>
      </w:hyperlink>
      <w:r>
        <w:rPr>
          <w:rFonts w:ascii="Times New Roman" w:hAnsi="Times New Roman"/>
          <w:b w:val="false"/>
          <w:i/>
          <w:color w:val="000000"/>
          <w:sz w:val="22"/>
        </w:rPr>
        <w:t>“d”</w:t>
      </w:r>
      <w:r>
        <w:rPr>
          <w:rFonts w:ascii="Times New Roman" w:hAnsi="Times New Roman"/>
          <w:b w:val="false"/>
          <w:i w:val="false"/>
          <w:color w:val="000000"/>
          <w:sz w:val="22"/>
        </w:rPr>
        <w:t xml:space="preserve"> does not include when the ignition interlock device is transferred to a different vehicle.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761—620.2</w:t>
      </w:r>
      <w:r>
        <w:rPr>
          <w:rFonts w:ascii="Times New Roman" w:hAnsi="Times New Roman"/>
          <w:b/>
          <w:i w:val="false"/>
          <w:color w:val="000000"/>
          <w:sz w:val="22"/>
        </w:rPr>
        <w:t xml:space="preserve">(307,321J) </w:t>
      </w:r>
      <w:r>
        <w:rPr>
          <w:rFonts w:ascii="Times New Roman" w:hAnsi="Times New Roman"/>
          <w:b/>
          <w:i w:val="false"/>
          <w:color w:val="000000"/>
          <w:sz w:val="22"/>
        </w:rPr>
        <w:t xml:space="preserve">Information and location. </w:t>
      </w:r>
      <w:r>
        <w:rPr>
          <w:rFonts w:ascii="Times New Roman" w:hAnsi="Times New Roman"/>
          <w:b w:val="false"/>
          <w:i w:val="false"/>
          <w:color w:val="000000"/>
          <w:sz w:val="22"/>
        </w:rPr>
        <w:t xml:space="preserve">Information relating to this chapter is available by mail from the Motor Vehicle Division, Iowa Department of Transportation, P.O. Box 9204, Des Moines, Iowa 50306-9204; in person at 6310 SE Convenience Boulevard, Ankeny, Iowa; by telephone at 515.244.9124; by email at </w:t>
      </w:r>
      <w:hyperlink r:id="rId10">
        <w:r>
          <w:rPr>
            <w:rStyle w:val="Hyperlink"/>
            <w:rFonts w:ascii="Times New Roman" w:hAnsi="Times New Roman"/>
            <w:b w:val="false"/>
            <w:i w:val="false"/>
            <w:color w:val="000000"/>
            <w:sz w:val="22"/>
            <w:u w:val="single"/>
          </w:rPr>
          <w:t>driver.services@iowadot.us</w:t>
        </w:r>
      </w:hyperlink>
      <w:r>
        <w:rPr>
          <w:rFonts w:ascii="Times New Roman" w:hAnsi="Times New Roman"/>
          <w:b w:val="false"/>
          <w:i w:val="false"/>
          <w:color w:val="000000"/>
          <w:sz w:val="22"/>
        </w:rPr>
        <w:t>; or by facsimile at 515.239.1837.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761—620.3</w:t>
      </w:r>
      <w:r>
        <w:rPr>
          <w:rFonts w:ascii="Times New Roman" w:hAnsi="Times New Roman"/>
          <w:b/>
          <w:i w:val="false"/>
          <w:color w:val="000000"/>
          <w:sz w:val="22"/>
        </w:rPr>
        <w:t xml:space="preserve">(307,321,321J) </w:t>
      </w:r>
      <w:r>
        <w:rPr>
          <w:rFonts w:ascii="Times New Roman" w:hAnsi="Times New Roman"/>
          <w:b/>
          <w:i w:val="false"/>
          <w:color w:val="000000"/>
          <w:sz w:val="22"/>
        </w:rPr>
        <w:t xml:space="preserve">Issuance of temporary restricted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application for a temporary restricted license may be submitted, at any time before or during the revocation period, by completing Form 430400. The application form should be furnished by the arresting officer. It may also be obtained upon oral or written request to the motor vehicle division in person or by mail at the address in rule </w:t>
      </w:r>
      <w:hyperlink r:id="rId11">
        <w:r>
          <w:rPr>
            <w:rStyle w:val="Hyperlink"/>
            <w:rFonts w:ascii="Times New Roman" w:hAnsi="Times New Roman"/>
            <w:b w:val="false"/>
            <w:i w:val="false"/>
            <w:color w:val="000000"/>
            <w:sz w:val="22"/>
          </w:rPr>
          <w:t>761—620.2</w:t>
        </w:r>
      </w:hyperlink>
      <w:r>
        <w:rPr>
          <w:rFonts w:ascii="Times New Roman" w:hAnsi="Times New Roman"/>
          <w:b w:val="false"/>
          <w:i w:val="false"/>
          <w:color w:val="000000"/>
          <w:sz w:val="22"/>
        </w:rPr>
        <w:t xml:space="preserve">(307,321J) or online at </w:t>
      </w:r>
      <w:hyperlink r:id="rId12">
        <w:r>
          <w:rPr>
            <w:rStyle w:val="Hyperlink"/>
            <w:rFonts w:ascii="Times New Roman" w:hAnsi="Times New Roman"/>
            <w:b w:val="false"/>
            <w:i w:val="false"/>
            <w:color w:val="000000"/>
            <w:sz w:val="22"/>
            <w:u w:val="single"/>
          </w:rPr>
          <w:t>www.iowadot.gov/mvd/driverslicense/suspensions-and-revocations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620.3(2)</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 person applying for a temporary restricted license will comply with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proof of financial responsibility under Iowa Code chapter </w:t>
      </w:r>
      <w:hyperlink r:id="rId13">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for all motor vehicles owned or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certification of installation of an approved ignition interlock device on each vehicle required pursuant to Iowa Code section </w:t>
      </w:r>
      <w:hyperlink r:id="rId14">
        <w:r>
          <w:rPr>
            <w:rStyle w:val="Hyperlink"/>
            <w:rFonts w:ascii="Times New Roman" w:hAnsi="Times New Roman"/>
            <w:b w:val="false"/>
            <w:i w:val="false"/>
            <w:color w:val="000000"/>
            <w:sz w:val="22"/>
          </w:rPr>
          <w:t>321J.20(2)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 the $200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the applicable reinstatement and license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Pass the appropriate examination for the type of vehicle to be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620.3(3)</w:t>
      </w:r>
      <w:r>
        <w:rPr>
          <w:rFonts w:ascii="Times New Roman" w:hAnsi="Times New Roman"/>
          <w:b w:val="false"/>
          <w:i w:val="false"/>
          <w:color w:val="000000"/>
          <w:sz w:val="22"/>
        </w:rPr>
        <w:t> </w:t>
      </w:r>
      <w:r>
        <w:rPr>
          <w:rFonts w:ascii="Times New Roman" w:hAnsi="Times New Roman"/>
          <w:b w:val="false"/>
          <w:i/>
          <w:color w:val="000000"/>
          <w:sz w:val="22"/>
        </w:rPr>
        <w:t xml:space="preserve">Medical certification and 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certification from a medical doctor provided to the department on Form 430034, the minimum breath sampling size on an ignition interlock device may be lowered by the ignition interlock device provider to a level permissible under the National Highway Traffic Safety Administration’s Model Specifications for Breath Alcohol Ignition Interlock Devices (BAIIDs) as published in the Federal Register, Vol. 78, May 8, 2013, pages 26849 – 26867.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certification from a medical doctor provided to the department on Form 430034, the requirement to install an ignition interlock device as a condition of a temporary restricted license may be waived by the department if the applicant has a verifiable medical condition rendering the applicant incapable of providing a deep lung breath sample necessary for analysis by an ignition interlock device at either the standard level or lower level specified in the BAIIDs.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restricted license issued to a person with a medical wavier is subject to the restrictions identified in Iowa Code section </w:t>
      </w:r>
      <w:hyperlink r:id="rId15">
        <w:r>
          <w:rPr>
            <w:rStyle w:val="Hyperlink"/>
            <w:rFonts w:ascii="Times New Roman" w:hAnsi="Times New Roman"/>
            <w:b w:val="false"/>
            <w:i w:val="false"/>
            <w:color w:val="000000"/>
            <w:sz w:val="22"/>
          </w:rPr>
          <w:t>321J.20A(3)</w:t>
        </w:r>
      </w:hyperlink>
      <w:r>
        <w:rPr>
          <w:rFonts w:ascii="Times New Roman" w:hAnsi="Times New Roman"/>
          <w:b w:val="false"/>
          <w:i w:val="false"/>
          <w:color w:val="000000"/>
          <w:sz w:val="22"/>
        </w:rPr>
        <w:t xml:space="preserve"> and must comply with rule </w:t>
      </w:r>
      <w:hyperlink r:id="rId16">
        <w:r>
          <w:rPr>
            <w:rStyle w:val="Hyperlink"/>
            <w:rFonts w:ascii="Times New Roman" w:hAnsi="Times New Roman"/>
            <w:b w:val="false"/>
            <w:i w:val="false"/>
            <w:color w:val="000000"/>
            <w:sz w:val="22"/>
          </w:rPr>
          <w:t>761—615.45</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620.3(4)</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Upon receipt and approval of an application, the department will determine the restrictions to be imposed by the temporary restricted license. The licensee is to apply to the department in writing with a justification for any requested change in license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620.3(5)</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A person who has been denied a temporary restricted license or who contests the restrictions imposed by the department may contest the decision at any time in accordance with rule </w:t>
      </w:r>
      <w:hyperlink r:id="rId17">
        <w:r>
          <w:rPr>
            <w:rStyle w:val="Hyperlink"/>
            <w:rFonts w:ascii="Times New Roman" w:hAnsi="Times New Roman"/>
            <w:b w:val="false"/>
            <w:i w:val="false"/>
            <w:color w:val="000000"/>
            <w:sz w:val="22"/>
          </w:rPr>
          <w:t>761—620.5</w:t>
        </w:r>
      </w:hyperlink>
      <w:r>
        <w:rPr>
          <w:rFonts w:ascii="Times New Roman" w:hAnsi="Times New Roman"/>
          <w:b w:val="false"/>
          <w:i w:val="false"/>
          <w:color w:val="000000"/>
          <w:sz w:val="22"/>
        </w:rPr>
        <w:t>(17A,307,321J).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761—620.4</w:t>
      </w:r>
      <w:r>
        <w:rPr>
          <w:rFonts w:ascii="Times New Roman" w:hAnsi="Times New Roman"/>
          <w:b/>
          <w:i w:val="false"/>
          <w:color w:val="000000"/>
          <w:sz w:val="22"/>
        </w:rPr>
        <w:t xml:space="preserve">(321J) </w:t>
      </w:r>
      <w:r>
        <w:rPr>
          <w:rFonts w:ascii="Times New Roman" w:hAnsi="Times New Roman"/>
          <w:b/>
          <w:i w:val="false"/>
          <w:color w:val="000000"/>
          <w:sz w:val="22"/>
        </w:rPr>
        <w:t xml:space="preserve">Ignition interlock device provider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620.4(1)</w:t>
      </w:r>
      <w:r>
        <w:rPr>
          <w:rFonts w:ascii="Times New Roman" w:hAnsi="Times New Roman"/>
          <w:b w:val="false"/>
          <w:i w:val="false"/>
          <w:color w:val="000000"/>
          <w:sz w:val="22"/>
        </w:rPr>
        <w:t> </w:t>
      </w:r>
      <w:r>
        <w:rPr>
          <w:rFonts w:ascii="Times New Roman" w:hAnsi="Times New Roman"/>
          <w:b w:val="false"/>
          <w:i/>
          <w:color w:val="000000"/>
          <w:sz w:val="22"/>
        </w:rPr>
        <w:t xml:space="preserve">Access and approval. </w:t>
      </w:r>
      <w:r>
        <w:rPr>
          <w:rFonts w:ascii="Times New Roman" w:hAnsi="Times New Roman"/>
          <w:b w:val="false"/>
          <w:i w:val="false"/>
          <w:color w:val="000000"/>
          <w:sz w:val="22"/>
        </w:rPr>
        <w:t xml:space="preserve">An approved ignition interlock provider seeking to access department records to perform the electronic reporting outlined in this rule must apply to the department in a manner approved by the department and in compliance with </w:t>
      </w:r>
      <w:hyperlink r:id="rId18">
        <w:r>
          <w:rPr>
            <w:rStyle w:val="Hyperlink"/>
            <w:rFonts w:ascii="Times New Roman" w:hAnsi="Times New Roman"/>
            <w:b w:val="false"/>
            <w:i w:val="false"/>
            <w:color w:val="000000"/>
            <w:sz w:val="22"/>
          </w:rPr>
          <w:t>761—Chapter 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620.4(2)</w:t>
      </w:r>
      <w:r>
        <w:rPr>
          <w:rFonts w:ascii="Times New Roman" w:hAnsi="Times New Roman"/>
          <w:b w:val="false"/>
          <w:i w:val="false"/>
          <w:color w:val="000000"/>
          <w:sz w:val="22"/>
        </w:rPr>
        <w:t> </w:t>
      </w:r>
      <w:r>
        <w:rPr>
          <w:rFonts w:ascii="Times New Roman" w:hAnsi="Times New Roman"/>
          <w:b w:val="false"/>
          <w:i/>
          <w:color w:val="000000"/>
          <w:sz w:val="22"/>
        </w:rPr>
        <w:t xml:space="preserve">Electronic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approved ignition interlock device provider shall electronically report a notice of violation occurrence and a final compliance report to the department in a manner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approved ignition interlock provider shall retain all data, information and records associated with a notice of violation occurrence and final compliance report for a period of at least five years and make such data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620.4(3)</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occurrence. </w:t>
      </w:r>
      <w:r>
        <w:rPr>
          <w:rFonts w:ascii="Times New Roman" w:hAnsi="Times New Roman"/>
          <w:b w:val="false"/>
          <w:i w:val="false"/>
          <w:color w:val="000000"/>
          <w:sz w:val="22"/>
        </w:rPr>
        <w:t xml:space="preserve">The notice of violation occurrence shall be generated and sent by the ignition interlock device provider to the department no earlier than the same day the occurrence meets the criteria under Iowa Code section </w:t>
      </w:r>
      <w:hyperlink r:id="rId19">
        <w:r>
          <w:rPr>
            <w:rStyle w:val="Hyperlink"/>
            <w:rFonts w:ascii="Times New Roman" w:hAnsi="Times New Roman"/>
            <w:b w:val="false"/>
            <w:i w:val="false"/>
            <w:color w:val="000000"/>
            <w:sz w:val="22"/>
          </w:rPr>
          <w:t>321J.17A(1)</w:t>
        </w:r>
      </w:hyperlink>
      <w:r>
        <w:rPr>
          <w:rFonts w:ascii="Times New Roman" w:hAnsi="Times New Roman"/>
          <w:b w:val="false"/>
          <w:i w:val="false"/>
          <w:color w:val="000000"/>
          <w:sz w:val="22"/>
        </w:rPr>
        <w:t xml:space="preserve"> and no later than seven business days after the occurrence meets the criteria under Iowa Code section </w:t>
      </w:r>
      <w:hyperlink r:id="rId20">
        <w:r>
          <w:rPr>
            <w:rStyle w:val="Hyperlink"/>
            <w:rFonts w:ascii="Times New Roman" w:hAnsi="Times New Roman"/>
            <w:b w:val="false"/>
            <w:i w:val="false"/>
            <w:color w:val="000000"/>
            <w:sz w:val="22"/>
          </w:rPr>
          <w:t>321J.17A(1)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violation occurrence shall specify the applicable paragraph in Iowa Code section </w:t>
      </w:r>
      <w:hyperlink r:id="rId21">
        <w:r>
          <w:rPr>
            <w:rStyle w:val="Hyperlink"/>
            <w:rFonts w:ascii="Times New Roman" w:hAnsi="Times New Roman"/>
            <w:b w:val="false"/>
            <w:i w:val="false"/>
            <w:color w:val="000000"/>
            <w:sz w:val="22"/>
          </w:rPr>
          <w:t>321J.17A(1)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to which the occurrence corresponds.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determining when the periods referenced in Iowa Code section </w:t>
      </w:r>
      <w:hyperlink r:id="rId22">
        <w:r>
          <w:rPr>
            <w:rStyle w:val="Hyperlink"/>
            <w:rFonts w:ascii="Times New Roman" w:hAnsi="Times New Roman"/>
            <w:b w:val="false"/>
            <w:i w:val="false"/>
            <w:color w:val="000000"/>
            <w:sz w:val="22"/>
          </w:rPr>
          <w:t>321J.17A(1)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begin and end,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30-day period described in Iowa Code section </w:t>
      </w:r>
      <w:hyperlink r:id="rId23">
        <w:r>
          <w:rPr>
            <w:rStyle w:val="Hyperlink"/>
            <w:rFonts w:ascii="Times New Roman" w:hAnsi="Times New Roman"/>
            <w:b w:val="false"/>
            <w:i w:val="false"/>
            <w:color w:val="000000"/>
            <w:sz w:val="22"/>
          </w:rPr>
          <w:t>321J.17A(1)</w:t>
        </w:r>
      </w:hyperlink>
      <w:r>
        <w:rPr>
          <w:rFonts w:ascii="Times New Roman" w:hAnsi="Times New Roman"/>
          <w:b w:val="false"/>
          <w:i/>
          <w:color w:val="000000"/>
          <w:sz w:val="22"/>
        </w:rPr>
        <w:t>“a”</w:t>
      </w:r>
      <w:r>
        <w:rPr>
          <w:rFonts w:ascii="Times New Roman" w:hAnsi="Times New Roman"/>
          <w:b w:val="false"/>
          <w:i w:val="false"/>
          <w:color w:val="000000"/>
          <w:sz w:val="22"/>
        </w:rPr>
        <w:t xml:space="preserve"> begins on the date the first violation occurs and ends 30 days after the date the first violation occurred. All violations that occur within that 30-day period count toward one occurrence. Any new violation occurring after the end date of the initial 30-day period counts toward an additional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24-hour period described in Iowa Code section </w:t>
      </w:r>
      <w:hyperlink r:id="rId24">
        <w:r>
          <w:rPr>
            <w:rStyle w:val="Hyperlink"/>
            <w:rFonts w:ascii="Times New Roman" w:hAnsi="Times New Roman"/>
            <w:b w:val="false"/>
            <w:i w:val="false"/>
            <w:color w:val="000000"/>
            <w:sz w:val="22"/>
          </w:rPr>
          <w:t>321J.17A(1)</w:t>
        </w:r>
      </w:hyperlink>
      <w:r>
        <w:rPr>
          <w:rFonts w:ascii="Times New Roman" w:hAnsi="Times New Roman"/>
          <w:b w:val="false"/>
          <w:i/>
          <w:color w:val="000000"/>
          <w:sz w:val="22"/>
        </w:rPr>
        <w:t>“b”</w:t>
      </w:r>
      <w:r>
        <w:rPr>
          <w:rFonts w:ascii="Times New Roman" w:hAnsi="Times New Roman"/>
          <w:b w:val="false"/>
          <w:i w:val="false"/>
          <w:color w:val="000000"/>
          <w:sz w:val="22"/>
        </w:rPr>
        <w:t xml:space="preserve"> begins when the first violation occurs and ends 24 hours after the time the first violation occurred. All violations that occur within that 24-hour period count toward one occurrence. Any new violation occurring after the end of the initial 24-hour period counts toward an additional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will count toward an occurrence under both Iowa Code section </w:t>
      </w:r>
      <w:hyperlink r:id="rId25">
        <w:r>
          <w:rPr>
            <w:rStyle w:val="Hyperlink"/>
            <w:rFonts w:ascii="Times New Roman" w:hAnsi="Times New Roman"/>
            <w:b w:val="false"/>
            <w:i w:val="false"/>
            <w:color w:val="000000"/>
            <w:sz w:val="22"/>
          </w:rPr>
          <w:t>321J.17A(1)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provide a detectable breath sample in Iowa Code section </w:t>
      </w:r>
      <w:hyperlink r:id="rId26">
        <w:r>
          <w:rPr>
            <w:rStyle w:val="Hyperlink"/>
            <w:rFonts w:ascii="Times New Roman" w:hAnsi="Times New Roman"/>
            <w:b w:val="false"/>
            <w:i w:val="false"/>
            <w:color w:val="000000"/>
            <w:sz w:val="22"/>
          </w:rPr>
          <w:t>321J.17A(4)</w:t>
        </w:r>
      </w:hyperlink>
      <w:r>
        <w:rPr>
          <w:rFonts w:ascii="Times New Roman" w:hAnsi="Times New Roman"/>
          <w:b w:val="false"/>
          <w:i/>
          <w:color w:val="000000"/>
          <w:sz w:val="22"/>
        </w:rPr>
        <w:t>“a”</w:t>
      </w:r>
      <w:r>
        <w:rPr>
          <w:rFonts w:ascii="Times New Roman" w:hAnsi="Times New Roman"/>
          <w:b w:val="false"/>
          <w:i w:val="false"/>
          <w:color w:val="000000"/>
          <w:sz w:val="22"/>
        </w:rPr>
        <w:t>(1) means the failure occurred during a random retest.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event described in Iowa Code section </w:t>
      </w:r>
      <w:hyperlink r:id="rId27">
        <w:r>
          <w:rPr>
            <w:rStyle w:val="Hyperlink"/>
            <w:rFonts w:ascii="Times New Roman" w:hAnsi="Times New Roman"/>
            <w:b w:val="false"/>
            <w:i w:val="false"/>
            <w:color w:val="000000"/>
            <w:sz w:val="22"/>
          </w:rPr>
          <w:t>321J.17A(4)</w:t>
        </w:r>
      </w:hyperlink>
      <w:r>
        <w:rPr>
          <w:rFonts w:ascii="Times New Roman" w:hAnsi="Times New Roman"/>
          <w:b w:val="false"/>
          <w:i/>
          <w:color w:val="000000"/>
          <w:sz w:val="22"/>
        </w:rPr>
        <w:t>“b”</w:t>
      </w:r>
      <w:r>
        <w:rPr>
          <w:rFonts w:ascii="Times New Roman" w:hAnsi="Times New Roman"/>
          <w:b w:val="false"/>
          <w:i w:val="false"/>
          <w:color w:val="000000"/>
          <w:sz w:val="22"/>
        </w:rPr>
        <w:t xml:space="preserve"> is not a violation if the immediate retest is successful and occurs within ten minutes of the first failed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the ignition interlock device provider shall also provide the applicable underlying violation category under Iowa Code section </w:t>
      </w:r>
      <w:hyperlink r:id="rId28">
        <w:r>
          <w:rPr>
            <w:rStyle w:val="Hyperlink"/>
            <w:rFonts w:ascii="Times New Roman" w:hAnsi="Times New Roman"/>
            <w:b w:val="false"/>
            <w:i w:val="false"/>
            <w:color w:val="000000"/>
            <w:sz w:val="22"/>
          </w:rPr>
          <w:t>321J.17A(4)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any other identifying information requested by the department for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Each notice of violation occurrence requires a separate 60-day time extension to the period of time a person is required to maintain an ignition interlock device pursuant to Iowa Code section </w:t>
      </w:r>
      <w:hyperlink r:id="rId29">
        <w:r>
          <w:rPr>
            <w:rStyle w:val="Hyperlink"/>
            <w:rFonts w:ascii="Times New Roman" w:hAnsi="Times New Roman"/>
            <w:b w:val="false"/>
            <w:i w:val="false"/>
            <w:color w:val="000000"/>
            <w:sz w:val="22"/>
          </w:rPr>
          <w:t>321J.17A(1)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prevents a 60-day time extension from being added if the notice of violation occurrence is sent after the time required under this subrule due to the person’s failure to have the ignition interlock device reset once it has entered lockout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If a violation under Iowa Code section </w:t>
      </w:r>
      <w:hyperlink r:id="rId30">
        <w:r>
          <w:rPr>
            <w:rStyle w:val="Hyperlink"/>
            <w:rFonts w:ascii="Times New Roman" w:hAnsi="Times New Roman"/>
            <w:b w:val="false"/>
            <w:i w:val="false"/>
            <w:color w:val="000000"/>
            <w:sz w:val="22"/>
          </w:rPr>
          <w:t>321J.17A(4)</w:t>
        </w:r>
      </w:hyperlink>
      <w:r>
        <w:rPr>
          <w:rFonts w:ascii="Times New Roman" w:hAnsi="Times New Roman"/>
          <w:b w:val="false"/>
          <w:i/>
          <w:color w:val="000000"/>
          <w:sz w:val="22"/>
        </w:rPr>
        <w:t>“a”</w:t>
      </w:r>
      <w:r>
        <w:rPr>
          <w:rFonts w:ascii="Times New Roman" w:hAnsi="Times New Roman"/>
          <w:b w:val="false"/>
          <w:i w:val="false"/>
          <w:color w:val="000000"/>
          <w:sz w:val="22"/>
        </w:rPr>
        <w:t xml:space="preserve"> occurs solely due to the ignition interlock device suffering a manufacturer’s defect, as determined by the ignition interlock device provider, the violation shall not be included in a notice of violation occurrence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620.4(4)</w:t>
      </w:r>
      <w:r>
        <w:rPr>
          <w:rFonts w:ascii="Times New Roman" w:hAnsi="Times New Roman"/>
          <w:b w:val="false"/>
          <w:i w:val="false"/>
          <w:color w:val="000000"/>
          <w:sz w:val="22"/>
        </w:rPr>
        <w:t> </w:t>
      </w:r>
      <w:r>
        <w:rPr>
          <w:rFonts w:ascii="Times New Roman" w:hAnsi="Times New Roman"/>
          <w:b w:val="false"/>
          <w:i/>
          <w:color w:val="000000"/>
          <w:sz w:val="22"/>
        </w:rPr>
        <w:t xml:space="preserve">Final device download and compliance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notification from the department that the person’s requirement to maintain installation of the ignition interlock device has ended, the ignition interlock device provider shall complete a final download of the ignition interlock device to determine if the person has had any violation occurrences prior to or on the end date reported by the department. If no violation occurrences are detected, the ignition interlock device provider shall generate and send to the department a final compliance report, in the form and manner prescribed by the department, no later than seven business days following the date of the final download of the ignition interlock device. The ignition interlock device provider may uninstall the ignition interlock device if the final download detects no violation occurrences prior to or on the end date reported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during the final download, a violation occurrence is detected that occurred on or prior to the date the person’s requirement to maintain installation of an ignition interlock device ends as reported by the department,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ignition interlock device provider shall report the violation occurrence to the department in the same manner as any other violation occurrence is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extension under Iowa Code section </w:t>
      </w:r>
      <w:hyperlink r:id="rId31">
        <w:r>
          <w:rPr>
            <w:rStyle w:val="Hyperlink"/>
            <w:rFonts w:ascii="Times New Roman" w:hAnsi="Times New Roman"/>
            <w:b w:val="false"/>
            <w:i w:val="false"/>
            <w:color w:val="000000"/>
            <w:sz w:val="22"/>
          </w:rPr>
          <w:t>321J.17A</w:t>
        </w:r>
      </w:hyperlink>
      <w:r>
        <w:rPr>
          <w:rFonts w:ascii="Times New Roman" w:hAnsi="Times New Roman"/>
          <w:b w:val="false"/>
          <w:i w:val="false"/>
          <w:color w:val="000000"/>
          <w:sz w:val="22"/>
        </w:rPr>
        <w:t xml:space="preserve"> applies and the ignition interlock device cannot be uninstalled until all time extensions have 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761—620.5</w:t>
      </w:r>
      <w:r>
        <w:rPr>
          <w:rFonts w:ascii="Times New Roman" w:hAnsi="Times New Roman"/>
          <w:b/>
          <w:i w:val="false"/>
          <w:color w:val="000000"/>
          <w:sz w:val="22"/>
        </w:rPr>
        <w:t xml:space="preserve">(17A,307,321J) </w:t>
      </w:r>
      <w:r>
        <w:rPr>
          <w:rFonts w:ascii="Times New Roman" w:hAnsi="Times New Roman"/>
          <w:b/>
          <w:i w:val="false"/>
          <w:color w:val="000000"/>
          <w:sz w:val="22"/>
        </w:rPr>
        <w:t xml:space="preserve">Hearings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620.5(1)</w:t>
      </w:r>
      <w:r>
        <w:rPr>
          <w:rFonts w:ascii="Times New Roman" w:hAnsi="Times New Roman"/>
          <w:b w:val="false"/>
          <w:i w:val="false"/>
          <w:color w:val="000000"/>
          <w:sz w:val="22"/>
        </w:rPr>
        <w:t> </w:t>
      </w:r>
      <w:r>
        <w:rPr>
          <w:rFonts w:ascii="Times New Roman" w:hAnsi="Times New Roman"/>
          <w:b w:val="false"/>
          <w:i/>
          <w:color w:val="000000"/>
          <w:sz w:val="22"/>
        </w:rPr>
        <w:t xml:space="preserve">Contested case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may request a contested case hearing by submitting Form 432034 to the department or by submitting a written request to the motor vehicle division. The request is to include the person’s name, date of birth, driver’s license number, complete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to contest a revocation is to be submitted within ten days following receipt of the revocation notice. The request will be deemed timely submitted if it is delivered to the motor vehicle division or properly addressed and postmarked within this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timely request a hearing on a revocation is a waiver of the right to a hearing under Iowa Code chapter </w:t>
      </w:r>
      <w:hyperlink r:id="rId32">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and the revocation shall become effective on the date specified in the revocation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a hearing, a written decision will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decision by a presiding officer shall become the final decision of the department unless either party appeals the decision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appeal is to be decided on the basis of the record made before the presiding officer in the contested case hearing, and no additional evidence shall be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appeal is to include a statement of the specific issues presented for review and the precise ruling or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appeal of the presiding officer’s decision shall be submitted in writing to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appeal is deemed timely submitted if it is received by the motor vehicle division or properly addressed and postmarked within ten days after receipt of the presiding officer’s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motor vehicle division will forward the appeal to the director of transportation or director’s designee (director). The director may affirm, modify, or reverse the decision of the presiding officer or may remand the case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timely appeal a decision shall be considered a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620.5(3)</w:t>
      </w:r>
      <w:r>
        <w:rPr>
          <w:rFonts w:ascii="Times New Roman" w:hAnsi="Times New Roman"/>
          <w:b w:val="false"/>
          <w:i w:val="false"/>
          <w:color w:val="000000"/>
          <w:sz w:val="22"/>
        </w:rPr>
        <w:t> </w:t>
      </w:r>
      <w:r>
        <w:rPr>
          <w:rFonts w:ascii="Times New Roman" w:hAnsi="Times New Roman"/>
          <w:b w:val="false"/>
          <w:i/>
          <w:color w:val="000000"/>
          <w:sz w:val="22"/>
        </w:rPr>
        <w:t xml:space="preserve">Final agency action. </w:t>
      </w:r>
      <w:r>
        <w:rPr>
          <w:rFonts w:ascii="Times New Roman" w:hAnsi="Times New Roman"/>
          <w:b w:val="false"/>
          <w:i w:val="false"/>
          <w:color w:val="000000"/>
          <w:sz w:val="22"/>
        </w:rPr>
        <w:t>The decision of the director is the final decision of the department and constitutes final agency action for purposes of judicial review. No further steps are necessary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620.5(4)</w:t>
      </w:r>
      <w:r>
        <w:rPr>
          <w:rFonts w:ascii="Times New Roman" w:hAnsi="Times New Roman"/>
          <w:b w:val="false"/>
          <w:i w:val="false"/>
          <w:color w:val="000000"/>
          <w:sz w:val="22"/>
        </w:rPr>
        <w:t> </w:t>
      </w:r>
      <w:r>
        <w:rPr>
          <w:rFonts w:ascii="Times New Roman" w:hAnsi="Times New Roman"/>
          <w:b w:val="false"/>
          <w:i/>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continuance is granted, either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may move for default against a party who has requested the contested case proceeding and who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or a decision rendered on the merits after a party has failed to appear or participate in a contested case proceeding becomes final agency action unless, within ten days after receipt of the decision, either a motion to vacate is filed and served on the presiding officer and the other parties or an appeal of a decision on the merits is timely submitted in accordance with subrule </w:t>
      </w:r>
      <w:hyperlink r:id="rId33">
        <w:r>
          <w:rPr>
            <w:rStyle w:val="Hyperlink"/>
            <w:rFonts w:ascii="Times New Roman" w:hAnsi="Times New Roman"/>
            <w:b w:val="false"/>
            <w:i w:val="false"/>
            <w:color w:val="000000"/>
            <w:sz w:val="22"/>
          </w:rPr>
          <w:t>620.5(2)</w:t>
        </w:r>
      </w:hyperlink>
      <w:r>
        <w:rPr>
          <w:rFonts w:ascii="Times New Roman" w:hAnsi="Times New Roman"/>
          <w:b w:val="false"/>
          <w:i w:val="false"/>
          <w:color w:val="000000"/>
          <w:sz w:val="22"/>
        </w:rPr>
        <w:t>. A motion to vacate is to state all facts relied upon by the moving party that establish that good cause existed for that party’s failure to appear or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Timely filed motions to vacate are to be granted only for good cause shown. The burden of proof is on the moving party. Adverse parties are to respond to a motion to vacate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“Good cause” for the purpose of this rule means surprise, excusable neglect, or unavoidable casualty.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in accordance with subrule </w:t>
      </w:r>
      <w:hyperlink r:id="rId34">
        <w:r>
          <w:rPr>
            <w:rStyle w:val="Hyperlink"/>
            <w:rFonts w:ascii="Times New Roman" w:hAnsi="Times New Roman"/>
            <w:b w:val="false"/>
            <w:i w:val="false"/>
            <w:color w:val="000000"/>
            <w:sz w:val="22"/>
          </w:rPr>
          <w:t>620.5(2)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granting a motion to vacate is subject to interlocutory appeal by the adverse party in accordance with subrule </w:t>
      </w:r>
      <w:hyperlink r:id="rId35">
        <w:r>
          <w:rPr>
            <w:rStyle w:val="Hyperlink"/>
            <w:rFonts w:ascii="Times New Roman" w:hAnsi="Times New Roman"/>
            <w:b w:val="false"/>
            <w:i w:val="false"/>
            <w:color w:val="000000"/>
            <w:sz w:val="22"/>
          </w:rPr>
          <w:t>620.5(2)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is to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620.5(5)</w:t>
      </w:r>
      <w:r>
        <w:rPr>
          <w:rFonts w:ascii="Times New Roman" w:hAnsi="Times New Roman"/>
          <w:b w:val="false"/>
          <w:i w:val="false"/>
          <w:color w:val="000000"/>
          <w:sz w:val="22"/>
        </w:rPr>
        <w:t> </w:t>
      </w:r>
      <w:r>
        <w:rPr>
          <w:rFonts w:ascii="Times New Roman" w:hAnsi="Times New Roman"/>
          <w:b w:val="false"/>
          <w:i/>
          <w:color w:val="000000"/>
          <w:sz w:val="22"/>
        </w:rPr>
        <w:t xml:space="preserve">Petition to reopen a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to reopen a hearing pursuant to Iowa Code section </w:t>
      </w:r>
      <w:hyperlink r:id="rId36">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 xml:space="preserve"> is to be submitted in writing to the motor vehicle division. If a petition is based on a court order, a copy of the court order shall be submitted with the petition. If a petition is based on new evidence, the petitioner shall submit a concise statement of the new evidence and the reason(s) for the unavailability of the evidence at the original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to reopen a hearing may be submitted at any time even if a hearing to contest the revocation was not originally requested or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may appeal a denial of the petition to reopen.  A timely appeal is delivered to the motor vehicle division or properly addressed and postmarked within 20 days after issuance of the decision denying the petition to reopen.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761—620.6</w:t>
      </w:r>
      <w:r>
        <w:rPr>
          <w:rFonts w:ascii="Times New Roman" w:hAnsi="Times New Roman"/>
          <w:b/>
          <w:i w:val="false"/>
          <w:color w:val="000000"/>
          <w:sz w:val="22"/>
        </w:rPr>
        <w:t xml:space="preserve">(321J) </w:t>
      </w:r>
      <w:r>
        <w:rPr>
          <w:rFonts w:ascii="Times New Roman" w:hAnsi="Times New Roman"/>
          <w:b/>
          <w:i w:val="false"/>
          <w:color w:val="000000"/>
          <w:sz w:val="22"/>
        </w:rPr>
        <w:t xml:space="preserve">Reinstatement. </w:t>
      </w:r>
      <w:r>
        <w:rPr>
          <w:rFonts w:ascii="Times New Roman" w:hAnsi="Times New Roman"/>
          <w:b w:val="false"/>
          <w:i w:val="false"/>
          <w:color w:val="000000"/>
          <w:sz w:val="22"/>
        </w:rPr>
        <w:t xml:space="preserve">The department may reinstate the driver’s license when the revocation has ended if the person has satisfied the requirements under paragraphs </w:t>
      </w:r>
      <w:hyperlink r:id="rId37">
        <w:r>
          <w:rPr>
            <w:rStyle w:val="Hyperlink"/>
            <w:rFonts w:ascii="Times New Roman" w:hAnsi="Times New Roman"/>
            <w:b w:val="false"/>
            <w:i w:val="false"/>
            <w:color w:val="000000"/>
            <w:sz w:val="22"/>
          </w:rPr>
          <w:t>620.3(2)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and Iowa Code section </w:t>
      </w:r>
      <w:hyperlink r:id="rId38">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761—620.7</w:t>
      </w:r>
      <w:r>
        <w:rPr>
          <w:rFonts w:ascii="Times New Roman" w:hAnsi="Times New Roman"/>
          <w:b/>
          <w:i w:val="false"/>
          <w:color w:val="000000"/>
          <w:sz w:val="22"/>
        </w:rPr>
        <w:t xml:space="preserve">(307,321,321J) </w:t>
      </w:r>
      <w:r>
        <w:rPr>
          <w:rFonts w:ascii="Times New Roman" w:hAnsi="Times New Roman"/>
          <w:b/>
          <w:i w:val="false"/>
          <w:color w:val="000000"/>
          <w:sz w:val="22"/>
        </w:rPr>
        <w:t xml:space="preserve">Issuance of temporary restricted license after revocation period has expired. </w:t>
      </w:r>
      <w:r>
        <w:rPr>
          <w:rFonts w:ascii="Times New Roman" w:hAnsi="Times New Roman"/>
          <w:b w:val="false"/>
          <w:i w:val="false"/>
          <w:color w:val="000000"/>
          <w:sz w:val="22"/>
        </w:rPr>
        <w:t xml:space="preserve">The department may issue a temporary restricted license under Iowa Code section </w:t>
      </w:r>
      <w:hyperlink r:id="rId39">
        <w:r>
          <w:rPr>
            <w:rStyle w:val="Hyperlink"/>
            <w:rFonts w:ascii="Times New Roman" w:hAnsi="Times New Roman"/>
            <w:b w:val="false"/>
            <w:i w:val="false"/>
            <w:color w:val="000000"/>
            <w:sz w:val="22"/>
          </w:rPr>
          <w:t>321J.20(6)</w:t>
        </w:r>
      </w:hyperlink>
      <w:r>
        <w:rPr>
          <w:rFonts w:ascii="Times New Roman" w:hAnsi="Times New Roman"/>
          <w:b w:val="false"/>
          <w:i w:val="false"/>
          <w:color w:val="000000"/>
          <w:sz w:val="22"/>
        </w:rPr>
        <w:t xml:space="preserve"> for six months from the end of the original revocation, unless a longer period of time is necessary to complete the requirements for driver’s license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620.7(1)</w:t>
      </w:r>
      <w:r>
        <w:rPr>
          <w:rFonts w:ascii="Times New Roman" w:hAnsi="Times New Roman"/>
          <w:b w:val="false"/>
          <w:i w:val="false"/>
          <w:color w:val="000000"/>
          <w:sz w:val="22"/>
        </w:rPr>
        <w:t> </w:t>
      </w:r>
      <w:r>
        <w:rPr>
          <w:rFonts w:ascii="Times New Roman" w:hAnsi="Times New Roman"/>
          <w:b w:val="false"/>
          <w:i w:val="false"/>
          <w:color w:val="000000"/>
          <w:sz w:val="22"/>
        </w:rPr>
        <w:t>An applicant for a temporary restricted license under this rule must demonstrate to the satisfaction of the department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a course for drinking drivers was not readily available to the person during the revocation period and that the applicant has enrolled in a course for drinking drivers. The applicant must furnish the dates the class will begin and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substance use disorder evaluation and treatment have not been completed because of an inability to schedule them or because they are ongoing.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That due to surprise, excusable neglect, or unavoidable casualty, the applicant has been unable to meet the requirements under rule </w:t>
      </w:r>
      <w:hyperlink r:id="rId40">
        <w:r>
          <w:rPr>
            <w:rStyle w:val="Hyperlink"/>
            <w:rFonts w:ascii="Times New Roman" w:hAnsi="Times New Roman"/>
            <w:b w:val="false"/>
            <w:i w:val="false"/>
            <w:color w:val="000000"/>
            <w:sz w:val="22"/>
          </w:rPr>
          <w:t>761—620.3</w:t>
        </w:r>
      </w:hyperlink>
      <w:r>
        <w:rPr>
          <w:rFonts w:ascii="Times New Roman" w:hAnsi="Times New Roman"/>
          <w:b w:val="false"/>
          <w:i w:val="false"/>
          <w:color w:val="000000"/>
          <w:sz w:val="22"/>
        </w:rPr>
        <w:t>(307,321,321J) and needs additional time for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620.7(2)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temporary restricted license under this rule must meet all other conditions for issuance of a temporary restricted license under rule </w:t>
      </w:r>
      <w:hyperlink r:id="rId41">
        <w:r>
          <w:rPr>
            <w:rStyle w:val="Hyperlink"/>
            <w:rFonts w:ascii="Times New Roman" w:hAnsi="Times New Roman"/>
            <w:b w:val="false"/>
            <w:i w:val="false"/>
            <w:color w:val="000000"/>
            <w:sz w:val="22"/>
          </w:rPr>
          <w:t>761—620.3</w:t>
        </w:r>
      </w:hyperlink>
      <w:r>
        <w:rPr>
          <w:rFonts w:ascii="Times New Roman" w:hAnsi="Times New Roman"/>
          <w:b w:val="false"/>
          <w:i w:val="false"/>
          <w:color w:val="000000"/>
          <w:sz w:val="22"/>
        </w:rPr>
        <w:t xml:space="preserve">(307,321,321J) and Iowa Code section </w:t>
      </w:r>
      <w:hyperlink r:id="rId42">
        <w:r>
          <w:rPr>
            <w:rStyle w:val="Hyperlink"/>
            <w:rFonts w:ascii="Times New Roman" w:hAnsi="Times New Roman"/>
            <w:b w:val="false"/>
            <w:i w:val="false"/>
            <w:color w:val="000000"/>
            <w:sz w:val="22"/>
          </w:rPr>
          <w:t>321J.20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761—620.8</w:t>
      </w:r>
      <w:r>
        <w:rPr>
          <w:rFonts w:ascii="Times New Roman" w:hAnsi="Times New Roman"/>
          <w:b/>
          <w:i w:val="false"/>
          <w:color w:val="000000"/>
          <w:sz w:val="22"/>
        </w:rPr>
        <w:t xml:space="preserve">(307,321J) </w:t>
      </w:r>
      <w:r>
        <w:rPr>
          <w:rFonts w:ascii="Times New Roman" w:hAnsi="Times New Roman"/>
          <w:b/>
          <w:i w:val="false"/>
          <w:color w:val="000000"/>
          <w:sz w:val="22"/>
        </w:rPr>
        <w:t xml:space="preserve">Revocation for deferred judgment. </w:t>
      </w:r>
      <w:r>
        <w:rPr>
          <w:rFonts w:ascii="Times New Roman" w:hAnsi="Times New Roman"/>
          <w:b w:val="false"/>
          <w:i w:val="false"/>
          <w:color w:val="000000"/>
          <w:sz w:val="22"/>
        </w:rPr>
        <w:t xml:space="preserve">The revocation period under Iowa Code section </w:t>
      </w:r>
      <w:hyperlink r:id="rId43">
        <w:r>
          <w:rPr>
            <w:rStyle w:val="Hyperlink"/>
            <w:rFonts w:ascii="Times New Roman" w:hAnsi="Times New Roman"/>
            <w:b w:val="false"/>
            <w:i w:val="false"/>
            <w:color w:val="000000"/>
            <w:sz w:val="22"/>
          </w:rPr>
          <w:t>321J.4(3)</w:t>
        </w:r>
      </w:hyperlink>
      <w:r>
        <w:rPr>
          <w:rFonts w:ascii="Times New Roman" w:hAnsi="Times New Roman"/>
          <w:b w:val="false"/>
          <w:i w:val="false"/>
          <w:color w:val="000000"/>
          <w:sz w:val="22"/>
        </w:rPr>
        <w:t xml:space="preserve"> shall be 90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761—620.9</w:t>
      </w:r>
      <w:r>
        <w:rPr>
          <w:rFonts w:ascii="Times New Roman" w:hAnsi="Times New Roman"/>
          <w:b/>
          <w:i w:val="false"/>
          <w:color w:val="000000"/>
          <w:sz w:val="22"/>
        </w:rPr>
        <w:t xml:space="preserve">(125,321J) </w:t>
      </w:r>
      <w:r>
        <w:rPr>
          <w:rFonts w:ascii="Times New Roman" w:hAnsi="Times New Roman"/>
          <w:b/>
          <w:i w:val="false"/>
          <w:color w:val="000000"/>
          <w:sz w:val="22"/>
        </w:rPr>
        <w:t xml:space="preserve">Substance use disorder evaluation and treatment. </w:t>
      </w:r>
      <w:r>
        <w:rPr>
          <w:rFonts w:ascii="Times New Roman" w:hAnsi="Times New Roman"/>
          <w:b w:val="false"/>
          <w:i w:val="false"/>
          <w:color w:val="000000"/>
          <w:sz w:val="22"/>
        </w:rPr>
        <w:t xml:space="preserve">When the department revokes a person’s driver’s license under Iowa Code chapter </w:t>
      </w:r>
      <w:hyperlink r:id="rId44">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the department shall also order the person to submit to substance use disorder evaluation and, if recommended, substance use disorder treatment. A provider of substance use disorder evaluation and treatment shall be licensed by the Iowa department of health and human services pursuant to Iowa Code chapter </w:t>
      </w:r>
      <w:hyperlink r:id="rId45">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620.9(1)</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person has satisfactorily completed substance use disorder evaluation and treatment, the program provider shall electronically report completion to the department in a manner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to the department shall be in accordance with Iowa Code sections </w:t>
      </w:r>
      <w:hyperlink r:id="rId46">
        <w:r>
          <w:rPr>
            <w:rStyle w:val="Hyperlink"/>
            <w:rFonts w:ascii="Times New Roman" w:hAnsi="Times New Roman"/>
            <w:b w:val="false"/>
            <w:i w:val="false"/>
            <w:color w:val="000000"/>
            <w:sz w:val="22"/>
          </w:rPr>
          <w:t>125.84</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125.86</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§2.13</w:t>
      </w:r>
      <w:r>
        <w:rPr>
          <w:rFonts w:ascii="Times New Roman" w:hAnsi="Times New Roman"/>
          <w:b w:val="false"/>
          <w:i w:val="false"/>
          <w:color w:val="000000"/>
          <w:sz w:val="22"/>
        </w:rPr>
        <w:t xml:space="preserve"> effective April 16,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620.9(2)</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Payment of substance use disorder evaluation and treatment shall be in accordance with Iowa department of health and human services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761—620.10</w:t>
      </w:r>
      <w:r>
        <w:rPr>
          <w:rFonts w:ascii="Times New Roman" w:hAnsi="Times New Roman"/>
          <w:b/>
          <w:i w:val="false"/>
          <w:color w:val="000000"/>
          <w:sz w:val="22"/>
        </w:rPr>
        <w:t xml:space="preserve">(321J) </w:t>
      </w:r>
      <w:r>
        <w:rPr>
          <w:rFonts w:ascii="Times New Roman" w:hAnsi="Times New Roman"/>
          <w:b/>
          <w:i w:val="false"/>
          <w:color w:val="000000"/>
          <w:sz w:val="22"/>
        </w:rPr>
        <w:t xml:space="preserve">Drinking drivers course. </w:t>
      </w:r>
      <w:r>
        <w:rPr>
          <w:rFonts w:ascii="Times New Roman" w:hAnsi="Times New Roman"/>
          <w:b w:val="false"/>
          <w:i w:val="false"/>
          <w:color w:val="000000"/>
          <w:sz w:val="22"/>
        </w:rPr>
        <w:t xml:space="preserve">When a person who has been ordered to enroll, attend, and satisfactorily complete a course for drinking drivers under Iowa Code chapter </w:t>
      </w:r>
      <w:hyperlink r:id="rId48">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has successfully completed the course, the program provider under Iowa Code section </w:t>
      </w:r>
      <w:hyperlink r:id="rId49">
        <w:r>
          <w:rPr>
            <w:rStyle w:val="Hyperlink"/>
            <w:rFonts w:ascii="Times New Roman" w:hAnsi="Times New Roman"/>
            <w:b w:val="false"/>
            <w:i w:val="false"/>
            <w:color w:val="000000"/>
            <w:sz w:val="22"/>
          </w:rPr>
          <w:t>321J.22(2)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electronically report completion to the department in a manner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5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and sections </w:t>
      </w:r>
      <w:hyperlink r:id="rId52">
        <w:r>
          <w:rPr>
            <w:rStyle w:val="Hyperlink"/>
            <w:rFonts w:ascii="Times New Roman" w:hAnsi="Times New Roman"/>
            <w:b w:val="false"/>
            <w:i w:val="false"/>
            <w:color w:val="000000"/>
            <w:sz w:val="22"/>
          </w:rPr>
          <w:t>125.84</w:t>
        </w:r>
      </w:hyperlink>
      <w:r>
        <w:rPr>
          <w:rFonts w:ascii="Times New Roman" w:hAnsi="Times New Roman"/>
          <w:b w:val="false"/>
          <w:i w:val="false"/>
          <w:color w:val="000000"/>
          <w:sz w:val="22"/>
        </w:rPr>
        <w:t xml:space="preserve">, 125.86, </w:t>
      </w:r>
      <w:hyperlink r:id="rId53">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321.193, 321.201, 321.215, 321.376 and 707.6A.</w:t>
      </w:r>
    </w:p>
    <w:p>
      <w:pPr>
        <w:spacing w:before="0" w:after="0"/>
        <w:ind w:left="120"/>
        <w:jc w:val="center"/>
      </w:pPr>
      <w:r>
        <w:rPr>
          <w:rFonts w:ascii="Times New Roman" w:hAnsi="Times New Roman"/>
          <w:b w:val="false"/>
          <w:i w:val="false"/>
          <w:color w:val="000000"/>
          <w:sz w:val="21"/>
        </w:rPr>
        <w:t>[Filed emergency 5/27/82—published 6/23/82, effective 7/1/82]</w:t>
      </w:r>
    </w:p>
    <w:p>
      <w:pPr>
        <w:spacing w:before="0" w:after="0"/>
        <w:ind w:left="120"/>
        <w:jc w:val="center"/>
      </w:pPr>
      <w:r>
        <w:rPr>
          <w:rFonts w:ascii="Times New Roman" w:hAnsi="Times New Roman"/>
          <w:b w:val="false"/>
          <w:i w:val="false"/>
          <w:color w:val="000000"/>
          <w:sz w:val="21"/>
        </w:rPr>
        <w:t>[Filed 12/1/82, Notice 6/23/82—published 12/22/82, effective 1/26/83]</w:t>
      </w:r>
    </w:p>
    <w:p>
      <w:pPr>
        <w:spacing w:before="0" w:after="0"/>
        <w:ind w:left="120"/>
        <w:jc w:val="center"/>
      </w:pPr>
      <w:r>
        <w:rPr>
          <w:rFonts w:ascii="Times New Roman" w:hAnsi="Times New Roman"/>
          <w:b w:val="false"/>
          <w:i w:val="false"/>
          <w:color w:val="000000"/>
          <w:sz w:val="21"/>
        </w:rPr>
        <w:t>[Filed emergency 6/20/84—published 7/18/84, effective 7/1/84]</w:t>
      </w:r>
    </w:p>
    <w:p>
      <w:pPr>
        <w:spacing w:before="0" w:after="0"/>
        <w:ind w:left="120"/>
        <w:jc w:val="center"/>
      </w:pPr>
      <w:r>
        <w:rPr>
          <w:rFonts w:ascii="Times New Roman" w:hAnsi="Times New Roman"/>
          <w:b w:val="false"/>
          <w:i w:val="false"/>
          <w:color w:val="000000"/>
          <w:sz w:val="21"/>
        </w:rPr>
        <w:t>[Filed 11/27/85, Notice 10/9/85—published 12/18/85, effective 1/22/86]</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1/20/88, Notice 12/2/87—published 2/10/88, effective 3/16/88]</w:t>
      </w:r>
    </w:p>
    <w:p>
      <w:pPr>
        <w:spacing w:before="0" w:after="0"/>
        <w:ind w:left="120"/>
        <w:jc w:val="center"/>
      </w:pPr>
      <w:r>
        <w:rPr>
          <w:rFonts w:ascii="Times New Roman" w:hAnsi="Times New Roman"/>
          <w:b w:val="false"/>
          <w:i w:val="false"/>
          <w:color w:val="000000"/>
          <w:sz w:val="21"/>
        </w:rPr>
        <w:t>[Filed emergency 5/16/88—published 6/15/88, effective 5/16/88]</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3/23/89, Notice 2/8/89—published 4/19/89, effective 5/24/89]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11/4/93, Notice 9/29/93—published 11/24/93, effective 12/29/93]</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12/24/97, Notice 11/19/97—published 1/14/98, effective 2/18/98]</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2/17/99, Notice 1/13/99—published 3/10/99, effective 4/14/99]</w:t>
      </w:r>
    </w:p>
    <w:p>
      <w:pPr>
        <w:spacing w:before="0" w:after="0"/>
        <w:ind w:left="120"/>
        <w:jc w:val="center"/>
      </w:pPr>
      <w:r>
        <w:rPr>
          <w:rFonts w:ascii="Times New Roman" w:hAnsi="Times New Roman"/>
          <w:b w:val="false"/>
          <w:i w:val="false"/>
          <w:color w:val="000000"/>
          <w:sz w:val="21"/>
        </w:rPr>
        <w:t>[Filed 4/8/99, Notice 2/10/99—published 5/5/99, effective 7/1/99]</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Emergency ARC 8024B, IAB 8/12/09, effective 7/14/09]</w:t>
      </w:r>
    </w:p>
    <w:p>
      <w:pPr>
        <w:spacing w:before="0" w:after="0"/>
        <w:ind w:left="120"/>
        <w:jc w:val="center"/>
      </w:pPr>
      <w:r>
        <w:rPr>
          <w:rFonts w:ascii="Times New Roman" w:hAnsi="Times New Roman"/>
          <w:b w:val="false"/>
          <w:i w:val="false"/>
          <w:color w:val="000000"/>
          <w:sz w:val="21"/>
        </w:rPr>
        <w:t>[Filed ARC 8203B</w:t>
      </w:r>
      <w:r>
        <w:rPr>
          <w:rFonts w:ascii="Times New Roman" w:hAnsi="Times New Roman"/>
          <w:b w:val="false"/>
          <w:i w:val="false"/>
          <w:color w:val="000000"/>
          <w:sz w:val="21"/>
        </w:rPr>
        <w:t xml:space="preserve"> (Notice ARC 8025B, IAB 8/12/09)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4001C</w:t>
      </w:r>
      <w:r>
        <w:rPr>
          <w:rFonts w:ascii="Times New Roman" w:hAnsi="Times New Roman"/>
          <w:b w:val="false"/>
          <w:i w:val="false"/>
          <w:color w:val="000000"/>
          <w:sz w:val="21"/>
        </w:rPr>
        <w:t xml:space="preserve"> (Notice ARC 3889C, IAB 7/18/18)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4347C</w:t>
      </w:r>
      <w:r>
        <w:rPr>
          <w:rFonts w:ascii="Times New Roman" w:hAnsi="Times New Roman"/>
          <w:b w:val="false"/>
          <w:i w:val="false"/>
          <w:color w:val="000000"/>
          <w:sz w:val="21"/>
        </w:rPr>
        <w:t xml:space="preserve"> (Notice ARC 4229C,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4760C</w:t>
      </w:r>
      <w:r>
        <w:rPr>
          <w:rFonts w:ascii="Times New Roman" w:hAnsi="Times New Roman"/>
          <w:b w:val="false"/>
          <w:i w:val="false"/>
          <w:color w:val="000000"/>
          <w:sz w:val="21"/>
        </w:rPr>
        <w:t xml:space="preserve"> (Notice ARC 4623C, IAB 8/28/19)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5429C</w:t>
      </w:r>
      <w:r>
        <w:rPr>
          <w:rFonts w:ascii="Times New Roman" w:hAnsi="Times New Roman"/>
          <w:b w:val="false"/>
          <w:i w:val="false"/>
          <w:color w:val="000000"/>
          <w:sz w:val="21"/>
        </w:rPr>
        <w:t xml:space="preserve"> (Notice ARC 5311C,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5941C</w:t>
      </w:r>
      <w:r>
        <w:rPr>
          <w:rFonts w:ascii="Times New Roman" w:hAnsi="Times New Roman"/>
          <w:b w:val="false"/>
          <w:i w:val="false"/>
          <w:color w:val="000000"/>
          <w:sz w:val="21"/>
        </w:rPr>
        <w:t xml:space="preserve"> (Notice ARC 5858C,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9267C</w:t>
      </w:r>
      <w:r>
        <w:rPr>
          <w:rFonts w:ascii="Times New Roman" w:hAnsi="Times New Roman"/>
          <w:b w:val="false"/>
          <w:i w:val="false"/>
          <w:color w:val="000000"/>
          <w:sz w:val="21"/>
        </w:rPr>
        <w:t xml:space="preserve"> (Notice ARC 8595C, IAB 12/25/24)</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J.17A.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321J.17A.pdf" Type="http://schemas.openxmlformats.org/officeDocument/2006/relationships/hyperlink" Id="rId7"/>
    <Relationship TargetMode="External" Target="https://www.legis.iowa.gov/docs/ico/chapter/321J.17A.pdf" Type="http://schemas.openxmlformats.org/officeDocument/2006/relationships/hyperlink" Id="rId8"/>
    <Relationship TargetMode="External" Target="https://www.legis.iowa.gov/docs/ico/chapter/321J.17A.pdf" Type="http://schemas.openxmlformats.org/officeDocument/2006/relationships/hyperlink" Id="rId9"/>
    <Relationship TargetMode="External" Target="mailto:driver.services@iowadot.us" Type="http://schemas.openxmlformats.org/officeDocument/2006/relationships/hyperlink" Id="rId10"/>
    <Relationship TargetMode="External" Target="https://www.legis.iowa.gov/docs/iac/rule/761.620.2.pdf" Type="http://schemas.openxmlformats.org/officeDocument/2006/relationships/hyperlink" Id="rId11"/>
    <Relationship TargetMode="External" Target="http://www.iowadot.gov/mvd/driverslicense/suspensions-and-revocations" Type="http://schemas.openxmlformats.org/officeDocument/2006/relationships/hyperlink" Id="rId12"/>
    <Relationship TargetMode="External" Target="https://www.legis.iowa.gov/docs/ico/chapter/321A.pdf" Type="http://schemas.openxmlformats.org/officeDocument/2006/relationships/hyperlink" Id="rId13"/>
    <Relationship TargetMode="External" Target="https://www.legis.iowa.gov/docs/ico/chapter/321J.20.pdf" Type="http://schemas.openxmlformats.org/officeDocument/2006/relationships/hyperlink" Id="rId14"/>
    <Relationship TargetMode="External" Target="https://www.legis.iowa.gov/docs/ico/chapter/321J.20A.pdf" Type="http://schemas.openxmlformats.org/officeDocument/2006/relationships/hyperlink" Id="rId15"/>
    <Relationship TargetMode="External" Target="https://www.legis.iowa.gov/docs/iac/rule/761.615.45.pdf" Type="http://schemas.openxmlformats.org/officeDocument/2006/relationships/hyperlink" Id="rId16"/>
    <Relationship TargetMode="External" Target="https://www.legis.iowa.gov/docs/iac/rule/761.620.5.pdf" Type="http://schemas.openxmlformats.org/officeDocument/2006/relationships/hyperlink" Id="rId17"/>
    <Relationship TargetMode="External" Target="https://www.legis.iowa.gov/docs/iac/chapter/761.301.pdf" Type="http://schemas.openxmlformats.org/officeDocument/2006/relationships/hyperlink" Id="rId18"/>
    <Relationship TargetMode="External" Target="https://www.legis.iowa.gov/docs/ico/chapter/321J.17A.pdf" Type="http://schemas.openxmlformats.org/officeDocument/2006/relationships/hyperlink" Id="rId19"/>
    <Relationship TargetMode="External" Target="https://www.legis.iowa.gov/docs/ico/chapter/321J.17A.pdf" Type="http://schemas.openxmlformats.org/officeDocument/2006/relationships/hyperlink" Id="rId20"/>
    <Relationship TargetMode="External" Target="https://www.legis.iowa.gov/docs/ico/chapter/321J.17A.pdf" Type="http://schemas.openxmlformats.org/officeDocument/2006/relationships/hyperlink" Id="rId21"/>
    <Relationship TargetMode="External" Target="https://www.legis.iowa.gov/docs/ico/chapter/321J.17A.pdf" Type="http://schemas.openxmlformats.org/officeDocument/2006/relationships/hyperlink" Id="rId22"/>
    <Relationship TargetMode="External" Target="https://www.legis.iowa.gov/docs/ico/chapter/321J.17A.pdf" Type="http://schemas.openxmlformats.org/officeDocument/2006/relationships/hyperlink" Id="rId23"/>
    <Relationship TargetMode="External" Target="https://www.legis.iowa.gov/docs/ico/chapter/321J.17A.pdf" Type="http://schemas.openxmlformats.org/officeDocument/2006/relationships/hyperlink" Id="rId24"/>
    <Relationship TargetMode="External" Target="https://www.legis.iowa.gov/docs/ico/chapter/321J.17A.pdf" Type="http://schemas.openxmlformats.org/officeDocument/2006/relationships/hyperlink" Id="rId25"/>
    <Relationship TargetMode="External" Target="https://www.legis.iowa.gov/docs/ico/chapter/321J.17A.pdf" Type="http://schemas.openxmlformats.org/officeDocument/2006/relationships/hyperlink" Id="rId26"/>
    <Relationship TargetMode="External" Target="https://www.legis.iowa.gov/docs/ico/chapter/321J.17A.pdf" Type="http://schemas.openxmlformats.org/officeDocument/2006/relationships/hyperlink" Id="rId27"/>
    <Relationship TargetMode="External" Target="https://www.legis.iowa.gov/docs/ico/chapter/321J.17A.pdf" Type="http://schemas.openxmlformats.org/officeDocument/2006/relationships/hyperlink" Id="rId28"/>
    <Relationship TargetMode="External" Target="https://www.legis.iowa.gov/docs/ico/chapter/321J.17A.pdf" Type="http://schemas.openxmlformats.org/officeDocument/2006/relationships/hyperlink" Id="rId29"/>
    <Relationship TargetMode="External" Target="https://www.legis.iowa.gov/docs/ico/chapter/321J.17A.pdf" Type="http://schemas.openxmlformats.org/officeDocument/2006/relationships/hyperlink" Id="rId30"/>
    <Relationship TargetMode="External" Target="https://www.legis.iowa.gov/docs/ico/chapter/321J.17A.pdf" Type="http://schemas.openxmlformats.org/officeDocument/2006/relationships/hyperlink" Id="rId31"/>
    <Relationship TargetMode="External" Target="https://www.legis.iowa.gov/docs/ico/chapter/321J.pdf" Type="http://schemas.openxmlformats.org/officeDocument/2006/relationships/hyperlink" Id="rId32"/>
    <Relationship TargetMode="External" Target="https://www.legis.iowa.gov/docs/iac/rule/761.620.5.pdf" Type="http://schemas.openxmlformats.org/officeDocument/2006/relationships/hyperlink" Id="rId33"/>
    <Relationship TargetMode="External" Target="https://www.legis.iowa.gov/docs/iac/rule/761.620.5.pdf" Type="http://schemas.openxmlformats.org/officeDocument/2006/relationships/hyperlink" Id="rId34"/>
    <Relationship TargetMode="External" Target="https://www.legis.iowa.gov/docs/iac/rule/761.620.5.pdf" Type="http://schemas.openxmlformats.org/officeDocument/2006/relationships/hyperlink" Id="rId35"/>
    <Relationship TargetMode="External" Target="https://www.legis.iowa.gov/docs/ico/chapter/17A.16.pdf" Type="http://schemas.openxmlformats.org/officeDocument/2006/relationships/hyperlink" Id="rId36"/>
    <Relationship TargetMode="External" Target="https://www.legis.iowa.gov/docs/iac/rule/761.620.3.pdf" Type="http://schemas.openxmlformats.org/officeDocument/2006/relationships/hyperlink" Id="rId37"/>
    <Relationship TargetMode="External" Target="https://www.legis.iowa.gov/docs/ico/chapter/321J.17.pdf" Type="http://schemas.openxmlformats.org/officeDocument/2006/relationships/hyperlink" Id="rId38"/>
    <Relationship TargetMode="External" Target="https://www.legis.iowa.gov/docs/ico/chapter/321J.20.pdf" Type="http://schemas.openxmlformats.org/officeDocument/2006/relationships/hyperlink" Id="rId39"/>
    <Relationship TargetMode="External" Target="https://www.legis.iowa.gov/docs/iac/rule/761.620.3.pdf" Type="http://schemas.openxmlformats.org/officeDocument/2006/relationships/hyperlink" Id="rId40"/>
    <Relationship TargetMode="External" Target="https://www.legis.iowa.gov/docs/iac/rule/761.620.3.pdf" Type="http://schemas.openxmlformats.org/officeDocument/2006/relationships/hyperlink" Id="rId41"/>
    <Relationship TargetMode="External" Target="https://www.legis.iowa.gov/docs/ico/chapter/321J.20.pdf" Type="http://schemas.openxmlformats.org/officeDocument/2006/relationships/hyperlink" Id="rId42"/>
    <Relationship TargetMode="External" Target="https://www.legis.iowa.gov/docs/ico/chapter/321J.4.pdf" Type="http://schemas.openxmlformats.org/officeDocument/2006/relationships/hyperlink" Id="rId43"/>
    <Relationship TargetMode="External" Target="https://www.legis.iowa.gov/docs/ico/chapter/321J.pdf" Type="http://schemas.openxmlformats.org/officeDocument/2006/relationships/hyperlink" Id="rId44"/>
    <Relationship TargetMode="External" Target="https://www.legis.iowa.gov/docs/ico/chapter/125.pdf" Type="http://schemas.openxmlformats.org/officeDocument/2006/relationships/hyperlink" Id="rId45"/>
    <Relationship TargetMode="External" Target="https://www.legis.iowa.gov/docs/ico/chapter/125.84.pdf" Type="http://schemas.openxmlformats.org/officeDocument/2006/relationships/hyperlink" Id="rId46"/>
    <Relationship TargetMode="External" Target="https://www.legis.iowa.gov/docs/ico/chapter/125.86.pdf" Type="http://schemas.openxmlformats.org/officeDocument/2006/relationships/hyperlink" Id="rId47"/>
    <Relationship TargetMode="External" Target="https://www.legis.iowa.gov/docs/ico/chapter/321J.pdf" Type="http://schemas.openxmlformats.org/officeDocument/2006/relationships/hyperlink" Id="rId48"/>
    <Relationship TargetMode="External" Target="https://www.legis.iowa.gov/docs/ico/chapter/321J.22.pdf" Type="http://schemas.openxmlformats.org/officeDocument/2006/relationships/hyperlink" Id="rId49"/>
    <Relationship TargetMode="External" Target="https://www.legis.iowa.gov/docs/ico/chapter/17A.pdf" Type="http://schemas.openxmlformats.org/officeDocument/2006/relationships/hyperlink" Id="rId50"/>
    <Relationship TargetMode="External" Target="https://www.legis.iowa.gov/docs/ico/chapter/321J.pdf" Type="http://schemas.openxmlformats.org/officeDocument/2006/relationships/hyperlink" Id="rId51"/>
    <Relationship TargetMode="External" Target="https://www.legis.iowa.gov/docs/ico/chapter/125.84.pdf" Type="http://schemas.openxmlformats.org/officeDocument/2006/relationships/hyperlink" Id="rId52"/>
    <Relationship TargetMode="External" Target="https://www.legis.iowa.gov/docs/iac/rule/761.307.12.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