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605</w:t>
      </w:r>
    </w:p>
    <w:p>
      <w:pPr>
        <w:spacing w:before="0" w:after="0"/>
        <w:ind w:left="120"/>
        <w:jc w:val="center"/>
      </w:pPr>
      <w:r>
        <w:rPr>
          <w:rFonts w:ascii="Times New Roman" w:hAnsi="Times New Roman"/>
          <w:b w:val="false"/>
          <w:i w:val="false"/>
          <w:color w:val="000000"/>
          <w:sz w:val="21"/>
        </w:rPr>
        <w:t>LICENSE ISSUANCE</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11/19/30</w:t>
      </w:r>
    </w:p>
    <w:p>
      <w:pPr>
        <w:spacing w:before="0" w:after="0"/>
        <w:ind w:left="120"/>
        <w:jc w:val="both"/>
      </w:pPr>
      <w:r>
        <w:rPr>
          <w:rFonts w:ascii="Times New Roman" w:hAnsi="Times New Roman"/>
          <w:b/>
          <w:i w:val="false"/>
          <w:color w:val="000000"/>
          <w:sz w:val="22"/>
        </w:rPr>
        <w:t>761—605.1</w:t>
      </w:r>
      <w:r>
        <w:rPr>
          <w:rFonts w:ascii="Times New Roman" w:hAnsi="Times New Roman"/>
          <w:b/>
          <w:i w:val="false"/>
          <w:color w:val="000000"/>
          <w:sz w:val="22"/>
        </w:rPr>
        <w:t xml:space="preserve">(307,321) </w:t>
      </w:r>
      <w:r>
        <w:rPr>
          <w:rFonts w:ascii="Times New Roman" w:hAnsi="Times New Roman"/>
          <w:b/>
          <w:i w:val="false"/>
          <w:color w:val="000000"/>
          <w:sz w:val="22"/>
        </w:rPr>
        <w:t xml:space="preserve">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605.1(1)</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This chapter applies to the issuance of all Iowa driver’s licenses. Additional information on the issuance of a commercial driver’s license or a commercial learner’s permit is given in </w:t>
      </w:r>
      <w:hyperlink r:id="rId5">
        <w:r>
          <w:rPr>
            <w:rStyle w:val="Hyperlink"/>
            <w:rFonts w:ascii="Times New Roman" w:hAnsi="Times New Roman"/>
            <w:b w:val="false"/>
            <w:i w:val="false"/>
            <w:color w:val="000000"/>
            <w:sz w:val="22"/>
          </w:rPr>
          <w:t>761—Chapter 607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605.1(2)</w:t>
      </w:r>
      <w:r>
        <w:rPr>
          <w:rFonts w:ascii="Times New Roman" w:hAnsi="Times New Roman"/>
          <w:b w:val="false"/>
          <w:i w:val="false"/>
          <w:color w:val="000000"/>
          <w:sz w:val="22"/>
        </w:rPr>
        <w:t> </w:t>
      </w:r>
      <w:r>
        <w:rPr>
          <w:rFonts w:ascii="Times New Roman" w:hAnsi="Times New Roman"/>
          <w:b w:val="false"/>
          <w:i/>
          <w:color w:val="000000"/>
          <w:sz w:val="22"/>
        </w:rPr>
        <w:t xml:space="preserve">Information and location. </w:t>
      </w:r>
      <w:r>
        <w:rPr>
          <w:rFonts w:ascii="Times New Roman" w:hAnsi="Times New Roman"/>
          <w:b w:val="false"/>
          <w:i w:val="false"/>
          <w:color w:val="000000"/>
          <w:sz w:val="22"/>
        </w:rPr>
        <w:t xml:space="preserve">Applications, forms and information concerning driver’s licenses are available at any driver’s license service center. Assistance is also available by mail from Motor Vehicle Division, Iowa Department of Transportation, P.O. Box 9204, Des Moines, Iowa 50306-9204; by telephone at 515.244.8725; by facsimile at 515.237.1837; or on the department’s website at </w:t>
      </w:r>
      <w:hyperlink r:id="rId6">
        <w:r>
          <w:rPr>
            <w:rStyle w:val="Hyperlink"/>
            <w:rFonts w:ascii="Times New Roman" w:hAnsi="Times New Roman"/>
            <w:b w:val="false"/>
            <w:i w:val="false"/>
            <w:color w:val="000000"/>
            <w:sz w:val="22"/>
            <w:u w:val="single"/>
          </w:rPr>
          <w:t>www.iowadot.gov/mvd/driverslicense/Fees-and-license-type#54672687-non-commercial-drivers-license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321.174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761—605.2</w:t>
      </w:r>
      <w:r>
        <w:rPr>
          <w:rFonts w:ascii="Times New Roman" w:hAnsi="Times New Roman"/>
          <w:b/>
          <w:i w:val="false"/>
          <w:color w:val="000000"/>
          <w:sz w:val="22"/>
        </w:rPr>
        <w:t xml:space="preserve">(307,321)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The definitions in Iowa Code section </w:t>
      </w:r>
      <w:hyperlink r:id="rId9">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“Interstate or freeway driving” </w:t>
      </w:r>
      <w:r>
        <w:rPr>
          <w:rFonts w:ascii="Times New Roman" w:hAnsi="Times New Roman"/>
          <w:b w:val="false"/>
          <w:i w:val="false"/>
          <w:color w:val="000000"/>
          <w:sz w:val="22"/>
        </w:rPr>
        <w:t>means fully and partially controlled access roads with a speed limit of 65 miles per hour or more for the purposes of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“License” </w:t>
      </w:r>
      <w:r>
        <w:rPr>
          <w:rFonts w:ascii="Times New Roman" w:hAnsi="Times New Roman"/>
          <w:b w:val="false"/>
          <w:i w:val="false"/>
          <w:color w:val="000000"/>
          <w:sz w:val="22"/>
        </w:rPr>
        <w:t xml:space="preserve">means “driver’s license” as defined in Iowa Code section </w:t>
      </w:r>
      <w:hyperlink r:id="rId10">
        <w:r>
          <w:rPr>
            <w:rStyle w:val="Hyperlink"/>
            <w:rFonts w:ascii="Times New Roman" w:hAnsi="Times New Roman"/>
            <w:b w:val="false"/>
            <w:i w:val="false"/>
            <w:color w:val="000000"/>
            <w:sz w:val="22"/>
          </w:rPr>
          <w:t>321.1(20A)</w:t>
        </w:r>
      </w:hyperlink>
      <w:r>
        <w:rPr>
          <w:rFonts w:ascii="Times New Roman" w:hAnsi="Times New Roman"/>
          <w:b w:val="false"/>
          <w:i w:val="false"/>
          <w:color w:val="000000"/>
          <w:sz w:val="22"/>
        </w:rPr>
        <w:t xml:space="preserve">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“Medical report” </w:t>
      </w:r>
      <w:r>
        <w:rPr>
          <w:rFonts w:ascii="Times New Roman" w:hAnsi="Times New Roman"/>
          <w:b w:val="false"/>
          <w:i w:val="false"/>
          <w:color w:val="000000"/>
          <w:sz w:val="22"/>
        </w:rPr>
        <w:t>means a report from a qualified medical professional attesting to a person’s physical or mental capability to operate a motor vehicle safely. The report should be submitted on Form 430031. In lieu of Form 430031, a report signed by a qualified medical professional on the qualified medical professional’s letterhead may be accepted if it contains all the information specified on Form 430031.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“Nearby” </w:t>
      </w:r>
      <w:r>
        <w:rPr>
          <w:rFonts w:ascii="Times New Roman" w:hAnsi="Times New Roman"/>
          <w:b w:val="false"/>
          <w:i w:val="false"/>
          <w:color w:val="000000"/>
          <w:sz w:val="22"/>
        </w:rPr>
        <w:t xml:space="preserve">in Iowa Code section </w:t>
      </w:r>
      <w:hyperlink r:id="rId11">
        <w:r>
          <w:rPr>
            <w:rStyle w:val="Hyperlink"/>
            <w:rFonts w:ascii="Times New Roman" w:hAnsi="Times New Roman"/>
            <w:b w:val="false"/>
            <w:i w:val="false"/>
            <w:color w:val="000000"/>
            <w:sz w:val="22"/>
          </w:rPr>
          <w:t>321.176(2)</w:t>
        </w:r>
      </w:hyperlink>
      <w:r>
        <w:rPr>
          <w:rFonts w:ascii="Times New Roman" w:hAnsi="Times New Roman"/>
          <w:b w:val="false"/>
          <w:i w:val="false"/>
          <w:color w:val="000000"/>
          <w:sz w:val="22"/>
        </w:rPr>
        <w:t xml:space="preserve"> means a distance of not more than two miles.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“Qualified medical professional” </w:t>
      </w:r>
      <w:r>
        <w:rPr>
          <w:rFonts w:ascii="Times New Roman" w:hAnsi="Times New Roman"/>
          <w:b w:val="false"/>
          <w:i w:val="false"/>
          <w:color w:val="000000"/>
          <w:sz w:val="22"/>
        </w:rPr>
        <w:t xml:space="preserve">means a person licensed as a physician under Iowa Code chapter </w:t>
      </w:r>
      <w:hyperlink r:id="rId12">
        <w:r>
          <w:rPr>
            <w:rStyle w:val="Hyperlink"/>
            <w:rFonts w:ascii="Times New Roman" w:hAnsi="Times New Roman"/>
            <w:b w:val="false"/>
            <w:i w:val="false"/>
            <w:color w:val="000000"/>
            <w:sz w:val="22"/>
          </w:rPr>
          <w:t>148</w:t>
        </w:r>
      </w:hyperlink>
      <w:r>
        <w:rPr>
          <w:rFonts w:ascii="Times New Roman" w:hAnsi="Times New Roman"/>
          <w:b w:val="false"/>
          <w:i w:val="false"/>
          <w:color w:val="000000"/>
          <w:sz w:val="22"/>
        </w:rPr>
        <w:t xml:space="preserve">, a person licensed as an advanced registered nurse practitioner under Iowa Code chapter </w:t>
      </w:r>
      <w:hyperlink r:id="rId13">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licensed with the board of nursing or a person licensed as a physician assistant under Iowa Code chapter </w:t>
      </w:r>
      <w:hyperlink r:id="rId1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when practicing within the scope of the person’s professional licensure.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“Temporarily present in this state” </w:t>
      </w:r>
      <w:r>
        <w:rPr>
          <w:rFonts w:ascii="Times New Roman" w:hAnsi="Times New Roman"/>
          <w:b w:val="false"/>
          <w:i w:val="false"/>
          <w:color w:val="000000"/>
          <w:sz w:val="22"/>
        </w:rPr>
        <w:t>means a person who has temporary lawful status as defined in 6 CFR Section 37.3 effective January 1, 2024.</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5">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16">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321.176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761—605.3</w:t>
      </w:r>
      <w:r>
        <w:rPr>
          <w:rFonts w:ascii="Times New Roman" w:hAnsi="Times New Roman"/>
          <w:b/>
          <w:i w:val="false"/>
          <w:color w:val="000000"/>
          <w:sz w:val="22"/>
        </w:rPr>
        <w:t xml:space="preserve">(252J,307,321) </w:t>
      </w:r>
      <w:r>
        <w:rPr>
          <w:rFonts w:ascii="Times New Roman" w:hAnsi="Times New Roman"/>
          <w:b/>
          <w:i w:val="false"/>
          <w:color w:val="000000"/>
          <w:sz w:val="22"/>
        </w:rPr>
        <w:t xml:space="preserve">Persons not to be licensed.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605.3(1)</w:t>
      </w:r>
      <w:r>
        <w:rPr>
          <w:rFonts w:ascii="Times New Roman" w:hAnsi="Times New Roman"/>
          <w:b w:val="false"/>
          <w:i w:val="false"/>
          <w:color w:val="000000"/>
          <w:sz w:val="22"/>
        </w:rPr>
        <w:t> </w:t>
      </w:r>
      <w:r>
        <w:rPr>
          <w:rFonts w:ascii="Times New Roman" w:hAnsi="Times New Roman"/>
          <w:b w:val="false"/>
          <w:i w:val="false"/>
          <w:color w:val="000000"/>
          <w:sz w:val="22"/>
        </w:rPr>
        <w:t>The department will not knowingly issue a license to any person who: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Is ineligible for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Is unable to operate a motor vehicle safely because of a physical or mental disability until that person submits a medical report or vision report stating that the person is physically and mentally capable of operating a vehicle safely and passes the applicable examinations if required under </w:t>
      </w:r>
      <w:hyperlink r:id="rId18">
        <w:r>
          <w:rPr>
            <w:rStyle w:val="Hyperlink"/>
            <w:rFonts w:ascii="Times New Roman" w:hAnsi="Times New Roman"/>
            <w:b w:val="false"/>
            <w:i w:val="false"/>
            <w:color w:val="000000"/>
            <w:sz w:val="22"/>
          </w:rPr>
          <w:t>761—Chapter 604</w:t>
        </w:r>
      </w:hyperlink>
      <w:r>
        <w:rPr>
          <w:rFonts w:ascii="Times New Roman" w:hAnsi="Times New Roman"/>
          <w:b w:val="false"/>
          <w:i w:val="false"/>
          <w:color w:val="000000"/>
          <w:sz w:val="22"/>
        </w:rPr>
        <w:t xml:space="preserve"> or </w:t>
      </w:r>
      <w:hyperlink r:id="rId19">
        <w:r>
          <w:rPr>
            <w:rStyle w:val="Hyperlink"/>
            <w:rFonts w:ascii="Times New Roman" w:hAnsi="Times New Roman"/>
            <w:b w:val="false"/>
            <w:i w:val="false"/>
            <w:color w:val="000000"/>
            <w:sz w:val="22"/>
          </w:rPr>
          <w:t>607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Has been specifically adjudged incompetent pursuant to Iowa Code chapter </w:t>
      </w:r>
      <w:hyperlink r:id="rId20">
        <w:r>
          <w:rPr>
            <w:rStyle w:val="Hyperlink"/>
            <w:rFonts w:ascii="Times New Roman" w:hAnsi="Times New Roman"/>
            <w:b w:val="false"/>
            <w:i w:val="false"/>
            <w:color w:val="000000"/>
            <w:sz w:val="22"/>
          </w:rPr>
          <w:t>229</w:t>
        </w:r>
      </w:hyperlink>
      <w:r>
        <w:rPr>
          <w:rFonts w:ascii="Times New Roman" w:hAnsi="Times New Roman"/>
          <w:b w:val="false"/>
          <w:i w:val="false"/>
          <w:color w:val="000000"/>
          <w:sz w:val="22"/>
        </w:rPr>
        <w:t xml:space="preserve"> on or after January 1, 1976, including anyone admitted to a mental health facility prior to that date and not released until after, until the department receives specific adjudication that the person is competent. A medical report stating that the person is physically qualified to operate a motor vehicle safely is also required.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Suffers from syncope of any cause, any type of periodic or episodic loss of consciousness, or any paroxysmal disturbances of consciousness, including but not limited to epilepsy, until that person has not had an episode of loss of consciousness or loss of voluntary control for six months and then only upon receipt of a medical report favorable toward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a medical report indicates a pattern of only syncope, the department may license without a six-month episode-free period after favorable recommendation by the medical advisory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a medical report indicates a pattern of such episodes only when the person is asleep or is sequestered for sleep, the department may license without a six-month episode-free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If an episode occurs when medications are withdrawn by a qualified medical professional, but the person is episode-free when placed back on medications, the department may license without a six-month episode-free period with a favorable recommendation from a neurologist.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medical report indicates the person experienced a single nonrecurring episode, the cause has been identified, the qualified medical professional is not treating the person for the episode or a contributing health condition and the qualified medical professional believes the episode is unlikely to recur, the department may license without the six-month episode-free period with a favorable recommendation from a qualified medical professional. As used in this subparagraph, a “single nonrecurring episode” means an incident that is not caused by a health condition and there is no history of prior episodes or a health condition that may cause such an episode.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Must wear bioptic telescopic lenses to meet the visual acuity standard required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Is the named person on a certificate of noncompliance that has been received from child support services, until the department receives a withdrawal of the certificate of noncompliance or unless an application has been filed pursuant to Iowa Code section </w:t>
      </w:r>
      <w:hyperlink r:id="rId21">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605.3(2)</w:t>
      </w:r>
      <w:r>
        <w:rPr>
          <w:rFonts w:ascii="Times New Roman" w:hAnsi="Times New Roman"/>
          <w:b w:val="false"/>
          <w:i w:val="false"/>
          <w:color w:val="000000"/>
          <w:sz w:val="22"/>
        </w:rPr>
        <w:t> </w:t>
      </w:r>
      <w:r>
        <w:rPr>
          <w:rFonts w:ascii="Times New Roman" w:hAnsi="Times New Roman"/>
          <w:b w:val="false"/>
          <w:i w:val="false"/>
          <w:color w:val="000000"/>
          <w:sz w:val="22"/>
        </w:rPr>
        <w:t>When a medical report is required, a license will be issued only if the report indicates that the person is qualified to operate a motor vehicle safely. The department may submit the report to the medical advisory board for an additional opinion.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605.3(3)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the department receives evidence that an Iowa licensed driver has been adjudged incompetent or is not physically or mentally qualified to operate a motor vehicle safely, the department will suspend the license for incapability, as explained in rule </w:t>
      </w:r>
      <w:hyperlink r:id="rId22">
        <w:r>
          <w:rPr>
            <w:rStyle w:val="Hyperlink"/>
            <w:rFonts w:ascii="Times New Roman" w:hAnsi="Times New Roman"/>
            <w:b w:val="false"/>
            <w:i w:val="false"/>
            <w:color w:val="000000"/>
            <w:sz w:val="22"/>
          </w:rPr>
          <w:t>761—615.14</w:t>
        </w:r>
      </w:hyperlink>
      <w:r>
        <w:rPr>
          <w:rFonts w:ascii="Times New Roman" w:hAnsi="Times New Roman"/>
          <w:b w:val="false"/>
          <w:i w:val="false"/>
          <w:color w:val="000000"/>
          <w:sz w:val="22"/>
        </w:rPr>
        <w:t xml:space="preserve">(321), or deny further licensing, as explained in rule </w:t>
      </w:r>
      <w:hyperlink r:id="rId23">
        <w:r>
          <w:rPr>
            <w:rStyle w:val="Hyperlink"/>
            <w:rFonts w:ascii="Times New Roman" w:hAnsi="Times New Roman"/>
            <w:b w:val="false"/>
            <w:i w:val="false"/>
            <w:color w:val="000000"/>
            <w:sz w:val="22"/>
          </w:rPr>
          <w:t>761—615.4</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24">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w:t>
      </w:r>
      <w:hyperlink r:id="rId2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27">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29">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30">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w:t>
      </w:r>
      <w:hyperlink r:id="rId31">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and </w:t>
      </w:r>
      <w:hyperlink r:id="rId32">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761—605.4</w:t>
      </w:r>
      <w:r>
        <w:rPr>
          <w:rFonts w:ascii="Times New Roman" w:hAnsi="Times New Roman"/>
          <w:b/>
          <w:i w:val="false"/>
          <w:color w:val="000000"/>
          <w:sz w:val="22"/>
        </w:rPr>
        <w:t xml:space="preserve">(142C,321) </w:t>
      </w:r>
      <w:r>
        <w:rPr>
          <w:rFonts w:ascii="Times New Roman" w:hAnsi="Times New Roman"/>
          <w:b/>
          <w:i w:val="false"/>
          <w:color w:val="000000"/>
          <w:sz w:val="22"/>
        </w:rPr>
        <w:t xml:space="preserve">Contents of license. </w:t>
      </w:r>
      <w:r>
        <w:rPr>
          <w:rFonts w:ascii="Times New Roman" w:hAnsi="Times New Roman"/>
          <w:b w:val="false"/>
          <w:i w:val="false"/>
          <w:color w:val="000000"/>
          <w:sz w:val="22"/>
        </w:rPr>
        <w:t xml:space="preserve">In addition to the information specified in Iowa Code section </w:t>
      </w:r>
      <w:hyperlink r:id="rId33">
        <w:r>
          <w:rPr>
            <w:rStyle w:val="Hyperlink"/>
            <w:rFonts w:ascii="Times New Roman" w:hAnsi="Times New Roman"/>
            <w:b w:val="false"/>
            <w:i w:val="false"/>
            <w:color w:val="000000"/>
            <w:sz w:val="22"/>
          </w:rPr>
          <w:t>321.189(2)</w:t>
        </w:r>
      </w:hyperlink>
      <w:r>
        <w:rPr>
          <w:rFonts w:ascii="Times New Roman" w:hAnsi="Times New Roman"/>
          <w:b w:val="false"/>
          <w:i w:val="false"/>
          <w:color w:val="000000"/>
          <w:sz w:val="22"/>
        </w:rPr>
        <w:t>, the following information will be shown on a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605.4(1)</w:t>
      </w:r>
      <w:r>
        <w:rPr>
          <w:rFonts w:ascii="Times New Roman" w:hAnsi="Times New Roman"/>
          <w:b w:val="false"/>
          <w:i w:val="false"/>
          <w:color w:val="000000"/>
          <w:sz w:val="22"/>
        </w:rPr>
        <w:t> </w:t>
      </w:r>
      <w:r>
        <w:rPr>
          <w:rFonts w:ascii="Times New Roman" w:hAnsi="Times New Roman"/>
          <w:b w:val="false"/>
          <w:i/>
          <w:color w:val="000000"/>
          <w:sz w:val="22"/>
        </w:rPr>
        <w:t xml:space="preserve">Name. </w:t>
      </w:r>
      <w:r>
        <w:rPr>
          <w:rFonts w:ascii="Times New Roman" w:hAnsi="Times New Roman"/>
          <w:b w:val="false"/>
          <w:i w:val="false"/>
          <w:color w:val="000000"/>
          <w:sz w:val="22"/>
        </w:rPr>
        <w:t xml:space="preserve">The licensee’s full legal name will be listed as established according to </w:t>
      </w:r>
      <w:hyperlink r:id="rId34">
        <w:r>
          <w:rPr>
            <w:rStyle w:val="Hyperlink"/>
            <w:rFonts w:ascii="Times New Roman" w:hAnsi="Times New Roman"/>
            <w:b w:val="false"/>
            <w:i w:val="false"/>
            <w:color w:val="000000"/>
            <w:sz w:val="22"/>
          </w:rPr>
          <w:t>761—subrules 601.5(1)</w:t>
        </w:r>
      </w:hyperlink>
      <w:r>
        <w:rPr>
          <w:rFonts w:ascii="Times New Roman" w:hAnsi="Times New Roman"/>
          <w:b w:val="false"/>
          <w:i w:val="false"/>
          <w:color w:val="000000"/>
          <w:sz w:val="22"/>
        </w:rPr>
        <w:t xml:space="preserve"> and </w:t>
      </w:r>
      <w:hyperlink r:id="rId35">
        <w:r>
          <w:rPr>
            <w:rStyle w:val="Hyperlink"/>
            <w:rFonts w:ascii="Times New Roman" w:hAnsi="Times New Roman"/>
            <w:b w:val="false"/>
            <w:i w:val="false"/>
            <w:color w:val="000000"/>
            <w:sz w:val="22"/>
          </w:rPr>
          <w:t>601.5(5)</w:t>
        </w:r>
      </w:hyperlink>
      <w:r>
        <w:rPr>
          <w:rFonts w:ascii="Times New Roman" w:hAnsi="Times New Roman"/>
          <w:b w:val="false"/>
          <w:i w:val="false"/>
          <w:color w:val="000000"/>
          <w:sz w:val="22"/>
        </w:rPr>
        <w:t xml:space="preserve"> and will conform to the requirements of </w:t>
      </w:r>
      <w:hyperlink r:id="rId36">
        <w:r>
          <w:rPr>
            <w:rStyle w:val="Hyperlink"/>
            <w:rFonts w:ascii="Times New Roman" w:hAnsi="Times New Roman"/>
            <w:b w:val="false"/>
            <w:i w:val="false"/>
            <w:color w:val="000000"/>
            <w:sz w:val="22"/>
          </w:rPr>
          <w:t>761—subrule 601.1(2)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605.4(2)</w:t>
      </w:r>
      <w:r>
        <w:rPr>
          <w:rFonts w:ascii="Times New Roman" w:hAnsi="Times New Roman"/>
          <w:b w:val="false"/>
          <w:i w:val="false"/>
          <w:color w:val="000000"/>
          <w:sz w:val="22"/>
        </w:rPr>
        <w:t> </w:t>
      </w:r>
      <w:r>
        <w:rPr>
          <w:rFonts w:ascii="Times New Roman" w:hAnsi="Times New Roman"/>
          <w:b w:val="false"/>
          <w:i/>
          <w:color w:val="000000"/>
          <w:sz w:val="22"/>
        </w:rPr>
        <w:t xml:space="preserve">Current residential address. </w:t>
      </w:r>
      <w:r>
        <w:rPr>
          <w:rFonts w:ascii="Times New Roman" w:hAnsi="Times New Roman"/>
          <w:b w:val="false"/>
          <w:i w:val="false"/>
          <w:color w:val="000000"/>
          <w:sz w:val="22"/>
        </w:rPr>
        <w:t xml:space="preserve">The licensee’s current residential address will be listed as established according to the requirements of 761—subrule </w:t>
      </w:r>
      <w:hyperlink r:id="rId37">
        <w:r>
          <w:rPr>
            <w:rStyle w:val="Hyperlink"/>
            <w:rFonts w:ascii="Times New Roman" w:hAnsi="Times New Roman"/>
            <w:b w:val="false"/>
            <w:i w:val="false"/>
            <w:color w:val="000000"/>
            <w:sz w:val="22"/>
          </w:rPr>
          <w:t>601.1(6)</w:t>
        </w:r>
      </w:hyperlink>
      <w:r>
        <w:rPr>
          <w:rFonts w:ascii="Times New Roman" w:hAnsi="Times New Roman"/>
          <w:b w:val="false"/>
          <w:i w:val="false"/>
          <w:color w:val="000000"/>
          <w:sz w:val="22"/>
        </w:rPr>
        <w:t xml:space="preserve"> and 761—subrule </w:t>
      </w:r>
      <w:hyperlink r:id="rId38">
        <w:r>
          <w:rPr>
            <w:rStyle w:val="Hyperlink"/>
            <w:rFonts w:ascii="Times New Roman" w:hAnsi="Times New Roman"/>
            <w:b w:val="false"/>
            <w:i w:val="false"/>
            <w:color w:val="000000"/>
            <w:sz w:val="22"/>
          </w:rPr>
          <w:t>601.5(3)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605.4(3)</w:t>
      </w:r>
      <w:r>
        <w:rPr>
          <w:rFonts w:ascii="Times New Roman" w:hAnsi="Times New Roman"/>
          <w:b w:val="false"/>
          <w:i w:val="false"/>
          <w:color w:val="000000"/>
          <w:sz w:val="22"/>
        </w:rPr>
        <w:t> </w:t>
      </w:r>
      <w:r>
        <w:rPr>
          <w:rFonts w:ascii="Times New Roman" w:hAnsi="Times New Roman"/>
          <w:b w:val="false"/>
          <w:i/>
          <w:color w:val="000000"/>
          <w:sz w:val="22"/>
        </w:rPr>
        <w:t xml:space="preserve">Physical description. </w:t>
      </w:r>
      <w:r>
        <w:rPr>
          <w:rFonts w:ascii="Times New Roman" w:hAnsi="Times New Roman"/>
          <w:b w:val="false"/>
          <w:i w:val="false"/>
          <w:color w:val="000000"/>
          <w:sz w:val="22"/>
        </w:rPr>
        <w:t xml:space="preserve">The physical description of the licensee on the face of the driver’s license will include the following as established according to the requirements of </w:t>
      </w:r>
      <w:hyperlink r:id="rId39">
        <w:r>
          <w:rPr>
            <w:rStyle w:val="Hyperlink"/>
            <w:rFonts w:ascii="Times New Roman" w:hAnsi="Times New Roman"/>
            <w:b w:val="false"/>
            <w:i w:val="false"/>
            <w:color w:val="000000"/>
            <w:sz w:val="22"/>
          </w:rPr>
          <w:t>761—subrule 601.1(5)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licensee’s eye color using these abbreviations: Blk-black, Blu-blue, Bro-brown, Dic-dichromatic, Gry-gray, Grn-green, Haz-hazel, Pnk-pink and Unk-unknown.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licensee’s height in feet and inches.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605.4(4)</w:t>
      </w:r>
      <w:r>
        <w:rPr>
          <w:rFonts w:ascii="Times New Roman" w:hAnsi="Times New Roman"/>
          <w:b w:val="false"/>
          <w:i w:val="false"/>
          <w:color w:val="000000"/>
          <w:sz w:val="22"/>
        </w:rPr>
        <w:t> </w:t>
      </w:r>
      <w:r>
        <w:rPr>
          <w:rFonts w:ascii="Times New Roman" w:hAnsi="Times New Roman"/>
          <w:b w:val="false"/>
          <w:i/>
          <w:color w:val="000000"/>
          <w:sz w:val="22"/>
        </w:rPr>
        <w:t xml:space="preserve">Date of birth. </w:t>
      </w:r>
      <w:r>
        <w:rPr>
          <w:rFonts w:ascii="Times New Roman" w:hAnsi="Times New Roman"/>
          <w:b w:val="false"/>
          <w:i w:val="false"/>
          <w:color w:val="000000"/>
          <w:sz w:val="22"/>
        </w:rPr>
        <w:t xml:space="preserve">The licensee’s date of birth will be listed as established according to </w:t>
      </w:r>
      <w:hyperlink r:id="rId40">
        <w:r>
          <w:rPr>
            <w:rStyle w:val="Hyperlink"/>
            <w:rFonts w:ascii="Times New Roman" w:hAnsi="Times New Roman"/>
            <w:b w:val="false"/>
            <w:i w:val="false"/>
            <w:color w:val="000000"/>
            <w:sz w:val="22"/>
          </w:rPr>
          <w:t>761—subrules 601.5(1)</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601.5(6)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605.4(5)</w:t>
      </w:r>
      <w:r>
        <w:rPr>
          <w:rFonts w:ascii="Times New Roman" w:hAnsi="Times New Roman"/>
          <w:b w:val="false"/>
          <w:i w:val="false"/>
          <w:color w:val="000000"/>
          <w:sz w:val="22"/>
        </w:rPr>
        <w:t> </w:t>
      </w:r>
      <w:r>
        <w:rPr>
          <w:rFonts w:ascii="Times New Roman" w:hAnsi="Times New Roman"/>
          <w:b w:val="false"/>
          <w:i/>
          <w:color w:val="000000"/>
          <w:sz w:val="22"/>
        </w:rPr>
        <w:t xml:space="preserve">Sex. </w:t>
      </w:r>
      <w:r>
        <w:rPr>
          <w:rFonts w:ascii="Times New Roman" w:hAnsi="Times New Roman"/>
          <w:b w:val="false"/>
          <w:i w:val="false"/>
          <w:color w:val="000000"/>
          <w:sz w:val="22"/>
        </w:rPr>
        <w:t xml:space="preserve">The licensee’s sex will be identical to the sex listed on the identity document submitted under rule </w:t>
      </w:r>
      <w:hyperlink r:id="rId42">
        <w:r>
          <w:rPr>
            <w:rStyle w:val="Hyperlink"/>
            <w:rFonts w:ascii="Times New Roman" w:hAnsi="Times New Roman"/>
            <w:b w:val="false"/>
            <w:i w:val="false"/>
            <w:color w:val="000000"/>
            <w:sz w:val="22"/>
          </w:rPr>
          <w:t>761—601.5</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605.4(6)</w:t>
      </w:r>
      <w:r>
        <w:rPr>
          <w:rFonts w:ascii="Times New Roman" w:hAnsi="Times New Roman"/>
          <w:b w:val="false"/>
          <w:i w:val="false"/>
          <w:color w:val="000000"/>
          <w:sz w:val="22"/>
        </w:rPr>
        <w:t> </w:t>
      </w:r>
      <w:r>
        <w:rPr>
          <w:rFonts w:ascii="Times New Roman" w:hAnsi="Times New Roman"/>
          <w:b w:val="false"/>
          <w:i/>
          <w:color w:val="000000"/>
          <w:sz w:val="22"/>
        </w:rPr>
        <w:t xml:space="preserve">REAL ID markings.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driver’s license that is issued as a REAL ID driver’s license as defined in rule </w:t>
      </w:r>
      <w:hyperlink r:id="rId43">
        <w:r>
          <w:rPr>
            <w:rStyle w:val="Hyperlink"/>
            <w:rFonts w:ascii="Times New Roman" w:hAnsi="Times New Roman"/>
            <w:b w:val="false"/>
            <w:i w:val="false"/>
            <w:color w:val="000000"/>
            <w:sz w:val="22"/>
          </w:rPr>
          <w:t>761—601.7</w:t>
        </w:r>
      </w:hyperlink>
      <w:r>
        <w:rPr>
          <w:rFonts w:ascii="Times New Roman" w:hAnsi="Times New Roman"/>
          <w:b w:val="false"/>
          <w:i w:val="false"/>
          <w:color w:val="000000"/>
          <w:sz w:val="22"/>
        </w:rPr>
        <w:t>(321) will include a security marking as required by 6 CFR Section 37.17(n) effective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driver’s license that is not issued as a REAL ID driver’s license as defined in rule </w:t>
      </w:r>
      <w:hyperlink r:id="rId44">
        <w:r>
          <w:rPr>
            <w:rStyle w:val="Hyperlink"/>
            <w:rFonts w:ascii="Times New Roman" w:hAnsi="Times New Roman"/>
            <w:b w:val="false"/>
            <w:i w:val="false"/>
            <w:color w:val="000000"/>
            <w:sz w:val="22"/>
          </w:rPr>
          <w:t>761—601.7</w:t>
        </w:r>
      </w:hyperlink>
      <w:r>
        <w:rPr>
          <w:rFonts w:ascii="Times New Roman" w:hAnsi="Times New Roman"/>
          <w:b w:val="false"/>
          <w:i w:val="false"/>
          <w:color w:val="000000"/>
          <w:sz w:val="22"/>
        </w:rPr>
        <w:t>(321) is to include the following statement on the face of the card: “not for REAL ID act purposes” as required by 6 CFR Section 37.71 effective January 1, 2024, and any subsequent guidance issued by the U.S. Department of Homeland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driver’s license issued to a foreign national who is temporarily present in this state will include the following statement on the face of the license: “limited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605.4(7)</w:t>
      </w:r>
      <w:r>
        <w:rPr>
          <w:rFonts w:ascii="Times New Roman" w:hAnsi="Times New Roman"/>
          <w:b w:val="false"/>
          <w:i w:val="false"/>
          <w:color w:val="000000"/>
          <w:sz w:val="22"/>
        </w:rPr>
        <w:t> </w:t>
      </w:r>
      <w:r>
        <w:rPr>
          <w:rFonts w:ascii="Times New Roman" w:hAnsi="Times New Roman"/>
          <w:b w:val="false"/>
          <w:i/>
          <w:color w:val="000000"/>
          <w:sz w:val="22"/>
        </w:rPr>
        <w:t xml:space="preserve">Voluntary markings. </w:t>
      </w:r>
      <w:r>
        <w:rPr>
          <w:rFonts w:ascii="Times New Roman" w:hAnsi="Times New Roman"/>
          <w:b w:val="false"/>
          <w:i w:val="false"/>
          <w:color w:val="000000"/>
          <w:sz w:val="22"/>
        </w:rPr>
        <w:t>Upon the request of the licensee, the department will indicate on the driver’s license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That the licensee has a medical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That the licensee is a donor under the uniform anatomical gift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That the licensee has in effect a medical advance directive.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That the licensee is hard of hearing or deaf.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That the licensee is a veteran.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To be eligible for a veteran designation, the licensee must be an honorably discharged veteran of the armed forces of the United States, the national guard or reserve forces in accordance with Iowa Code section </w:t>
      </w:r>
      <w:hyperlink r:id="rId45">
        <w:r>
          <w:rPr>
            <w:rStyle w:val="Hyperlink"/>
            <w:rFonts w:ascii="Times New Roman" w:hAnsi="Times New Roman"/>
            <w:b w:val="false"/>
            <w:i w:val="false"/>
            <w:color w:val="000000"/>
            <w:sz w:val="22"/>
          </w:rPr>
          <w:t>35.1</w:t>
        </w:r>
      </w:hyperlink>
      <w:r>
        <w:rPr>
          <w:rFonts w:ascii="Times New Roman" w:hAnsi="Times New Roman"/>
          <w:b w:val="false"/>
          <w:i w:val="false"/>
          <w:color w:val="000000"/>
          <w:sz w:val="22"/>
        </w:rPr>
        <w:t>. A licensee who requests a veteran designation may provide Form 432035, properly completed by the licensee and a designee of the Iowa department of veterans affairs, or the licensee’s certification of release or discharge from active duty, DD Form 214, to the department indicating that the licensee was honorably discharged from active duty. A licensee who was a member of the national guard or reserve forces and who applies directly to the department must present a DD Form 214 that indicates that the licensee was honorably discharged after serving for at least a minimum aggregate (total) of 90 days of active duty service for purposes other than training. A licensee who was a member of the national guard or reserve forces and who has a discharge document other than a DD Form 214 must have the licensee’s eligibility for a veteran designation determined by a designee of the Iowa department of veterans affairs and shall apply to the department for a veteran designation by submitting Form 432035, properly completed by the licensee and a designee of the Iowa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department may consult with and defer to the Iowa department of veterans affairs regarding what constitutes a properly completed DD Form 214 and veteran status in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That the licensee has autism spectrum disorder.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4.1A</w:t>
        </w:r>
      </w:hyperlink>
      <w:r>
        <w:rPr>
          <w:rFonts w:ascii="Times New Roman" w:hAnsi="Times New Roman"/>
          <w:b w:val="false"/>
          <w:i w:val="false"/>
          <w:color w:val="000000"/>
          <w:sz w:val="22"/>
        </w:rPr>
        <w:t xml:space="preserve"> as enacted by </w:t>
      </w:r>
      <w:r>
        <w:rPr>
          <w:rFonts w:ascii="Times New Roman" w:hAnsi="Times New Roman"/>
          <w:b w:val="false"/>
          <w:i w:val="false"/>
          <w:color w:val="000000"/>
          <w:sz w:val="22"/>
        </w:rPr>
        <w:t>2025 Iowa Acts, Senate File 418</w:t>
      </w:r>
      <w:r>
        <w:rPr>
          <w:rFonts w:ascii="Times New Roman" w:hAnsi="Times New Roman"/>
          <w:b w:val="false"/>
          <w:i w:val="false"/>
          <w:color w:val="000000"/>
          <w:sz w:val="22"/>
        </w:rPr>
        <w:t xml:space="preserve">; Iowa Code sections </w:t>
      </w:r>
      <w:hyperlink r:id="rId47">
        <w:r>
          <w:rPr>
            <w:rStyle w:val="Hyperlink"/>
            <w:rFonts w:ascii="Times New Roman" w:hAnsi="Times New Roman"/>
            <w:b w:val="false"/>
            <w:i w:val="false"/>
            <w:color w:val="000000"/>
            <w:sz w:val="22"/>
          </w:rPr>
          <w:t>142C.3</w:t>
        </w:r>
      </w:hyperlink>
      <w:r>
        <w:rPr>
          <w:rFonts w:ascii="Times New Roman" w:hAnsi="Times New Roman"/>
          <w:b w:val="false"/>
          <w:i w:val="false"/>
          <w:color w:val="000000"/>
          <w:sz w:val="22"/>
        </w:rPr>
        <w:t xml:space="preserve"> and </w:t>
      </w:r>
      <w:hyperlink r:id="rId48">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the REAL ID Act of 2005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30301 note) as amended by the REAL ID Modernization Act, H.R. 133, Division U, Title X; and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761—605.5</w:t>
      </w:r>
      <w:r>
        <w:rPr>
          <w:rFonts w:ascii="Times New Roman" w:hAnsi="Times New Roman"/>
          <w:b/>
          <w:i w:val="false"/>
          <w:color w:val="000000"/>
          <w:sz w:val="22"/>
        </w:rPr>
        <w:t xml:space="preserve">(321) </w:t>
      </w:r>
      <w:r>
        <w:rPr>
          <w:rFonts w:ascii="Times New Roman" w:hAnsi="Times New Roman"/>
          <w:b/>
          <w:i w:val="false"/>
          <w:color w:val="000000"/>
          <w:sz w:val="22"/>
        </w:rPr>
        <w:t xml:space="preserve">License class. </w:t>
      </w:r>
      <w:r>
        <w:rPr>
          <w:rFonts w:ascii="Times New Roman" w:hAnsi="Times New Roman"/>
          <w:b w:val="false"/>
          <w:i w:val="false"/>
          <w:color w:val="000000"/>
          <w:sz w:val="22"/>
        </w:rPr>
        <w:t>The driver’s license class will be coded on the face of the driver’s license using these codes:</w:t>
      </w:r>
    </w:p>
    <w:p>
      <w:pPr>
        <w:spacing w:before="0" w:after="0"/>
        <w:ind w:left="120"/>
        <w:jc w:val="both"/>
      </w:pPr>
      <w:r>
        <w:rPr>
          <w:rFonts w:ascii="Times New Roman" w:hAnsi="Times New Roman"/>
          <w:b w:val="false"/>
          <w:i w:val="false"/>
          <w:color w:val="000000"/>
          <w:sz w:val="22"/>
        </w:rPr>
        <w:t>Class A—commercial driver’s license</w:t>
      </w:r>
    </w:p>
    <w:p>
      <w:pPr>
        <w:spacing w:before="0" w:after="0"/>
        <w:ind w:left="120"/>
        <w:jc w:val="both"/>
      </w:pPr>
      <w:r>
        <w:rPr>
          <w:rFonts w:ascii="Times New Roman" w:hAnsi="Times New Roman"/>
          <w:b w:val="false"/>
          <w:i w:val="false"/>
          <w:color w:val="000000"/>
          <w:sz w:val="22"/>
        </w:rPr>
        <w:t>Class B—commercial driver’s license</w:t>
      </w:r>
    </w:p>
    <w:p>
      <w:pPr>
        <w:spacing w:before="0" w:after="0"/>
        <w:ind w:left="120"/>
        <w:jc w:val="both"/>
      </w:pPr>
      <w:r>
        <w:rPr>
          <w:rFonts w:ascii="Times New Roman" w:hAnsi="Times New Roman"/>
          <w:b w:val="false"/>
          <w:i w:val="false"/>
          <w:color w:val="000000"/>
          <w:sz w:val="22"/>
        </w:rPr>
        <w:t>Class C—commercial driver’s license</w:t>
      </w:r>
    </w:p>
    <w:p>
      <w:pPr>
        <w:spacing w:before="0" w:after="0"/>
        <w:ind w:left="120"/>
        <w:jc w:val="both"/>
      </w:pPr>
      <w:r>
        <w:rPr>
          <w:rFonts w:ascii="Times New Roman" w:hAnsi="Times New Roman"/>
          <w:b w:val="false"/>
          <w:i w:val="false"/>
          <w:color w:val="000000"/>
          <w:sz w:val="22"/>
        </w:rPr>
        <w:t>Class C—noncommercial driver’s license</w:t>
      </w:r>
    </w:p>
    <w:p>
      <w:pPr>
        <w:spacing w:before="0" w:after="0"/>
        <w:ind w:left="120"/>
        <w:jc w:val="both"/>
      </w:pPr>
      <w:r>
        <w:rPr>
          <w:rFonts w:ascii="Times New Roman" w:hAnsi="Times New Roman"/>
          <w:b w:val="false"/>
          <w:i w:val="false"/>
          <w:color w:val="000000"/>
          <w:sz w:val="22"/>
        </w:rPr>
        <w:t>Class D—noncommercial driver’s license, chauffeur</w:t>
      </w:r>
    </w:p>
    <w:p>
      <w:pPr>
        <w:spacing w:before="0" w:after="0"/>
        <w:ind w:left="120"/>
        <w:jc w:val="both"/>
      </w:pPr>
      <w:r>
        <w:rPr>
          <w:rFonts w:ascii="Times New Roman" w:hAnsi="Times New Roman"/>
          <w:b w:val="false"/>
          <w:i w:val="false"/>
          <w:color w:val="000000"/>
          <w:sz w:val="22"/>
        </w:rPr>
        <w:t>Class M—noncommercial driver’s license, motorcycle only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9">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761—605.6</w:t>
      </w:r>
      <w:r>
        <w:rPr>
          <w:rFonts w:ascii="Times New Roman" w:hAnsi="Times New Roman"/>
          <w:b/>
          <w:i w:val="false"/>
          <w:color w:val="000000"/>
          <w:sz w:val="22"/>
        </w:rPr>
        <w:t xml:space="preserve">(321) </w:t>
      </w:r>
      <w:r>
        <w:rPr>
          <w:rFonts w:ascii="Times New Roman" w:hAnsi="Times New Roman"/>
          <w:b/>
          <w:i w:val="false"/>
          <w:color w:val="000000"/>
          <w:sz w:val="22"/>
        </w:rPr>
        <w:t xml:space="preserve">Endorsements. </w:t>
      </w:r>
      <w:r>
        <w:rPr>
          <w:rFonts w:ascii="Times New Roman" w:hAnsi="Times New Roman"/>
          <w:b w:val="false"/>
          <w:i w:val="false"/>
          <w:color w:val="000000"/>
          <w:sz w:val="22"/>
        </w:rPr>
        <w:t>The endorsements will be coded on the face of the driver’s license and explained in text on the back of the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605.6(1)</w:t>
      </w:r>
      <w:r>
        <w:rPr>
          <w:rFonts w:ascii="Times New Roman" w:hAnsi="Times New Roman"/>
          <w:b w:val="false"/>
          <w:i w:val="false"/>
          <w:color w:val="000000"/>
          <w:sz w:val="22"/>
        </w:rPr>
        <w:t> </w:t>
      </w:r>
      <w:r>
        <w:rPr>
          <w:rFonts w:ascii="Times New Roman" w:hAnsi="Times New Roman"/>
          <w:b w:val="false"/>
          <w:i/>
          <w:color w:val="000000"/>
          <w:sz w:val="22"/>
        </w:rPr>
        <w:t xml:space="preserve">For a commercial driver’s license. </w:t>
      </w:r>
      <w:r>
        <w:rPr>
          <w:rFonts w:ascii="Times New Roman" w:hAnsi="Times New Roman"/>
          <w:b w:val="false"/>
          <w:i w:val="false"/>
          <w:color w:val="000000"/>
          <w:sz w:val="22"/>
        </w:rPr>
        <w:t>The following endorsements may be added to a Class A, B or C commercial driver’s license using these letter codes:</w:t>
      </w:r>
    </w:p>
    <w:p>
      <w:pPr>
        <w:spacing w:before="0" w:after="0"/>
        <w:ind w:left="120"/>
        <w:jc w:val="both"/>
      </w:pPr>
      <w:r>
        <w:rPr>
          <w:rFonts w:ascii="Times New Roman" w:hAnsi="Times New Roman"/>
          <w:b w:val="false"/>
          <w:i w:val="false"/>
          <w:color w:val="000000"/>
          <w:sz w:val="22"/>
        </w:rPr>
        <w:t>H—Hazardous material</w:t>
      </w:r>
    </w:p>
    <w:p>
      <w:pPr>
        <w:spacing w:before="0" w:after="0"/>
        <w:ind w:left="120"/>
        <w:jc w:val="both"/>
      </w:pPr>
      <w:r>
        <w:rPr>
          <w:rFonts w:ascii="Times New Roman" w:hAnsi="Times New Roman"/>
          <w:b w:val="false"/>
          <w:i w:val="false"/>
          <w:color w:val="000000"/>
          <w:sz w:val="22"/>
        </w:rPr>
        <w:t>P—Passenger</w:t>
      </w:r>
    </w:p>
    <w:p>
      <w:pPr>
        <w:spacing w:before="0" w:after="0"/>
        <w:ind w:left="120"/>
        <w:jc w:val="both"/>
      </w:pPr>
      <w:r>
        <w:rPr>
          <w:rFonts w:ascii="Times New Roman" w:hAnsi="Times New Roman"/>
          <w:b w:val="false"/>
          <w:i w:val="false"/>
          <w:color w:val="000000"/>
          <w:sz w:val="22"/>
        </w:rPr>
        <w:t>N—Tank</w:t>
      </w:r>
    </w:p>
    <w:p>
      <w:pPr>
        <w:spacing w:before="0" w:after="0"/>
        <w:ind w:left="120"/>
        <w:jc w:val="both"/>
      </w:pPr>
      <w:r>
        <w:rPr>
          <w:rFonts w:ascii="Times New Roman" w:hAnsi="Times New Roman"/>
          <w:b w:val="false"/>
          <w:i w:val="false"/>
          <w:color w:val="000000"/>
          <w:sz w:val="22"/>
        </w:rPr>
        <w:t>X—Hazardous material and tank</w:t>
      </w:r>
    </w:p>
    <w:p>
      <w:pPr>
        <w:spacing w:before="0" w:after="0"/>
        <w:ind w:left="120"/>
        <w:jc w:val="both"/>
      </w:pPr>
      <w:r>
        <w:rPr>
          <w:rFonts w:ascii="Times New Roman" w:hAnsi="Times New Roman"/>
          <w:b w:val="false"/>
          <w:i w:val="false"/>
          <w:color w:val="000000"/>
          <w:sz w:val="22"/>
        </w:rPr>
        <w:t>T—Double/triple trailers</w:t>
      </w:r>
    </w:p>
    <w:p>
      <w:pPr>
        <w:spacing w:before="0" w:after="0"/>
        <w:ind w:left="120"/>
        <w:jc w:val="both"/>
      </w:pPr>
      <w:r>
        <w:rPr>
          <w:rFonts w:ascii="Times New Roman" w:hAnsi="Times New Roman"/>
          <w:b w:val="false"/>
          <w:i w:val="false"/>
          <w:color w:val="000000"/>
          <w:sz w:val="22"/>
        </w:rPr>
        <w:t>S—School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605.6(2)</w:t>
      </w:r>
      <w:r>
        <w:rPr>
          <w:rFonts w:ascii="Times New Roman" w:hAnsi="Times New Roman"/>
          <w:b w:val="false"/>
          <w:i w:val="false"/>
          <w:color w:val="000000"/>
          <w:sz w:val="22"/>
        </w:rPr>
        <w:t> </w:t>
      </w:r>
      <w:r>
        <w:rPr>
          <w:rFonts w:ascii="Times New Roman" w:hAnsi="Times New Roman"/>
          <w:b w:val="false"/>
          <w:i/>
          <w:color w:val="000000"/>
          <w:sz w:val="22"/>
        </w:rPr>
        <w:t xml:space="preserve">For a commercial learner’s permit. </w:t>
      </w:r>
      <w:r>
        <w:rPr>
          <w:rFonts w:ascii="Times New Roman" w:hAnsi="Times New Roman"/>
          <w:b w:val="false"/>
          <w:i w:val="false"/>
          <w:color w:val="000000"/>
          <w:sz w:val="22"/>
        </w:rPr>
        <w:t>The following endorsements are the only endorsements that may be added to a commercial learner’s permit using these letter codes. All other endorsements are prohibited on a commercial learner’s permit.</w:t>
      </w:r>
    </w:p>
    <w:p>
      <w:pPr>
        <w:spacing w:before="0" w:after="0"/>
        <w:ind w:left="120"/>
        <w:jc w:val="both"/>
      </w:pPr>
      <w:r>
        <w:rPr>
          <w:rFonts w:ascii="Times New Roman" w:hAnsi="Times New Roman"/>
          <w:b w:val="false"/>
          <w:i w:val="false"/>
          <w:color w:val="000000"/>
          <w:sz w:val="22"/>
        </w:rPr>
        <w:t>P—Passenger</w:t>
      </w:r>
    </w:p>
    <w:p>
      <w:pPr>
        <w:spacing w:before="0" w:after="0"/>
        <w:ind w:left="120"/>
        <w:jc w:val="both"/>
      </w:pPr>
      <w:r>
        <w:rPr>
          <w:rFonts w:ascii="Times New Roman" w:hAnsi="Times New Roman"/>
          <w:b w:val="false"/>
          <w:i w:val="false"/>
          <w:color w:val="000000"/>
          <w:sz w:val="22"/>
        </w:rPr>
        <w:t>N—Tank</w:t>
      </w:r>
    </w:p>
    <w:p>
      <w:pPr>
        <w:spacing w:before="0" w:after="0"/>
        <w:ind w:left="120"/>
        <w:jc w:val="both"/>
      </w:pPr>
      <w:r>
        <w:rPr>
          <w:rFonts w:ascii="Times New Roman" w:hAnsi="Times New Roman"/>
          <w:b w:val="false"/>
          <w:i w:val="false"/>
          <w:color w:val="000000"/>
          <w:sz w:val="22"/>
        </w:rPr>
        <w:t>S—School bus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605.6(3)</w:t>
      </w:r>
      <w:r>
        <w:rPr>
          <w:rFonts w:ascii="Times New Roman" w:hAnsi="Times New Roman"/>
          <w:b w:val="false"/>
          <w:i w:val="false"/>
          <w:color w:val="000000"/>
          <w:sz w:val="22"/>
        </w:rPr>
        <w:t> </w:t>
      </w:r>
      <w:r>
        <w:rPr>
          <w:rFonts w:ascii="Times New Roman" w:hAnsi="Times New Roman"/>
          <w:b w:val="false"/>
          <w:i/>
          <w:color w:val="000000"/>
          <w:sz w:val="22"/>
        </w:rPr>
        <w:t xml:space="preserve">For a Class D driver’s license (chauffeur). </w:t>
      </w:r>
      <w:r>
        <w:rPr>
          <w:rFonts w:ascii="Times New Roman" w:hAnsi="Times New Roman"/>
          <w:b w:val="false"/>
          <w:i w:val="false"/>
          <w:color w:val="000000"/>
          <w:sz w:val="22"/>
        </w:rPr>
        <w:t>The following endorsement may be added to a Class D driver’s license using this number code:</w:t>
      </w:r>
    </w:p>
    <w:p>
      <w:pPr>
        <w:spacing w:before="0" w:after="0"/>
        <w:ind w:left="120"/>
        <w:jc w:val="both"/>
      </w:pPr>
      <w:r>
        <w:rPr>
          <w:rFonts w:ascii="Times New Roman" w:hAnsi="Times New Roman"/>
          <w:b w:val="false"/>
          <w:i w:val="false"/>
          <w:color w:val="000000"/>
          <w:sz w:val="22"/>
        </w:rPr>
        <w:t>3—Passenger vehicle less than 16-passenger design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605.6(4)</w:t>
      </w:r>
      <w:r>
        <w:rPr>
          <w:rFonts w:ascii="Times New Roman" w:hAnsi="Times New Roman"/>
          <w:b w:val="false"/>
          <w:i w:val="false"/>
          <w:color w:val="000000"/>
          <w:sz w:val="22"/>
        </w:rPr>
        <w:t> </w:t>
      </w:r>
      <w:r>
        <w:rPr>
          <w:rFonts w:ascii="Times New Roman" w:hAnsi="Times New Roman"/>
          <w:b w:val="false"/>
          <w:i/>
          <w:color w:val="000000"/>
          <w:sz w:val="22"/>
        </w:rPr>
        <w:t xml:space="preserve">Motorcycle endorsement. </w:t>
      </w:r>
      <w:r>
        <w:rPr>
          <w:rFonts w:ascii="Times New Roman" w:hAnsi="Times New Roman"/>
          <w:b w:val="false"/>
          <w:i w:val="false"/>
          <w:color w:val="000000"/>
          <w:sz w:val="22"/>
        </w:rPr>
        <w:t>A motorcycle endorsement may be added to any driver’s license that permits unaccompanied driving, other than a Class M driver’s license or a motorized bicycle license, using the following letter code:</w:t>
      </w:r>
    </w:p>
    <w:p>
      <w:pPr>
        <w:spacing w:before="0" w:after="0"/>
        <w:ind w:left="120"/>
        <w:jc w:val="both"/>
      </w:pPr>
      <w:r>
        <w:rPr>
          <w:rFonts w:ascii="Times New Roman" w:hAnsi="Times New Roman"/>
          <w:b w:val="false"/>
          <w:i w:val="false"/>
          <w:color w:val="000000"/>
          <w:sz w:val="22"/>
        </w:rPr>
        <w:t>L—Motorcycle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0">
        <w:r>
          <w:rPr>
            <w:rStyle w:val="Hyperlink"/>
            <w:rFonts w:ascii="Times New Roman" w:hAnsi="Times New Roman"/>
            <w:b w:val="false"/>
            <w:i w:val="false"/>
            <w:color w:val="000000"/>
            <w:sz w:val="22"/>
          </w:rPr>
          <w:t>321.1(8)</w:t>
        </w:r>
      </w:hyperlink>
      <w:r>
        <w:rPr>
          <w:rFonts w:ascii="Times New Roman" w:hAnsi="Times New Roman"/>
          <w:b w:val="false"/>
          <w:i w:val="false"/>
          <w:color w:val="000000"/>
          <w:sz w:val="22"/>
        </w:rPr>
        <w:t xml:space="preserve">, </w:t>
      </w:r>
      <w:hyperlink r:id="rId51">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and </w:t>
      </w:r>
      <w:hyperlink r:id="rId52">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761—605.7</w:t>
      </w:r>
      <w:r>
        <w:rPr>
          <w:rFonts w:ascii="Times New Roman" w:hAnsi="Times New Roman"/>
          <w:b/>
          <w:i w:val="false"/>
          <w:color w:val="000000"/>
          <w:sz w:val="22"/>
        </w:rPr>
        <w:t xml:space="preserve">(321) </w:t>
      </w:r>
      <w:r>
        <w:rPr>
          <w:rFonts w:ascii="Times New Roman" w:hAnsi="Times New Roman"/>
          <w:b/>
          <w:i w:val="false"/>
          <w:color w:val="000000"/>
          <w:sz w:val="22"/>
        </w:rPr>
        <w:t xml:space="preserve">Restrictions. </w:t>
      </w:r>
      <w:r>
        <w:rPr>
          <w:rFonts w:ascii="Times New Roman" w:hAnsi="Times New Roman"/>
          <w:b w:val="false"/>
          <w:i w:val="false"/>
          <w:color w:val="000000"/>
          <w:sz w:val="22"/>
        </w:rPr>
        <w:t>Restrictions will be coded on the face of the driver’s license and explained in text on the back of the driver’s license. For purposes of this rule, “CMV” means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605.7(1)</w:t>
      </w:r>
      <w:r>
        <w:rPr>
          <w:rFonts w:ascii="Times New Roman" w:hAnsi="Times New Roman"/>
          <w:b w:val="false"/>
          <w:i w:val="false"/>
          <w:color w:val="000000"/>
          <w:sz w:val="22"/>
        </w:rPr>
        <w:t> </w:t>
      </w:r>
      <w:r>
        <w:rPr>
          <w:rFonts w:ascii="Times New Roman" w:hAnsi="Times New Roman"/>
          <w:b w:val="false"/>
          <w:i/>
          <w:color w:val="000000"/>
          <w:sz w:val="22"/>
        </w:rPr>
        <w:t xml:space="preserve">For all licenses. </w:t>
      </w:r>
      <w:r>
        <w:rPr>
          <w:rFonts w:ascii="Times New Roman" w:hAnsi="Times New Roman"/>
          <w:b w:val="false"/>
          <w:i w:val="false"/>
          <w:color w:val="000000"/>
          <w:sz w:val="22"/>
        </w:rPr>
        <w:t>The following restrictions may apply to any driver’s license:</w:t>
      </w:r>
    </w:p>
    <w:p>
      <w:pPr>
        <w:spacing w:before="0" w:after="0"/>
        <w:ind w:left="120"/>
        <w:jc w:val="both"/>
      </w:pPr>
      <w:r>
        <w:rPr>
          <w:rFonts w:ascii="Times New Roman" w:hAnsi="Times New Roman"/>
          <w:b w:val="false"/>
          <w:i w:val="false"/>
          <w:color w:val="000000"/>
          <w:sz w:val="22"/>
        </w:rPr>
        <w:t>B—Corrective lenses required</w:t>
      </w:r>
    </w:p>
    <w:p>
      <w:pPr>
        <w:spacing w:before="0" w:after="0"/>
        <w:ind w:left="120"/>
        <w:jc w:val="both"/>
      </w:pPr>
      <w:r>
        <w:rPr>
          <w:rFonts w:ascii="Times New Roman" w:hAnsi="Times New Roman"/>
          <w:b w:val="false"/>
          <w:i w:val="false"/>
          <w:color w:val="000000"/>
          <w:sz w:val="22"/>
        </w:rPr>
        <w:t>C—Mechanical aid (as detailed in the restriction on the back of the card)</w:t>
      </w:r>
    </w:p>
    <w:p>
      <w:pPr>
        <w:spacing w:before="0" w:after="0"/>
        <w:ind w:left="120"/>
        <w:jc w:val="both"/>
      </w:pPr>
      <w:r>
        <w:rPr>
          <w:rFonts w:ascii="Times New Roman" w:hAnsi="Times New Roman"/>
          <w:b w:val="false"/>
          <w:i w:val="false"/>
          <w:color w:val="000000"/>
          <w:sz w:val="22"/>
        </w:rPr>
        <w:t>D—Prosthetic aid (as detailed in the restriction on the back of the card)</w:t>
      </w:r>
    </w:p>
    <w:p>
      <w:pPr>
        <w:spacing w:before="0" w:after="0"/>
        <w:ind w:left="120"/>
        <w:jc w:val="both"/>
      </w:pPr>
      <w:r>
        <w:rPr>
          <w:rFonts w:ascii="Times New Roman" w:hAnsi="Times New Roman"/>
          <w:b w:val="false"/>
          <w:i w:val="false"/>
          <w:color w:val="000000"/>
          <w:sz w:val="22"/>
        </w:rPr>
        <w:t>F—Left and right outside rearview mirrors</w:t>
      </w:r>
    </w:p>
    <w:p>
      <w:pPr>
        <w:spacing w:before="0" w:after="0"/>
        <w:ind w:left="120"/>
        <w:jc w:val="both"/>
      </w:pPr>
      <w:r>
        <w:rPr>
          <w:rFonts w:ascii="Times New Roman" w:hAnsi="Times New Roman"/>
          <w:b w:val="false"/>
          <w:i w:val="false"/>
          <w:color w:val="000000"/>
          <w:sz w:val="22"/>
        </w:rPr>
        <w:t>G—No driving when headlights required</w:t>
      </w:r>
    </w:p>
    <w:p>
      <w:pPr>
        <w:spacing w:before="0" w:after="0"/>
        <w:ind w:left="120"/>
        <w:jc w:val="both"/>
      </w:pPr>
      <w:r>
        <w:rPr>
          <w:rFonts w:ascii="Times New Roman" w:hAnsi="Times New Roman"/>
          <w:b w:val="false"/>
          <w:i w:val="false"/>
          <w:color w:val="000000"/>
          <w:sz w:val="22"/>
        </w:rPr>
        <w:t>H—Temporary restricted license or permit (work permit)</w:t>
      </w:r>
    </w:p>
    <w:p>
      <w:pPr>
        <w:spacing w:before="0" w:after="0"/>
        <w:ind w:left="120"/>
        <w:jc w:val="both"/>
      </w:pPr>
      <w:r>
        <w:rPr>
          <w:rFonts w:ascii="Times New Roman" w:hAnsi="Times New Roman"/>
          <w:b w:val="false"/>
          <w:i w:val="false"/>
          <w:color w:val="000000"/>
          <w:sz w:val="22"/>
        </w:rPr>
        <w:t>I—Ignition interlock required</w:t>
      </w:r>
    </w:p>
    <w:p>
      <w:pPr>
        <w:spacing w:before="0" w:after="0"/>
        <w:ind w:left="120"/>
        <w:jc w:val="both"/>
      </w:pPr>
      <w:r>
        <w:rPr>
          <w:rFonts w:ascii="Times New Roman" w:hAnsi="Times New Roman"/>
          <w:b w:val="false"/>
          <w:i w:val="false"/>
          <w:color w:val="000000"/>
          <w:sz w:val="22"/>
        </w:rPr>
        <w:t>J—Restrictions on the back of card</w:t>
      </w:r>
    </w:p>
    <w:p>
      <w:pPr>
        <w:spacing w:before="0" w:after="0"/>
        <w:ind w:left="120"/>
        <w:jc w:val="both"/>
      </w:pPr>
      <w:r>
        <w:rPr>
          <w:rFonts w:ascii="Times New Roman" w:hAnsi="Times New Roman"/>
          <w:b w:val="false"/>
          <w:i w:val="false"/>
          <w:color w:val="000000"/>
          <w:sz w:val="22"/>
        </w:rPr>
        <w:t>S—SR required (proof of financial responsibility for the future)</w:t>
      </w:r>
    </w:p>
    <w:p>
      <w:pPr>
        <w:spacing w:before="0" w:after="0"/>
        <w:ind w:left="120"/>
        <w:jc w:val="both"/>
      </w:pPr>
      <w:r>
        <w:rPr>
          <w:rFonts w:ascii="Times New Roman" w:hAnsi="Times New Roman"/>
          <w:b w:val="false"/>
          <w:i w:val="false"/>
          <w:color w:val="000000"/>
          <w:sz w:val="22"/>
        </w:rPr>
        <w:t>T—Medical report required at renewal</w:t>
      </w:r>
    </w:p>
    <w:p>
      <w:pPr>
        <w:spacing w:before="0" w:after="0"/>
        <w:ind w:left="120"/>
        <w:jc w:val="both"/>
      </w:pPr>
      <w:r>
        <w:rPr>
          <w:rFonts w:ascii="Times New Roman" w:hAnsi="Times New Roman"/>
          <w:b w:val="false"/>
          <w:i w:val="false"/>
          <w:color w:val="000000"/>
          <w:sz w:val="22"/>
        </w:rPr>
        <w:t>U—Not valid for two-wheel vehicle</w:t>
      </w:r>
    </w:p>
    <w:p>
      <w:pPr>
        <w:spacing w:before="0" w:after="0"/>
        <w:ind w:left="120"/>
        <w:jc w:val="both"/>
      </w:pPr>
      <w:r>
        <w:rPr>
          <w:rFonts w:ascii="Times New Roman" w:hAnsi="Times New Roman"/>
          <w:b w:val="false"/>
          <w:i w:val="false"/>
          <w:color w:val="000000"/>
          <w:sz w:val="22"/>
        </w:rPr>
        <w:t>W—Restricted commercial driver’s license (CDL)</w:t>
      </w:r>
    </w:p>
    <w:p>
      <w:pPr>
        <w:spacing w:before="0" w:after="0"/>
        <w:ind w:left="120"/>
        <w:jc w:val="both"/>
      </w:pPr>
      <w:r>
        <w:rPr>
          <w:rFonts w:ascii="Times New Roman" w:hAnsi="Times New Roman"/>
          <w:b w:val="false"/>
          <w:i w:val="false"/>
          <w:color w:val="000000"/>
          <w:sz w:val="22"/>
        </w:rPr>
        <w:t>Y—Intermediate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605.7(2)</w:t>
      </w:r>
      <w:r>
        <w:rPr>
          <w:rFonts w:ascii="Times New Roman" w:hAnsi="Times New Roman"/>
          <w:b w:val="false"/>
          <w:i w:val="false"/>
          <w:color w:val="000000"/>
          <w:sz w:val="22"/>
        </w:rPr>
        <w:t> </w:t>
      </w:r>
      <w:r>
        <w:rPr>
          <w:rFonts w:ascii="Times New Roman" w:hAnsi="Times New Roman"/>
          <w:b w:val="false"/>
          <w:i/>
          <w:color w:val="000000"/>
          <w:sz w:val="22"/>
        </w:rPr>
        <w:t xml:space="preserve">For a noncommercial driver’s license. </w:t>
      </w:r>
      <w:r>
        <w:rPr>
          <w:rFonts w:ascii="Times New Roman" w:hAnsi="Times New Roman"/>
          <w:b w:val="false"/>
          <w:i w:val="false"/>
          <w:color w:val="000000"/>
          <w:sz w:val="22"/>
        </w:rPr>
        <w:t>The following restrictions apply only to a noncommercial driver’s license:</w:t>
      </w:r>
    </w:p>
    <w:p>
      <w:pPr>
        <w:spacing w:before="0" w:after="0"/>
        <w:ind w:left="120"/>
        <w:jc w:val="both"/>
      </w:pPr>
      <w:r>
        <w:rPr>
          <w:rFonts w:ascii="Times New Roman" w:hAnsi="Times New Roman"/>
          <w:b w:val="false"/>
          <w:i w:val="false"/>
          <w:color w:val="000000"/>
          <w:sz w:val="22"/>
        </w:rPr>
        <w:t>8—Special instruction permit</w:t>
      </w:r>
    </w:p>
    <w:p>
      <w:pPr>
        <w:spacing w:before="0" w:after="0"/>
        <w:ind w:left="120"/>
        <w:jc w:val="both"/>
      </w:pPr>
      <w:r>
        <w:rPr>
          <w:rFonts w:ascii="Times New Roman" w:hAnsi="Times New Roman"/>
          <w:b w:val="false"/>
          <w:i w:val="false"/>
          <w:color w:val="000000"/>
          <w:sz w:val="22"/>
        </w:rPr>
        <w:t>9—Passenger restriction for intermediate license</w:t>
      </w:r>
    </w:p>
    <w:p>
      <w:pPr>
        <w:spacing w:before="0" w:after="0"/>
        <w:ind w:left="120"/>
        <w:jc w:val="both"/>
      </w:pPr>
      <w:r>
        <w:rPr>
          <w:rFonts w:ascii="Times New Roman" w:hAnsi="Times New Roman"/>
          <w:b w:val="false"/>
          <w:i w:val="false"/>
          <w:color w:val="000000"/>
          <w:sz w:val="22"/>
        </w:rPr>
        <w:t>Q—No interstate or freeway driving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605.7(3)</w:t>
      </w:r>
      <w:r>
        <w:rPr>
          <w:rFonts w:ascii="Times New Roman" w:hAnsi="Times New Roman"/>
          <w:b w:val="false"/>
          <w:i w:val="false"/>
          <w:color w:val="000000"/>
          <w:sz w:val="22"/>
        </w:rPr>
        <w:t> </w:t>
      </w:r>
      <w:r>
        <w:rPr>
          <w:rFonts w:ascii="Times New Roman" w:hAnsi="Times New Roman"/>
          <w:b w:val="false"/>
          <w:i/>
          <w:color w:val="000000"/>
          <w:sz w:val="22"/>
        </w:rPr>
        <w:t xml:space="preserve">For a commercial driver’s license. </w:t>
      </w:r>
      <w:r>
        <w:rPr>
          <w:rFonts w:ascii="Times New Roman" w:hAnsi="Times New Roman"/>
          <w:b w:val="false"/>
          <w:i w:val="false"/>
          <w:color w:val="000000"/>
          <w:sz w:val="22"/>
        </w:rPr>
        <w:t>The following restrictions apply to a commercial driver’s license:</w:t>
      </w:r>
    </w:p>
    <w:p>
      <w:pPr>
        <w:spacing w:before="0" w:after="0"/>
        <w:ind w:left="120"/>
        <w:jc w:val="both"/>
      </w:pPr>
      <w:r>
        <w:rPr>
          <w:rFonts w:ascii="Times New Roman" w:hAnsi="Times New Roman"/>
          <w:b w:val="false"/>
          <w:i w:val="false"/>
          <w:color w:val="000000"/>
          <w:sz w:val="22"/>
        </w:rPr>
        <w:t>E—No manual transmission equipped CMV</w:t>
      </w:r>
    </w:p>
    <w:p>
      <w:pPr>
        <w:spacing w:before="0" w:after="0"/>
        <w:ind w:left="120"/>
        <w:jc w:val="both"/>
      </w:pPr>
      <w:r>
        <w:rPr>
          <w:rFonts w:ascii="Times New Roman" w:hAnsi="Times New Roman"/>
          <w:b w:val="false"/>
          <w:i w:val="false"/>
          <w:color w:val="000000"/>
          <w:sz w:val="22"/>
        </w:rPr>
        <w:t>K—Intrastate only</w:t>
      </w:r>
    </w:p>
    <w:p>
      <w:pPr>
        <w:spacing w:before="0" w:after="0"/>
        <w:ind w:left="120"/>
        <w:jc w:val="both"/>
      </w:pPr>
      <w:r>
        <w:rPr>
          <w:rFonts w:ascii="Times New Roman" w:hAnsi="Times New Roman"/>
          <w:b w:val="false"/>
          <w:i w:val="false"/>
          <w:color w:val="000000"/>
          <w:sz w:val="22"/>
        </w:rPr>
        <w:t>L—No air brake equipped CMV</w:t>
      </w:r>
    </w:p>
    <w:p>
      <w:pPr>
        <w:spacing w:before="0" w:after="0"/>
        <w:ind w:left="120"/>
        <w:jc w:val="both"/>
      </w:pPr>
      <w:r>
        <w:rPr>
          <w:rFonts w:ascii="Times New Roman" w:hAnsi="Times New Roman"/>
          <w:b w:val="false"/>
          <w:i w:val="false"/>
          <w:color w:val="000000"/>
          <w:sz w:val="22"/>
        </w:rPr>
        <w:t>M—No Class A passenger vehicle</w:t>
      </w:r>
    </w:p>
    <w:p>
      <w:pPr>
        <w:spacing w:before="0" w:after="0"/>
        <w:ind w:left="120"/>
        <w:jc w:val="both"/>
      </w:pPr>
      <w:r>
        <w:rPr>
          <w:rFonts w:ascii="Times New Roman" w:hAnsi="Times New Roman"/>
          <w:b w:val="false"/>
          <w:i w:val="false"/>
          <w:color w:val="000000"/>
          <w:sz w:val="22"/>
        </w:rPr>
        <w:t>N—No Class A and B passenger vehicle</w:t>
      </w:r>
    </w:p>
    <w:p>
      <w:pPr>
        <w:spacing w:before="0" w:after="0"/>
        <w:ind w:left="120"/>
        <w:jc w:val="both"/>
      </w:pPr>
      <w:r>
        <w:rPr>
          <w:rFonts w:ascii="Times New Roman" w:hAnsi="Times New Roman"/>
          <w:b w:val="false"/>
          <w:i w:val="false"/>
          <w:color w:val="000000"/>
          <w:sz w:val="22"/>
        </w:rPr>
        <w:t>O—No tractor trailer CMV</w:t>
      </w:r>
    </w:p>
    <w:p>
      <w:pPr>
        <w:spacing w:before="0" w:after="0"/>
        <w:ind w:left="120"/>
        <w:jc w:val="both"/>
      </w:pPr>
      <w:r>
        <w:rPr>
          <w:rFonts w:ascii="Times New Roman" w:hAnsi="Times New Roman"/>
          <w:b w:val="false"/>
          <w:i w:val="false"/>
          <w:color w:val="000000"/>
          <w:sz w:val="22"/>
        </w:rPr>
        <w:t>V—Medical variance</w:t>
      </w:r>
    </w:p>
    <w:p>
      <w:pPr>
        <w:spacing w:before="0" w:after="0"/>
        <w:ind w:left="120"/>
        <w:jc w:val="both"/>
      </w:pPr>
      <w:r>
        <w:rPr>
          <w:rFonts w:ascii="Times New Roman" w:hAnsi="Times New Roman"/>
          <w:b w:val="false"/>
          <w:i w:val="false"/>
          <w:color w:val="000000"/>
          <w:sz w:val="22"/>
        </w:rPr>
        <w:t>Z—No full air brake equipped CMV</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605.7(4)</w:t>
      </w:r>
      <w:r>
        <w:rPr>
          <w:rFonts w:ascii="Times New Roman" w:hAnsi="Times New Roman"/>
          <w:b w:val="false"/>
          <w:i w:val="false"/>
          <w:color w:val="000000"/>
          <w:sz w:val="22"/>
        </w:rPr>
        <w:t> </w:t>
      </w:r>
      <w:r>
        <w:rPr>
          <w:rFonts w:ascii="Times New Roman" w:hAnsi="Times New Roman"/>
          <w:b w:val="false"/>
          <w:i/>
          <w:color w:val="000000"/>
          <w:sz w:val="22"/>
        </w:rPr>
        <w:t xml:space="preserve">For a commercial learner’s permit. </w:t>
      </w:r>
      <w:r>
        <w:rPr>
          <w:rFonts w:ascii="Times New Roman" w:hAnsi="Times New Roman"/>
          <w:b w:val="false"/>
          <w:i w:val="false"/>
          <w:color w:val="000000"/>
          <w:sz w:val="22"/>
        </w:rPr>
        <w:t>The following restrictions apply to a commercial learner’s permit:</w:t>
      </w:r>
    </w:p>
    <w:p>
      <w:pPr>
        <w:spacing w:before="0" w:after="0"/>
        <w:ind w:left="120"/>
        <w:jc w:val="both"/>
      </w:pPr>
      <w:r>
        <w:rPr>
          <w:rFonts w:ascii="Times New Roman" w:hAnsi="Times New Roman"/>
          <w:b w:val="false"/>
          <w:i w:val="false"/>
          <w:color w:val="000000"/>
          <w:sz w:val="22"/>
        </w:rPr>
        <w:t>K—Intrastate only</w:t>
      </w:r>
    </w:p>
    <w:p>
      <w:pPr>
        <w:spacing w:before="0" w:after="0"/>
        <w:ind w:left="120"/>
        <w:jc w:val="both"/>
      </w:pPr>
      <w:r>
        <w:rPr>
          <w:rFonts w:ascii="Times New Roman" w:hAnsi="Times New Roman"/>
          <w:b w:val="false"/>
          <w:i w:val="false"/>
          <w:color w:val="000000"/>
          <w:sz w:val="22"/>
        </w:rPr>
        <w:t>L—No air brake-equipped CMV</w:t>
      </w:r>
    </w:p>
    <w:p>
      <w:pPr>
        <w:spacing w:before="0" w:after="0"/>
        <w:ind w:left="120"/>
        <w:jc w:val="both"/>
      </w:pPr>
      <w:r>
        <w:rPr>
          <w:rFonts w:ascii="Times New Roman" w:hAnsi="Times New Roman"/>
          <w:b w:val="false"/>
          <w:i w:val="false"/>
          <w:color w:val="000000"/>
          <w:sz w:val="22"/>
        </w:rPr>
        <w:t>M—No Class A passenger vehicle</w:t>
      </w:r>
    </w:p>
    <w:p>
      <w:pPr>
        <w:spacing w:before="0" w:after="0"/>
        <w:ind w:left="120"/>
        <w:jc w:val="both"/>
      </w:pPr>
      <w:r>
        <w:rPr>
          <w:rFonts w:ascii="Times New Roman" w:hAnsi="Times New Roman"/>
          <w:b w:val="false"/>
          <w:i w:val="false"/>
          <w:color w:val="000000"/>
          <w:sz w:val="22"/>
        </w:rPr>
        <w:t>N—No Class A and B passenger vehicle</w:t>
      </w:r>
    </w:p>
    <w:p>
      <w:pPr>
        <w:spacing w:before="0" w:after="0"/>
        <w:ind w:left="120"/>
        <w:jc w:val="both"/>
      </w:pPr>
      <w:r>
        <w:rPr>
          <w:rFonts w:ascii="Times New Roman" w:hAnsi="Times New Roman"/>
          <w:b w:val="false"/>
          <w:i w:val="false"/>
          <w:color w:val="000000"/>
          <w:sz w:val="22"/>
        </w:rPr>
        <w:t>P—No passengers in CMV bus—Medical variance</w:t>
      </w:r>
    </w:p>
    <w:p>
      <w:pPr>
        <w:spacing w:before="0" w:after="0"/>
        <w:ind w:left="120"/>
        <w:jc w:val="both"/>
      </w:pPr>
      <w:r>
        <w:rPr>
          <w:rFonts w:ascii="Times New Roman" w:hAnsi="Times New Roman"/>
          <w:b w:val="false"/>
          <w:i w:val="false"/>
          <w:color w:val="000000"/>
          <w:sz w:val="22"/>
        </w:rPr>
        <w:t>X—No cargo in CMV tank vehicle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605.7(5)</w:t>
      </w:r>
      <w:r>
        <w:rPr>
          <w:rFonts w:ascii="Times New Roman" w:hAnsi="Times New Roman"/>
          <w:b w:val="false"/>
          <w:i w:val="false"/>
          <w:color w:val="000000"/>
          <w:sz w:val="22"/>
        </w:rPr>
        <w:t> </w:t>
      </w:r>
      <w:r>
        <w:rPr>
          <w:rFonts w:ascii="Times New Roman" w:hAnsi="Times New Roman"/>
          <w:b w:val="false"/>
          <w:i/>
          <w:color w:val="000000"/>
          <w:sz w:val="22"/>
        </w:rPr>
        <w:t xml:space="preserve">Special licenses. </w:t>
      </w:r>
      <w:r>
        <w:rPr>
          <w:rFonts w:ascii="Times New Roman" w:hAnsi="Times New Roman"/>
          <w:b w:val="false"/>
          <w:i w:val="false"/>
          <w:color w:val="000000"/>
          <w:sz w:val="22"/>
        </w:rPr>
        <w:t>A numbered restriction will designate a special driver’s license using these codes:</w:t>
      </w:r>
    </w:p>
    <w:p>
      <w:pPr>
        <w:spacing w:before="0" w:after="0"/>
        <w:ind w:left="120"/>
        <w:jc w:val="both"/>
      </w:pPr>
      <w:r>
        <w:rPr>
          <w:rFonts w:ascii="Times New Roman" w:hAnsi="Times New Roman"/>
          <w:b w:val="false"/>
          <w:i w:val="false"/>
          <w:color w:val="000000"/>
          <w:sz w:val="22"/>
        </w:rPr>
        <w:t>1—Motorcycle instruction permit</w:t>
      </w:r>
    </w:p>
    <w:p>
      <w:pPr>
        <w:spacing w:before="0" w:after="0"/>
        <w:ind w:left="120"/>
        <w:jc w:val="both"/>
      </w:pPr>
      <w:r>
        <w:rPr>
          <w:rFonts w:ascii="Times New Roman" w:hAnsi="Times New Roman"/>
          <w:b w:val="false"/>
          <w:i w:val="false"/>
          <w:color w:val="000000"/>
          <w:sz w:val="22"/>
        </w:rPr>
        <w:t>2—Noncommercial instruction permit (vehicle less than 16,001 gross vehicle weight rating)</w:t>
      </w:r>
    </w:p>
    <w:p>
      <w:pPr>
        <w:spacing w:before="0" w:after="0"/>
        <w:ind w:left="120"/>
        <w:jc w:val="both"/>
      </w:pPr>
      <w:r>
        <w:rPr>
          <w:rFonts w:ascii="Times New Roman" w:hAnsi="Times New Roman"/>
          <w:b w:val="false"/>
          <w:i w:val="false"/>
          <w:color w:val="000000"/>
          <w:sz w:val="22"/>
        </w:rPr>
        <w:t>3—Commercial learner’s permit</w:t>
      </w:r>
    </w:p>
    <w:p>
      <w:pPr>
        <w:spacing w:before="0" w:after="0"/>
        <w:ind w:left="120"/>
        <w:jc w:val="both"/>
      </w:pPr>
      <w:r>
        <w:rPr>
          <w:rFonts w:ascii="Times New Roman" w:hAnsi="Times New Roman"/>
          <w:b w:val="false"/>
          <w:i w:val="false"/>
          <w:color w:val="000000"/>
          <w:sz w:val="22"/>
        </w:rPr>
        <w:t>5—Motorized bicycle license</w:t>
      </w:r>
    </w:p>
    <w:p>
      <w:pPr>
        <w:spacing w:before="0" w:after="0"/>
        <w:ind w:left="120"/>
        <w:jc w:val="both"/>
      </w:pPr>
      <w:r>
        <w:rPr>
          <w:rFonts w:ascii="Times New Roman" w:hAnsi="Times New Roman"/>
          <w:b w:val="false"/>
          <w:i w:val="false"/>
          <w:color w:val="000000"/>
          <w:sz w:val="22"/>
        </w:rPr>
        <w:t>6—Minor’s restricted work license</w:t>
      </w:r>
    </w:p>
    <w:p>
      <w:pPr>
        <w:spacing w:before="0" w:after="0"/>
        <w:ind w:left="120"/>
        <w:jc w:val="both"/>
      </w:pPr>
      <w:r>
        <w:rPr>
          <w:rFonts w:ascii="Times New Roman" w:hAnsi="Times New Roman"/>
          <w:b w:val="false"/>
          <w:i w:val="false"/>
          <w:color w:val="000000"/>
          <w:sz w:val="22"/>
        </w:rPr>
        <w:t>7—Special minor’s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605.7(6)</w:t>
      </w:r>
      <w:r>
        <w:rPr>
          <w:rFonts w:ascii="Times New Roman" w:hAnsi="Times New Roman"/>
          <w:b w:val="false"/>
          <w:i w:val="false"/>
          <w:color w:val="000000"/>
          <w:sz w:val="22"/>
        </w:rPr>
        <w:t> </w:t>
      </w:r>
      <w:r>
        <w:rPr>
          <w:rFonts w:ascii="Times New Roman" w:hAnsi="Times New Roman"/>
          <w:b w:val="false"/>
          <w:i/>
          <w:color w:val="000000"/>
          <w:sz w:val="22"/>
        </w:rPr>
        <w:t xml:space="preserve">Additional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Recall of current licensees. </w:t>
      </w:r>
      <w:r>
        <w:rPr>
          <w:rFonts w:ascii="Times New Roman" w:hAnsi="Times New Roman"/>
          <w:b w:val="false"/>
          <w:i w:val="false"/>
          <w:color w:val="000000"/>
          <w:sz w:val="22"/>
        </w:rPr>
        <w:t>Based on information disclosed by the applicant to the department, or the department’s knowledge of a licensee’s physical or mental condition, the department may issue a restriction requiring a person to complete additional examination(s) or submit additional information at a specified time to retain a valid license. The department may require a medical report to be submitted. The department will send Form 430511 as a reminder to submit the requested information or appear for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Loss of consciousness or voluntary control.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If a person is licensed pursuant to subparagraph </w:t>
      </w:r>
      <w:hyperlink r:id="rId53">
        <w:r>
          <w:rPr>
            <w:rStyle w:val="Hyperlink"/>
            <w:rFonts w:ascii="Times New Roman" w:hAnsi="Times New Roman"/>
            <w:b w:val="false"/>
            <w:i w:val="false"/>
            <w:color w:val="000000"/>
            <w:sz w:val="22"/>
          </w:rPr>
          <w:t>605.3(1)</w:t>
        </w:r>
      </w:hyperlink>
      <w:r>
        <w:rPr>
          <w:rFonts w:ascii="Times New Roman" w:hAnsi="Times New Roman"/>
          <w:b w:val="false"/>
          <w:i/>
          <w:color w:val="000000"/>
          <w:sz w:val="22"/>
        </w:rPr>
        <w:t>“d”</w:t>
      </w:r>
      <w:r>
        <w:rPr>
          <w:rFonts w:ascii="Times New Roman" w:hAnsi="Times New Roman"/>
          <w:b w:val="false"/>
          <w:i w:val="false"/>
          <w:color w:val="000000"/>
          <w:sz w:val="22"/>
        </w:rPr>
        <w:t xml:space="preserve">(1), </w:t>
      </w:r>
      <w:r>
        <w:rPr>
          <w:rFonts w:ascii="Times New Roman" w:hAnsi="Times New Roman"/>
          <w:b w:val="false"/>
          <w:i/>
          <w:color w:val="000000"/>
          <w:sz w:val="22"/>
        </w:rPr>
        <w:t>“d”</w:t>
      </w:r>
      <w:r>
        <w:rPr>
          <w:rFonts w:ascii="Times New Roman" w:hAnsi="Times New Roman"/>
          <w:b w:val="false"/>
          <w:i w:val="false"/>
          <w:color w:val="000000"/>
          <w:sz w:val="22"/>
        </w:rPr>
        <w:t xml:space="preserve">(2) or </w:t>
      </w:r>
      <w:r>
        <w:rPr>
          <w:rFonts w:ascii="Times New Roman" w:hAnsi="Times New Roman"/>
          <w:b w:val="false"/>
          <w:i/>
          <w:color w:val="000000"/>
          <w:sz w:val="22"/>
        </w:rPr>
        <w:t>“d”</w:t>
      </w:r>
      <w:r>
        <w:rPr>
          <w:rFonts w:ascii="Times New Roman" w:hAnsi="Times New Roman"/>
          <w:b w:val="false"/>
          <w:i w:val="false"/>
          <w:color w:val="000000"/>
          <w:sz w:val="22"/>
        </w:rPr>
        <w:t>(3), the department will issue the first driver’s license following an episode of loss of consciousness or voluntary control with a restriction stating that a medical report is required in six months.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this medical report shows that the person has been free of an episode of loss of consciousness or voluntary control since the previous medical report and the report recommends licensing, the department will issue a duplicate driver’s license with a restriction requiring a medical report in two years or at renewal if the license expires in less than two years. At each renewal accompanied by a favorable medical report, the department will issue a two-year driver’s license with the same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department may remove the medical report requirement and issue a full-term driver’s license. Consideration for removal of the requirement may include but is not limited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Recommendation by a qualified medical professional.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latest medical information on file with the department indicates that either of the following are true: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person has not had an episode of loss of consciousness or voluntary control and has not been prescribed medications to control such episodes during the 24-month period immediately preceding application for a license.</w:t>
      </w:r>
    </w:p>
    <w:p>
      <w:pPr>
        <w:spacing w:before="0" w:after="0"/>
        <w:ind w:left="120"/>
        <w:jc w:val="both"/>
      </w:pPr>
      <w:r>
        <w:rPr>
          <w:rFonts w:ascii="Times New Roman" w:hAnsi="Times New Roman"/>
          <w:b w:val="false"/>
          <w:i w:val="false"/>
          <w:color w:val="000000"/>
          <w:sz w:val="22"/>
        </w:rPr>
        <w:t>     ●   </w:t>
      </w:r>
      <w:r>
        <w:rPr>
          <w:rFonts w:ascii="Times New Roman" w:hAnsi="Times New Roman"/>
          <w:b w:val="false"/>
          <w:i w:val="false"/>
          <w:color w:val="000000"/>
          <w:sz w:val="22"/>
        </w:rPr>
        <w:t>The person has not had an episode of loss of consciousness or voluntary control during the ten-year period immediately preceding application for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Financial responsibility. </w:t>
      </w:r>
      <w:r>
        <w:rPr>
          <w:rFonts w:ascii="Times New Roman" w:hAnsi="Times New Roman"/>
          <w:b w:val="false"/>
          <w:i w:val="false"/>
          <w:color w:val="000000"/>
          <w:sz w:val="22"/>
        </w:rPr>
        <w:t xml:space="preserve">When a person is required under Iowa Code chapter </w:t>
      </w:r>
      <w:hyperlink r:id="rId54">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to have future proof of financial responsibility on file, the license restriction will read: “SR required.” The license will be valid only for the operation of motor vehicles covered by the class of license issued and by the proof of financial responsibility filed.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Vision restriction. </w:t>
      </w:r>
      <w:r>
        <w:rPr>
          <w:rFonts w:ascii="Times New Roman" w:hAnsi="Times New Roman"/>
          <w:b w:val="false"/>
          <w:i w:val="false"/>
          <w:color w:val="000000"/>
          <w:sz w:val="22"/>
        </w:rPr>
        <w:t xml:space="preserve">Restrictions relating to vision are addressed in </w:t>
      </w:r>
      <w:hyperlink r:id="rId55">
        <w:r>
          <w:rPr>
            <w:rStyle w:val="Hyperlink"/>
            <w:rFonts w:ascii="Times New Roman" w:hAnsi="Times New Roman"/>
            <w:b w:val="false"/>
            <w:i w:val="false"/>
            <w:color w:val="000000"/>
            <w:sz w:val="22"/>
          </w:rPr>
          <w:t>761—Chapter 604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56">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and sections </w:t>
      </w:r>
      <w:hyperlink r:id="rId57">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58">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59">
        <w:r>
          <w:rPr>
            <w:rStyle w:val="Hyperlink"/>
            <w:rFonts w:ascii="Times New Roman" w:hAnsi="Times New Roman"/>
            <w:b w:val="false"/>
            <w:i w:val="false"/>
            <w:color w:val="000000"/>
            <w:sz w:val="22"/>
          </w:rPr>
          <w:t>321.180</w:t>
        </w:r>
      </w:hyperlink>
      <w:r>
        <w:rPr>
          <w:rFonts w:ascii="Times New Roman" w:hAnsi="Times New Roman"/>
          <w:b w:val="false"/>
          <w:i w:val="false"/>
          <w:color w:val="000000"/>
          <w:sz w:val="22"/>
        </w:rPr>
        <w:t xml:space="preserve"> through </w:t>
      </w:r>
      <w:hyperlink r:id="rId60">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t>
      </w:r>
      <w:hyperlink r:id="rId61">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62">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w:t>
      </w:r>
      <w:hyperlink r:id="rId63">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64">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w:t>
      </w:r>
      <w:hyperlink r:id="rId65">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w:t>
      </w:r>
      <w:hyperlink r:id="rId66">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w:t>
      </w:r>
      <w:hyperlink r:id="rId67">
        <w:r>
          <w:rPr>
            <w:rStyle w:val="Hyperlink"/>
            <w:rFonts w:ascii="Times New Roman" w:hAnsi="Times New Roman"/>
            <w:b w:val="false"/>
            <w:i w:val="false"/>
            <w:color w:val="000000"/>
            <w:sz w:val="22"/>
          </w:rPr>
          <w:t>321J.4</w:t>
        </w:r>
      </w:hyperlink>
      <w:r>
        <w:rPr>
          <w:rFonts w:ascii="Times New Roman" w:hAnsi="Times New Roman"/>
          <w:b w:val="false"/>
          <w:i w:val="false"/>
          <w:color w:val="000000"/>
          <w:sz w:val="22"/>
        </w:rPr>
        <w:t xml:space="preserve"> and </w:t>
      </w:r>
      <w:hyperlink r:id="rId68">
        <w:r>
          <w:rPr>
            <w:rStyle w:val="Hyperlink"/>
            <w:rFonts w:ascii="Times New Roman" w:hAnsi="Times New Roman"/>
            <w:b w:val="false"/>
            <w:i w:val="false"/>
            <w:color w:val="000000"/>
            <w:sz w:val="22"/>
          </w:rPr>
          <w:t>321J.20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761—605.8</w:t>
      </w:r>
      <w:r>
        <w:rPr>
          <w:rFonts w:ascii="Times New Roman" w:hAnsi="Times New Roman"/>
          <w:b/>
          <w:i w:val="false"/>
          <w:color w:val="000000"/>
          <w:sz w:val="22"/>
        </w:rPr>
        <w:t xml:space="preserve">(321) </w:t>
      </w:r>
      <w:r>
        <w:rPr>
          <w:rFonts w:ascii="Times New Roman" w:hAnsi="Times New Roman"/>
          <w:b/>
          <w:i w:val="false"/>
          <w:color w:val="000000"/>
          <w:sz w:val="22"/>
        </w:rPr>
        <w:t xml:space="preserve">Credential term for a foreign national temporarily present in this state. </w:t>
      </w:r>
      <w:r>
        <w:rPr>
          <w:rFonts w:ascii="Times New Roman" w:hAnsi="Times New Roman"/>
          <w:b w:val="false"/>
          <w:i w:val="false"/>
          <w:color w:val="000000"/>
          <w:sz w:val="22"/>
        </w:rPr>
        <w:t>A driver’s license or nonoperator’s identification card issued to a person who is a foreign national who is temporarily present in this state shall be issued only for the length of time the person is authorized to be present in the United States as verified by the department, not to exceed two years, pursuant to 6 CFR Section 37.21 effective January 1, 2024. However, if the person’s lawful status has no expiration date, the driver’s license will be issued for a period of no longer than one year.</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69">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the REAL ID Act of 2005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30301 note) as amended by the REAL ID Modernization Act, H.R. 133, Division U, Title X; and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761—605.9</w:t>
      </w:r>
      <w:r>
        <w:rPr>
          <w:rFonts w:ascii="Times New Roman" w:hAnsi="Times New Roman"/>
          <w:b/>
          <w:i w:val="false"/>
          <w:color w:val="000000"/>
          <w:sz w:val="22"/>
        </w:rPr>
        <w:t xml:space="preserve">(307,321) </w:t>
      </w:r>
      <w:r>
        <w:rPr>
          <w:rFonts w:ascii="Times New Roman" w:hAnsi="Times New Roman"/>
          <w:b/>
          <w:i w:val="false"/>
          <w:color w:val="000000"/>
          <w:sz w:val="22"/>
        </w:rPr>
        <w:t xml:space="preserve">Fees for driver’s licenses. </w:t>
      </w:r>
      <w:r>
        <w:rPr>
          <w:rFonts w:ascii="Times New Roman" w:hAnsi="Times New Roman"/>
          <w:b w:val="false"/>
          <w:i w:val="false"/>
          <w:color w:val="000000"/>
          <w:sz w:val="22"/>
        </w:rPr>
        <w:t xml:space="preserve">Fees for driver’s licenses are specified in Iowa Code section </w:t>
      </w:r>
      <w:hyperlink r:id="rId70">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and this chapter. A license fee may be paid by cash, check, credit card, debit card, money order or an escrow account if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605.9(1)</w:t>
      </w:r>
      <w:r>
        <w:rPr>
          <w:rFonts w:ascii="Times New Roman" w:hAnsi="Times New Roman"/>
          <w:b w:val="false"/>
          <w:i w:val="false"/>
          <w:color w:val="000000"/>
          <w:sz w:val="22"/>
        </w:rPr>
        <w:t> </w:t>
      </w:r>
      <w:r>
        <w:rPr>
          <w:rFonts w:ascii="Times New Roman" w:hAnsi="Times New Roman"/>
          <w:b w:val="false"/>
          <w:i w:val="false"/>
          <w:color w:val="000000"/>
          <w:sz w:val="22"/>
        </w:rPr>
        <w:t>If the payment is by check, the check shall be for the exact amount of the fee and payable to: Treasurer, State of Iowa. An exception may be made when a traveler’s check is presented.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605.9(2)</w:t>
      </w:r>
      <w:r>
        <w:rPr>
          <w:rFonts w:ascii="Times New Roman" w:hAnsi="Times New Roman"/>
          <w:b w:val="false"/>
          <w:i w:val="false"/>
          <w:color w:val="000000"/>
          <w:sz w:val="22"/>
        </w:rPr>
        <w:t> </w:t>
      </w:r>
      <w:r>
        <w:rPr>
          <w:rFonts w:ascii="Times New Roman" w:hAnsi="Times New Roman"/>
          <w:b w:val="false"/>
          <w:i w:val="false"/>
          <w:color w:val="000000"/>
          <w:sz w:val="22"/>
        </w:rPr>
        <w:t>One payment method may be used to pay fees for several persons, such as members of a family or employees of a business firm. One payment method may pay all fees involved, such as the license fee and the reinstatement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605.9(3)</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is on federal active duty or state active duty, a veteran with a permanent service-connected disability rating of 100 percent or a veteran who was issued an honorable discharge or general discharge under honorable conditions is eligible for a waiver of the fees for a driver’s license as provided in Iowa Code section </w:t>
      </w:r>
      <w:hyperlink r:id="rId71">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An eligible applicant may qualify for more than one fee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may provide proof of eligibility for the fee waiver to the department in one of the following ways as applicable to the applicant’s active duty, veteran or disability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An active duty service member is to present an unexpired Armed Forces of the United States Geneva Conventions identification card, also known as a common access card (CAC), issued by the U.S. Department of Defense under </w:t>
      </w:r>
      <w:r>
        <w:rPr>
          <w:rFonts w:ascii="Times New Roman" w:hAnsi="Times New Roman"/>
          <w:b w:val="false"/>
          <w:i w:val="false"/>
          <w:color w:val="000000"/>
          <w:sz w:val="22"/>
        </w:rPr>
        <w:t>32 CFR Part 161</w:t>
      </w:r>
      <w:r>
        <w:rPr>
          <w:rFonts w:ascii="Times New Roman" w:hAnsi="Times New Roman"/>
          <w:b w:val="false"/>
          <w:i w:val="false"/>
          <w:color w:val="000000"/>
          <w:sz w:val="22"/>
        </w:rPr>
        <w:t xml:space="preserve">. A federal or state military member who is a reservist may instead present an unexpired Uniformed Services identification card (USID) issued by the U.S. Department of Defense under </w:t>
      </w:r>
      <w:r>
        <w:rPr>
          <w:rFonts w:ascii="Times New Roman" w:hAnsi="Times New Roman"/>
          <w:b w:val="false"/>
          <w:i w:val="false"/>
          <w:color w:val="000000"/>
          <w:sz w:val="22"/>
        </w:rPr>
        <w:t>32 CFR Part 161</w:t>
      </w:r>
      <w:r>
        <w:rPr>
          <w:rFonts w:ascii="Times New Roman" w:hAnsi="Times New Roman"/>
          <w:b w:val="false"/>
          <w:i w:val="false"/>
          <w:color w:val="000000"/>
          <w:sz w:val="22"/>
        </w:rPr>
        <w:t xml:space="preserve"> indicating a reserve affiliation.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An applicant with a permanent service-connected disability rating of 100 percent is to present proof that the applicant is the subject of a certification of disability of 100 percent from the U.S.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applicant who has been discharged from military service is to present certification of release or discharge from active duty, DD Form 214, indicating that the applicant received an honorable discharge or a general discharge under honorable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qualifies for the fee waiver under subparagraph </w:t>
      </w:r>
      <w:hyperlink r:id="rId72">
        <w:r>
          <w:rPr>
            <w:rStyle w:val="Hyperlink"/>
            <w:rFonts w:ascii="Times New Roman" w:hAnsi="Times New Roman"/>
            <w:b w:val="false"/>
            <w:i w:val="false"/>
            <w:color w:val="000000"/>
            <w:sz w:val="22"/>
          </w:rPr>
          <w:t>605.9(3)</w:t>
        </w:r>
      </w:hyperlink>
      <w:r>
        <w:rPr>
          <w:rFonts w:ascii="Times New Roman" w:hAnsi="Times New Roman"/>
          <w:b w:val="false"/>
          <w:i/>
          <w:color w:val="000000"/>
          <w:sz w:val="22"/>
        </w:rPr>
        <w:t>“a”</w:t>
      </w:r>
      <w:r>
        <w:rPr>
          <w:rFonts w:ascii="Times New Roman" w:hAnsi="Times New Roman"/>
          <w:b w:val="false"/>
          <w:i w:val="false"/>
          <w:color w:val="000000"/>
          <w:sz w:val="22"/>
        </w:rPr>
        <w:t xml:space="preserve">(2) or </w:t>
      </w:r>
      <w:hyperlink r:id="rId73">
        <w:r>
          <w:rPr>
            <w:rStyle w:val="Hyperlink"/>
            <w:rFonts w:ascii="Times New Roman" w:hAnsi="Times New Roman"/>
            <w:b w:val="false"/>
            <w:i w:val="false"/>
            <w:color w:val="000000"/>
            <w:sz w:val="22"/>
          </w:rPr>
          <w:t>761—subparagraph 604.10</w:t>
        </w:r>
      </w:hyperlink>
      <w:r>
        <w:rPr>
          <w:rFonts w:ascii="Times New Roman" w:hAnsi="Times New Roman"/>
          <w:b w:val="false"/>
          <w:i w:val="false"/>
          <w:color w:val="000000"/>
          <w:sz w:val="22"/>
        </w:rPr>
        <w:t>(3)</w:t>
      </w:r>
      <w:r>
        <w:rPr>
          <w:rFonts w:ascii="Times New Roman" w:hAnsi="Times New Roman"/>
          <w:b w:val="false"/>
          <w:i/>
          <w:color w:val="000000"/>
          <w:sz w:val="22"/>
        </w:rPr>
        <w:t>“a”</w:t>
      </w:r>
      <w:r>
        <w:rPr>
          <w:rFonts w:ascii="Times New Roman" w:hAnsi="Times New Roman"/>
          <w:b w:val="false"/>
          <w:i w:val="false"/>
          <w:color w:val="000000"/>
          <w:sz w:val="22"/>
        </w:rPr>
        <w:t>(3) or both subparagraphs is to submit proof of eligibility only once unless the proof is invalid or not accepted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qualifies for the fee waiver under subparagraph </w:t>
      </w:r>
      <w:hyperlink r:id="rId74">
        <w:r>
          <w:rPr>
            <w:rStyle w:val="Hyperlink"/>
            <w:rFonts w:ascii="Times New Roman" w:hAnsi="Times New Roman"/>
            <w:b w:val="false"/>
            <w:i w:val="false"/>
            <w:color w:val="000000"/>
            <w:sz w:val="22"/>
          </w:rPr>
          <w:t>605.9(3)</w:t>
        </w:r>
        <w:r>
          <w:rPr>
            <w:rFonts w:ascii="Times New Roman" w:hAnsi="Times New Roman"/>
            <w:b w:val="false"/>
            <w:i/>
            <w:color w:val="000000"/>
            <w:sz w:val="22"/>
          </w:rPr>
          <w:t>“a”</w:t>
        </w:r>
        <w:r>
          <w:rPr>
            <w:rFonts w:ascii="Times New Roman" w:hAnsi="Times New Roman"/>
            <w:b w:val="false"/>
            <w:i w:val="false"/>
            <w:color w:val="000000"/>
            <w:sz w:val="22"/>
          </w:rPr>
          <w:t>(2)</w:t>
        </w:r>
      </w:hyperlink>
      <w:r>
        <w:rPr>
          <w:rFonts w:ascii="Times New Roman" w:hAnsi="Times New Roman"/>
          <w:b w:val="false"/>
          <w:i w:val="false"/>
          <w:color w:val="000000"/>
          <w:sz w:val="22"/>
        </w:rPr>
        <w:t xml:space="preserve"> or </w:t>
      </w:r>
      <w:r>
        <w:rPr>
          <w:rFonts w:ascii="Times New Roman" w:hAnsi="Times New Roman"/>
          <w:b w:val="false"/>
          <w:i/>
          <w:color w:val="000000"/>
          <w:sz w:val="22"/>
        </w:rPr>
        <w:t>“a”</w:t>
      </w:r>
      <w:r>
        <w:rPr>
          <w:rFonts w:ascii="Times New Roman" w:hAnsi="Times New Roman"/>
          <w:b w:val="false"/>
          <w:i w:val="false"/>
          <w:color w:val="000000"/>
          <w:sz w:val="22"/>
        </w:rPr>
        <w:t xml:space="preserve">(3) or both subparagraphs, who has presented proof of eligibility to the department during a previous license issuance transaction and who is otherwise eligible under subrule </w:t>
      </w:r>
      <w:hyperlink r:id="rId75">
        <w:r>
          <w:rPr>
            <w:rStyle w:val="Hyperlink"/>
            <w:rFonts w:ascii="Times New Roman" w:hAnsi="Times New Roman"/>
            <w:b w:val="false"/>
            <w:i w:val="false"/>
            <w:color w:val="000000"/>
            <w:sz w:val="22"/>
          </w:rPr>
          <w:t>605.15(6)</w:t>
        </w:r>
      </w:hyperlink>
      <w:r>
        <w:rPr>
          <w:rFonts w:ascii="Times New Roman" w:hAnsi="Times New Roman"/>
          <w:b w:val="false"/>
          <w:i w:val="false"/>
          <w:color w:val="000000"/>
          <w:sz w:val="22"/>
        </w:rPr>
        <w:t xml:space="preserve"> or </w:t>
      </w:r>
      <w:hyperlink r:id="rId76">
        <w:r>
          <w:rPr>
            <w:rStyle w:val="Hyperlink"/>
            <w:rFonts w:ascii="Times New Roman" w:hAnsi="Times New Roman"/>
            <w:b w:val="false"/>
            <w:i w:val="false"/>
            <w:color w:val="000000"/>
            <w:sz w:val="22"/>
          </w:rPr>
          <w:t>605.15(7)</w:t>
        </w:r>
      </w:hyperlink>
      <w:r>
        <w:rPr>
          <w:rFonts w:ascii="Times New Roman" w:hAnsi="Times New Roman"/>
          <w:b w:val="false"/>
          <w:i w:val="false"/>
          <w:color w:val="000000"/>
          <w:sz w:val="22"/>
        </w:rPr>
        <w:t xml:space="preserve"> to renew the applicant’s driver’s license electronically will be waived from the applicable fees during the electronic renewal. An applicant who qualifies under subparagraph </w:t>
      </w:r>
      <w:hyperlink r:id="rId77">
        <w:r>
          <w:rPr>
            <w:rStyle w:val="Hyperlink"/>
            <w:rFonts w:ascii="Times New Roman" w:hAnsi="Times New Roman"/>
            <w:b w:val="false"/>
            <w:i w:val="false"/>
            <w:color w:val="000000"/>
            <w:sz w:val="22"/>
          </w:rPr>
          <w:t>605.9(3)</w:t>
        </w:r>
        <w:r>
          <w:rPr>
            <w:rFonts w:ascii="Times New Roman" w:hAnsi="Times New Roman"/>
            <w:b w:val="false"/>
            <w:i/>
            <w:color w:val="000000"/>
            <w:sz w:val="22"/>
          </w:rPr>
          <w:t>“a”</w:t>
        </w:r>
        <w:r>
          <w:rPr>
            <w:rFonts w:ascii="Times New Roman" w:hAnsi="Times New Roman"/>
            <w:b w:val="false"/>
            <w:i w:val="false"/>
            <w:color w:val="000000"/>
            <w:sz w:val="22"/>
          </w:rPr>
          <w:t>(1)</w:t>
        </w:r>
      </w:hyperlink>
      <w:r>
        <w:rPr>
          <w:rFonts w:ascii="Times New Roman" w:hAnsi="Times New Roman"/>
          <w:b w:val="false"/>
          <w:i w:val="false"/>
          <w:color w:val="000000"/>
          <w:sz w:val="22"/>
        </w:rPr>
        <w:t xml:space="preserve"> will not receive the applicable fee waivers if the applicant chooses to renew the driver’s license electronically under subrule </w:t>
      </w:r>
      <w:hyperlink r:id="rId78">
        <w:r>
          <w:rPr>
            <w:rStyle w:val="Hyperlink"/>
            <w:rFonts w:ascii="Times New Roman" w:hAnsi="Times New Roman"/>
            <w:b w:val="false"/>
            <w:i w:val="false"/>
            <w:color w:val="000000"/>
            <w:sz w:val="22"/>
          </w:rPr>
          <w:t>605.15(6)</w:t>
        </w:r>
      </w:hyperlink>
      <w:r>
        <w:rPr>
          <w:rFonts w:ascii="Times New Roman" w:hAnsi="Times New Roman"/>
          <w:b w:val="false"/>
          <w:i w:val="false"/>
          <w:color w:val="000000"/>
          <w:sz w:val="22"/>
        </w:rPr>
        <w:t xml:space="preserve"> or </w:t>
      </w:r>
      <w:hyperlink r:id="rId79">
        <w:r>
          <w:rPr>
            <w:rStyle w:val="Hyperlink"/>
            <w:rFonts w:ascii="Times New Roman" w:hAnsi="Times New Roman"/>
            <w:b w:val="false"/>
            <w:i w:val="false"/>
            <w:color w:val="000000"/>
            <w:sz w:val="22"/>
          </w:rPr>
          <w:t>605.15(7)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81">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761—605.10</w:t>
      </w:r>
      <w:r>
        <w:rPr>
          <w:rFonts w:ascii="Times New Roman" w:hAnsi="Times New Roman"/>
          <w:b/>
          <w:i w:val="false"/>
          <w:color w:val="000000"/>
          <w:sz w:val="22"/>
        </w:rPr>
        <w:t xml:space="preserve">(307,321) </w:t>
      </w:r>
      <w:r>
        <w:rPr>
          <w:rFonts w:ascii="Times New Roman" w:hAnsi="Times New Roman"/>
          <w:b/>
          <w:i w:val="false"/>
          <w:color w:val="000000"/>
          <w:sz w:val="22"/>
        </w:rPr>
        <w:t xml:space="preserve">Duplicate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605.10(1)</w:t>
      </w:r>
      <w:r>
        <w:rPr>
          <w:rFonts w:ascii="Times New Roman" w:hAnsi="Times New Roman"/>
          <w:b w:val="false"/>
          <w:i w:val="false"/>
          <w:color w:val="000000"/>
          <w:sz w:val="22"/>
        </w:rPr>
        <w:t> </w:t>
      </w:r>
      <w:r>
        <w:rPr>
          <w:rFonts w:ascii="Times New Roman" w:hAnsi="Times New Roman"/>
          <w:b w:val="false"/>
          <w:i/>
          <w:color w:val="000000"/>
          <w:sz w:val="22"/>
        </w:rPr>
        <w:t xml:space="preserve">Lost, stolen or destroyed license. </w:t>
      </w:r>
      <w:r>
        <w:rPr>
          <w:rFonts w:ascii="Times New Roman" w:hAnsi="Times New Roman"/>
          <w:b w:val="false"/>
          <w:i w:val="false"/>
          <w:color w:val="000000"/>
          <w:sz w:val="22"/>
        </w:rPr>
        <w:t xml:space="preserve">Prior to replacing a valid license that is lost, stolen or destroyed, the department will verify the licensee’s full legal name, date of birth and social security number and collect the replacement fee. A licensee subject to </w:t>
      </w:r>
      <w:hyperlink r:id="rId82">
        <w:r>
          <w:rPr>
            <w:rStyle w:val="Hyperlink"/>
            <w:rFonts w:ascii="Times New Roman" w:hAnsi="Times New Roman"/>
            <w:b w:val="false"/>
            <w:i w:val="false"/>
            <w:color w:val="000000"/>
            <w:sz w:val="22"/>
          </w:rPr>
          <w:t>761—paragraph 601.5(2)</w:t>
        </w:r>
        <w:r>
          <w:rPr>
            <w:rFonts w:ascii="Times New Roman" w:hAnsi="Times New Roman"/>
            <w:b w:val="false"/>
            <w:i/>
            <w:color w:val="000000"/>
            <w:sz w:val="22"/>
          </w:rPr>
          <w:t>“b”</w:t>
        </w:r>
      </w:hyperlink>
      <w:r>
        <w:rPr>
          <w:rFonts w:ascii="Times New Roman" w:hAnsi="Times New Roman"/>
          <w:b w:val="false"/>
          <w:i w:val="false"/>
          <w:color w:val="000000"/>
          <w:sz w:val="22"/>
        </w:rPr>
        <w:t xml:space="preserve"> shall provide the applicant’s U.S. Customs and Immigration Services number, which must be verified by the department. The department may investigate or require additional information as may be reasonably necessary to determine that the licensee’s identity matches the identity of record and will not issue the replacement license if the licensee’s identity is questionable, cannot be determined or otherwise does not match the identity of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605.10(2)</w:t>
      </w:r>
      <w:r>
        <w:rPr>
          <w:rFonts w:ascii="Times New Roman" w:hAnsi="Times New Roman"/>
          <w:b w:val="false"/>
          <w:i w:val="false"/>
          <w:color w:val="000000"/>
          <w:sz w:val="22"/>
        </w:rPr>
        <w:t> </w:t>
      </w:r>
      <w:r>
        <w:rPr>
          <w:rFonts w:ascii="Times New Roman" w:hAnsi="Times New Roman"/>
          <w:b w:val="false"/>
          <w:i/>
          <w:color w:val="000000"/>
          <w:sz w:val="22"/>
        </w:rPr>
        <w:t xml:space="preserve">Voluntary replacement. </w:t>
      </w:r>
      <w:r>
        <w:rPr>
          <w:rFonts w:ascii="Times New Roman" w:hAnsi="Times New Roman"/>
          <w:b w:val="false"/>
          <w:i w:val="false"/>
          <w:color w:val="000000"/>
          <w:sz w:val="22"/>
        </w:rPr>
        <w:t>The department will issue a duplicate of a valid license to an eligible licensee if the license is surrendered to the department and the replacement fee is paid. Voluntary replacement includes but is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Replacement of a damaged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Replacement to change the current residential address on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Replacement to change the name on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Replacement to change the date of birth on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Issuance of a license without the words “under 21” to a licensee who is 21 years of age or older.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Issuance of a license without the words “under 18” to a licensee who is 18 years of age or older. (If the licensee is under 21 years of age, the words “under 21” will replace the words “under 18.”)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Issuance of a noncommercial driver’s license to an eligible person who has been disqualified from operating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Replacement of a valid license before its expiration date to obtain a license that may be accepted for federal identification purposes under </w:t>
      </w:r>
      <w:r>
        <w:rPr>
          <w:rFonts w:ascii="Times New Roman" w:hAnsi="Times New Roman"/>
          <w:b w:val="false"/>
          <w:i w:val="false"/>
          <w:color w:val="000000"/>
          <w:sz w:val="22"/>
        </w:rPr>
        <w:t>6 CFR Part 37</w:t>
      </w:r>
      <w:r>
        <w:rPr>
          <w:rFonts w:ascii="Times New Roman" w:hAnsi="Times New Roman"/>
          <w:b w:val="false"/>
          <w:i w:val="false"/>
          <w:color w:val="000000"/>
          <w:sz w:val="22"/>
        </w:rPr>
        <w:t xml:space="preserve"> effective January 1, 2024 (a REAL ID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Replacement to add a veteran designation to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605.10(3)</w:t>
      </w:r>
      <w:r>
        <w:rPr>
          <w:rFonts w:ascii="Times New Roman" w:hAnsi="Times New Roman"/>
          <w:b w:val="false"/>
          <w:i w:val="false"/>
          <w:color w:val="000000"/>
          <w:sz w:val="22"/>
        </w:rPr>
        <w:t> </w:t>
      </w:r>
      <w:r>
        <w:rPr>
          <w:rFonts w:ascii="Times New Roman" w:hAnsi="Times New Roman"/>
          <w:b w:val="false"/>
          <w:i/>
          <w:color w:val="000000"/>
          <w:sz w:val="22"/>
        </w:rPr>
        <w:t xml:space="preserve">Replacement upon attaining the age of 21. </w:t>
      </w:r>
      <w:r>
        <w:rPr>
          <w:rFonts w:ascii="Times New Roman" w:hAnsi="Times New Roman"/>
          <w:b w:val="false"/>
          <w:i w:val="false"/>
          <w:color w:val="000000"/>
          <w:sz w:val="22"/>
        </w:rPr>
        <w:t>A licensee, upon attaining the age of 21, who is otherwise eligible for a driver’s license is eligible to electronically apply for a replacement driver’s license under this rule for the unexpired months of the license, regardless of whether the most recent issuance occurred electronically.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the requirements in subparagraphs </w:t>
      </w:r>
      <w:hyperlink r:id="rId83">
        <w:r>
          <w:rPr>
            <w:rStyle w:val="Hyperlink"/>
            <w:rFonts w:ascii="Times New Roman" w:hAnsi="Times New Roman"/>
            <w:b w:val="false"/>
            <w:i w:val="false"/>
            <w:color w:val="000000"/>
            <w:sz w:val="22"/>
          </w:rPr>
          <w:t>605.15(6)</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color w:val="000000"/>
          <w:sz w:val="22"/>
        </w:rPr>
        <w:t>“a”</w:t>
      </w:r>
      <w:r>
        <w:rPr>
          <w:rFonts w:ascii="Times New Roman" w:hAnsi="Times New Roman"/>
          <w:b w:val="false"/>
          <w:i w:val="false"/>
          <w:color w:val="000000"/>
          <w:sz w:val="22"/>
        </w:rPr>
        <w:t xml:space="preserve">(2), the licensee must meet the eligibility requirements listed in paragraph </w:t>
      </w:r>
      <w:hyperlink r:id="rId84">
        <w:r>
          <w:rPr>
            <w:rStyle w:val="Hyperlink"/>
            <w:rFonts w:ascii="Times New Roman" w:hAnsi="Times New Roman"/>
            <w:b w:val="false"/>
            <w:i w:val="false"/>
            <w:color w:val="000000"/>
            <w:sz w:val="22"/>
          </w:rPr>
          <w:t>605.15(6)</w:t>
        </w:r>
      </w:hyperlink>
      <w:r>
        <w:rPr>
          <w:rFonts w:ascii="Times New Roman" w:hAnsi="Times New Roman"/>
          <w:b w:val="false"/>
          <w:i/>
          <w:color w:val="000000"/>
          <w:sz w:val="22"/>
        </w:rPr>
        <w:t>“a”</w:t>
      </w:r>
      <w:r>
        <w:rPr>
          <w:rFonts w:ascii="Times New Roman" w:hAnsi="Times New Roman"/>
          <w:b w:val="false"/>
          <w:i w:val="false"/>
          <w:color w:val="000000"/>
          <w:sz w:val="22"/>
        </w:rPr>
        <w:t xml:space="preserve"> or </w:t>
      </w:r>
      <w:hyperlink r:id="rId85">
        <w:r>
          <w:rPr>
            <w:rStyle w:val="Hyperlink"/>
            <w:rFonts w:ascii="Times New Roman" w:hAnsi="Times New Roman"/>
            <w:b w:val="false"/>
            <w:i w:val="false"/>
            <w:color w:val="000000"/>
            <w:sz w:val="22"/>
          </w:rPr>
          <w:t>605.15(7)</w:t>
        </w:r>
      </w:hyperlink>
      <w:r>
        <w:rPr>
          <w:rFonts w:ascii="Times New Roman" w:hAnsi="Times New Roman"/>
          <w:b w:val="false"/>
          <w:i/>
          <w:color w:val="000000"/>
          <w:sz w:val="22"/>
        </w:rPr>
        <w:t>“a”</w:t>
      </w:r>
      <w:r>
        <w:rPr>
          <w:rFonts w:ascii="Times New Roman" w:hAnsi="Times New Roman"/>
          <w:b w:val="false"/>
          <w:i w:val="false"/>
          <w:color w:val="000000"/>
          <w:sz w:val="22"/>
        </w:rPr>
        <w:t xml:space="preserve"> to replace the license electronically in addition to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licensee must be at least 21 years old.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must currently hold a driver’s license marked “under 21” as provided in Iowa Code section </w:t>
      </w:r>
      <w:hyperlink r:id="rId86">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this chapter to the contrary, the department may accept an electronic replacement application if the licensee seeks replacement of a special instruction permit or a license with a single “J” restriction accompanied by a “9” restriction.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88">
        <w:r>
          <w:rPr>
            <w:rStyle w:val="Hyperlink"/>
            <w:rFonts w:ascii="Times New Roman" w:hAnsi="Times New Roman"/>
            <w:b w:val="false"/>
            <w:i w:val="false"/>
            <w:color w:val="000000"/>
            <w:sz w:val="22"/>
          </w:rPr>
          <w:t>321.13</w:t>
        </w:r>
      </w:hyperlink>
      <w:r>
        <w:rPr>
          <w:rFonts w:ascii="Times New Roman" w:hAnsi="Times New Roman"/>
          <w:b w:val="false"/>
          <w:i w:val="false"/>
          <w:color w:val="000000"/>
          <w:sz w:val="22"/>
        </w:rPr>
        <w:t xml:space="preserve">, </w:t>
      </w:r>
      <w:hyperlink r:id="rId89">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90">
        <w:r>
          <w:rPr>
            <w:rStyle w:val="Hyperlink"/>
            <w:rFonts w:ascii="Times New Roman" w:hAnsi="Times New Roman"/>
            <w:b w:val="false"/>
            <w:i w:val="false"/>
            <w:color w:val="000000"/>
            <w:sz w:val="22"/>
          </w:rPr>
          <w:t>321.195</w:t>
        </w:r>
      </w:hyperlink>
      <w:r>
        <w:rPr>
          <w:rFonts w:ascii="Times New Roman" w:hAnsi="Times New Roman"/>
          <w:b w:val="false"/>
          <w:i w:val="false"/>
          <w:color w:val="000000"/>
          <w:sz w:val="22"/>
        </w:rPr>
        <w:t xml:space="preserve"> and </w:t>
      </w:r>
      <w:hyperlink r:id="rId91">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the REAL ID Act of 2005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30301 note) as amended by the REAL ID Modernization Act, H.R. 133, Division U, Title X; and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761—605.11</w:t>
      </w:r>
      <w:r>
        <w:rPr>
          <w:rFonts w:ascii="Times New Roman" w:hAnsi="Times New Roman"/>
          <w:b/>
          <w:i w:val="false"/>
          <w:color w:val="000000"/>
          <w:sz w:val="22"/>
        </w:rPr>
        <w:t xml:space="preserve">(307,321) </w:t>
      </w:r>
      <w:r>
        <w:rPr>
          <w:rFonts w:ascii="Times New Roman" w:hAnsi="Times New Roman"/>
          <w:b/>
          <w:i w:val="false"/>
          <w:color w:val="000000"/>
          <w:sz w:val="22"/>
        </w:rPr>
        <w:t xml:space="preserve">Address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605.11(1)</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licensee’s duty to notify the department of a change in the licensee’s mailing address pursuant to Iowa Code section </w:t>
      </w:r>
      <w:hyperlink r:id="rId92">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shall occur by one of the following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Submitting the address change to the address listed in subrule </w:t>
      </w:r>
      <w:hyperlink r:id="rId93">
        <w:r>
          <w:rPr>
            <w:rStyle w:val="Hyperlink"/>
            <w:rFonts w:ascii="Times New Roman" w:hAnsi="Times New Roman"/>
            <w:b w:val="false"/>
            <w:i w:val="false"/>
            <w:color w:val="000000"/>
            <w:sz w:val="22"/>
          </w:rPr>
          <w:t>605.1(2)</w:t>
        </w:r>
      </w:hyperlink>
      <w:r>
        <w:rPr>
          <w:rFonts w:ascii="Times New Roman" w:hAnsi="Times New Roman"/>
          <w:b w:val="false"/>
          <w:i w:val="false"/>
          <w:color w:val="000000"/>
          <w:sz w:val="22"/>
        </w:rPr>
        <w:t xml:space="preserve"> using Form 430012 or a written and signed statement listing the licensee’s full name, date of birth, driver’s license number and new mailing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Completing the address change on the department’s website at </w:t>
      </w:r>
      <w:hyperlink r:id="rId94">
        <w:r>
          <w:rPr>
            <w:rStyle w:val="Hyperlink"/>
            <w:rFonts w:ascii="Times New Roman" w:hAnsi="Times New Roman"/>
            <w:b w:val="false"/>
            <w:i w:val="false"/>
            <w:color w:val="000000"/>
            <w:sz w:val="22"/>
            <w:u w:val="single"/>
          </w:rPr>
          <w:t>www.iowadot.gov/mvd/driverslicense/changes-or-corrections</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Appearing in person to change the mailing address at any driver’s license service center.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605.11(2)</w:t>
      </w:r>
      <w:r>
        <w:rPr>
          <w:rFonts w:ascii="Times New Roman" w:hAnsi="Times New Roman"/>
          <w:b w:val="false"/>
          <w:i w:val="false"/>
          <w:color w:val="000000"/>
          <w:sz w:val="22"/>
        </w:rPr>
        <w:t> </w:t>
      </w:r>
      <w:r>
        <w:rPr>
          <w:rFonts w:ascii="Times New Roman" w:hAnsi="Times New Roman"/>
          <w:b w:val="false"/>
          <w:i w:val="false"/>
          <w:color w:val="000000"/>
          <w:sz w:val="22"/>
        </w:rPr>
        <w:t>Parents or legal guardians may provide written notice of a mailing address change on behalf of the person’s minor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605.11(3)</w:t>
      </w:r>
      <w:r>
        <w:rPr>
          <w:rFonts w:ascii="Times New Roman" w:hAnsi="Times New Roman"/>
          <w:b w:val="false"/>
          <w:i w:val="false"/>
          <w:color w:val="000000"/>
          <w:sz w:val="22"/>
        </w:rPr>
        <w:t> </w:t>
      </w:r>
      <w:r>
        <w:rPr>
          <w:rFonts w:ascii="Times New Roman" w:hAnsi="Times New Roman"/>
          <w:b w:val="false"/>
          <w:i w:val="false"/>
          <w:color w:val="000000"/>
          <w:sz w:val="22"/>
        </w:rPr>
        <w:t>The department may use U.S. Postal Service address information to update the department’s address records.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5">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96">
        <w:r>
          <w:rPr>
            <w:rStyle w:val="Hyperlink"/>
            <w:rFonts w:ascii="Times New Roman" w:hAnsi="Times New Roman"/>
            <w:b w:val="false"/>
            <w:i w:val="false"/>
            <w:color w:val="000000"/>
            <w:sz w:val="22"/>
          </w:rPr>
          <w:t>321.182</w:t>
        </w:r>
      </w:hyperlink>
      <w:r>
        <w:rPr>
          <w:rFonts w:ascii="Times New Roman" w:hAnsi="Times New Roman"/>
          <w:b w:val="false"/>
          <w:i w:val="false"/>
          <w:color w:val="000000"/>
          <w:sz w:val="22"/>
        </w:rPr>
        <w:t xml:space="preserve"> and </w:t>
      </w:r>
      <w:hyperlink r:id="rId97">
        <w:r>
          <w:rPr>
            <w:rStyle w:val="Hyperlink"/>
            <w:rFonts w:ascii="Times New Roman" w:hAnsi="Times New Roman"/>
            <w:b w:val="false"/>
            <w:i w:val="false"/>
            <w:color w:val="000000"/>
            <w:sz w:val="22"/>
          </w:rPr>
          <w:t>321.184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761—605.12</w:t>
      </w:r>
      <w:r>
        <w:rPr>
          <w:rFonts w:ascii="Times New Roman" w:hAnsi="Times New Roman"/>
          <w:b/>
          <w:i w:val="false"/>
          <w:color w:val="000000"/>
          <w:sz w:val="22"/>
        </w:rPr>
        <w:t xml:space="preserve">(307,321) </w:t>
      </w:r>
      <w:r>
        <w:rPr>
          <w:rFonts w:ascii="Times New Roman" w:hAnsi="Times New Roman"/>
          <w:b/>
          <w:i w:val="false"/>
          <w:color w:val="000000"/>
          <w:sz w:val="22"/>
        </w:rPr>
        <w:t xml:space="preserve">License extension.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605.12(1)</w:t>
      </w:r>
      <w:r>
        <w:rPr>
          <w:rFonts w:ascii="Times New Roman" w:hAnsi="Times New Roman"/>
          <w:b w:val="false"/>
          <w:i w:val="false"/>
          <w:color w:val="000000"/>
          <w:sz w:val="22"/>
        </w:rPr>
        <w:t> </w:t>
      </w:r>
      <w:r>
        <w:rPr>
          <w:rFonts w:ascii="Times New Roman" w:hAnsi="Times New Roman"/>
          <w:b w:val="false"/>
          <w:i/>
          <w:color w:val="000000"/>
          <w:sz w:val="22"/>
        </w:rPr>
        <w:t xml:space="preserve">Six-month extension. </w:t>
      </w:r>
      <w:r>
        <w:rPr>
          <w:rFonts w:ascii="Times New Roman" w:hAnsi="Times New Roman"/>
          <w:b w:val="false"/>
          <w:i w:val="false"/>
          <w:color w:val="000000"/>
          <w:sz w:val="22"/>
        </w:rPr>
        <w:t>An Iowa resident may apply for a six-month extension of a noncommercial license if the licensee meets all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a valid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Is eligible for further licensing.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Is temporarily absent from Iowa or is temporarily incapacitated at the time for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605.12(2)</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 xml:space="preserve">Acceptable methods to apply for an extension by an eligible licensee include submitting Form 430027 to the department or to a driver’s license service center or applying by letter to the address in subrule </w:t>
      </w:r>
      <w:hyperlink r:id="rId98">
        <w:r>
          <w:rPr>
            <w:rStyle w:val="Hyperlink"/>
            <w:rFonts w:ascii="Times New Roman" w:hAnsi="Times New Roman"/>
            <w:b w:val="false"/>
            <w:i w:val="false"/>
            <w:color w:val="000000"/>
            <w:sz w:val="22"/>
          </w:rPr>
          <w:t>605.1(2)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six-month extension will be added to the expiration date of the license. When the licensee appears to renew the license, the expiration date of the renewed license will be computed from the expiration date of the original license, notwithstanding the extension.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department will allow only two six-month extensions.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00">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761—605.13</w:t>
      </w:r>
      <w:r>
        <w:rPr>
          <w:rFonts w:ascii="Times New Roman" w:hAnsi="Times New Roman"/>
          <w:b/>
          <w:i w:val="false"/>
          <w:color w:val="000000"/>
          <w:sz w:val="22"/>
        </w:rPr>
        <w:t xml:space="preserve">(307,321) </w:t>
      </w:r>
      <w:r>
        <w:rPr>
          <w:rFonts w:ascii="Times New Roman" w:hAnsi="Times New Roman"/>
          <w:b/>
          <w:i w:val="false"/>
          <w:color w:val="000000"/>
          <w:sz w:val="22"/>
        </w:rPr>
        <w:t xml:space="preserve">Military extension.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605.13(1)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A person who qualifies for a military extension of a valid license under Iowa Code section </w:t>
      </w:r>
      <w:hyperlink r:id="rId101">
        <w:r>
          <w:rPr>
            <w:rStyle w:val="Hyperlink"/>
            <w:rFonts w:ascii="Times New Roman" w:hAnsi="Times New Roman"/>
            <w:b w:val="false"/>
            <w:i w:val="false"/>
            <w:color w:val="000000"/>
            <w:sz w:val="22"/>
          </w:rPr>
          <w:t>321.198</w:t>
        </w:r>
      </w:hyperlink>
      <w:r>
        <w:rPr>
          <w:rFonts w:ascii="Times New Roman" w:hAnsi="Times New Roman"/>
          <w:b w:val="false"/>
          <w:i w:val="false"/>
          <w:color w:val="000000"/>
          <w:sz w:val="22"/>
        </w:rPr>
        <w:t xml:space="preserve"> and who wishes to have a record of the person’s military service extension recorded in the department’s computerized issuance system shall apply to the department by presenting the person’s unexpired CAC or by submitting Form 430081 signed by the person’s commanding officer to verify the military service and accompanied by a copy of the person’s CAC or current active duty orders to the address in subrule </w:t>
      </w:r>
      <w:hyperlink r:id="rId102">
        <w:r>
          <w:rPr>
            <w:rStyle w:val="Hyperlink"/>
            <w:rFonts w:ascii="Times New Roman" w:hAnsi="Times New Roman"/>
            <w:b w:val="false"/>
            <w:i w:val="false"/>
            <w:color w:val="000000"/>
            <w:sz w:val="22"/>
          </w:rPr>
          <w:t>605.1(2)</w:t>
        </w:r>
      </w:hyperlink>
      <w:r>
        <w:rPr>
          <w:rFonts w:ascii="Times New Roman" w:hAnsi="Times New Roman"/>
          <w:b w:val="false"/>
          <w:i w:val="false"/>
          <w:color w:val="000000"/>
          <w:sz w:val="22"/>
        </w:rPr>
        <w:t xml:space="preserve">. Upon approval, the department will update the department’s electronic records with the person’s military exception status and issue the person a letter explaining the provisions of Iowa Code section </w:t>
      </w:r>
      <w:hyperlink r:id="rId103">
        <w:r>
          <w:rPr>
            <w:rStyle w:val="Hyperlink"/>
            <w:rFonts w:ascii="Times New Roman" w:hAnsi="Times New Roman"/>
            <w:b w:val="false"/>
            <w:i w:val="false"/>
            <w:color w:val="000000"/>
            <w:sz w:val="22"/>
          </w:rPr>
          <w:t>321.198</w:t>
        </w:r>
      </w:hyperlink>
      <w:r>
        <w:rPr>
          <w:rFonts w:ascii="Times New Roman" w:hAnsi="Times New Roman"/>
          <w:b w:val="false"/>
          <w:i w:val="false"/>
          <w:color w:val="000000"/>
          <w:sz w:val="22"/>
        </w:rPr>
        <w:t xml:space="preserve"> regarding military extensions.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605.13(2)</w:t>
      </w:r>
      <w:r>
        <w:rPr>
          <w:rFonts w:ascii="Times New Roman" w:hAnsi="Times New Roman"/>
          <w:b w:val="false"/>
          <w:i w:val="false"/>
          <w:color w:val="000000"/>
          <w:sz w:val="22"/>
        </w:rPr>
        <w:t> </w:t>
      </w:r>
      <w:r>
        <w:rPr>
          <w:rFonts w:ascii="Times New Roman" w:hAnsi="Times New Roman"/>
          <w:b w:val="false"/>
          <w:i/>
          <w:color w:val="000000"/>
          <w:sz w:val="22"/>
        </w:rPr>
        <w:t xml:space="preserve">Renewal of license after military extension. </w:t>
      </w:r>
      <w:r>
        <w:rPr>
          <w:rFonts w:ascii="Times New Roman" w:hAnsi="Times New Roman"/>
          <w:b w:val="false"/>
          <w:i w:val="false"/>
          <w:color w:val="000000"/>
          <w:sz w:val="22"/>
        </w:rPr>
        <w:t xml:space="preserve">When an applicant renews a license after a military extension, the department may require the applicant to provide documentation of both the military service and the date of separation from military service. In accordance with Iowa Code section </w:t>
      </w:r>
      <w:hyperlink r:id="rId104">
        <w:r>
          <w:rPr>
            <w:rStyle w:val="Hyperlink"/>
            <w:rFonts w:ascii="Times New Roman" w:hAnsi="Times New Roman"/>
            <w:b w:val="false"/>
            <w:i w:val="false"/>
            <w:color w:val="000000"/>
            <w:sz w:val="22"/>
          </w:rPr>
          <w:t>321.198(1)</w:t>
        </w:r>
      </w:hyperlink>
      <w:r>
        <w:rPr>
          <w:rFonts w:ascii="Times New Roman" w:hAnsi="Times New Roman"/>
          <w:b w:val="false"/>
          <w:i/>
          <w:color w:val="000000"/>
          <w:sz w:val="22"/>
        </w:rPr>
        <w:t>“b,”</w:t>
      </w:r>
      <w:r>
        <w:rPr>
          <w:rFonts w:ascii="Times New Roman" w:hAnsi="Times New Roman"/>
          <w:b w:val="false"/>
          <w:i w:val="false"/>
          <w:color w:val="000000"/>
          <w:sz w:val="22"/>
        </w:rPr>
        <w:t xml:space="preserve"> the applicant is to pay all applicable fees to renew the license. The applicant may also be waived from the applicable knowledge or driving skills examination in accordance with the provisions of 761—paragraphs </w:t>
      </w:r>
      <w:hyperlink r:id="rId105">
        <w:r>
          <w:rPr>
            <w:rStyle w:val="Hyperlink"/>
            <w:rFonts w:ascii="Times New Roman" w:hAnsi="Times New Roman"/>
            <w:b w:val="false"/>
            <w:i w:val="false"/>
            <w:color w:val="000000"/>
            <w:sz w:val="22"/>
          </w:rPr>
          <w:t>604.21(2)</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604.31(2)</w:t>
        </w:r>
      </w:hyperlink>
      <w:r>
        <w:rPr>
          <w:rFonts w:ascii="Times New Roman" w:hAnsi="Times New Roman"/>
          <w:b w:val="false"/>
          <w:i/>
          <w:color w:val="000000"/>
          <w:sz w:val="22"/>
        </w:rPr>
        <w:t>“e”</w:t>
      </w:r>
      <w:r>
        <w:rPr>
          <w:rFonts w:ascii="Times New Roman" w:hAnsi="Times New Roman"/>
          <w:b w:val="false"/>
          <w:i w:val="false"/>
          <w:color w:val="000000"/>
          <w:sz w:val="22"/>
        </w:rPr>
        <w:t xml:space="preserve"> and 761—subrules </w:t>
      </w:r>
      <w:hyperlink r:id="rId107">
        <w:r>
          <w:rPr>
            <w:rStyle w:val="Hyperlink"/>
            <w:rFonts w:ascii="Times New Roman" w:hAnsi="Times New Roman"/>
            <w:b w:val="false"/>
            <w:i w:val="false"/>
            <w:color w:val="000000"/>
            <w:sz w:val="22"/>
          </w:rPr>
          <w:t>607.27(5)</w:t>
        </w:r>
      </w:hyperlink>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607.28(6)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605.13(3)</w:t>
      </w:r>
      <w:r>
        <w:rPr>
          <w:rFonts w:ascii="Times New Roman" w:hAnsi="Times New Roman"/>
          <w:b w:val="false"/>
          <w:i w:val="false"/>
          <w:color w:val="000000"/>
          <w:sz w:val="22"/>
        </w:rPr>
        <w:t> </w:t>
      </w:r>
      <w:r>
        <w:rPr>
          <w:rFonts w:ascii="Times New Roman" w:hAnsi="Times New Roman"/>
          <w:b w:val="false"/>
          <w:i/>
          <w:color w:val="000000"/>
          <w:sz w:val="22"/>
        </w:rPr>
        <w:t xml:space="preserve">Reinstatement after sanction. </w:t>
      </w:r>
      <w:r>
        <w:rPr>
          <w:rFonts w:ascii="Times New Roman" w:hAnsi="Times New Roman"/>
          <w:b w:val="false"/>
          <w:i w:val="false"/>
          <w:color w:val="000000"/>
          <w:sz w:val="22"/>
        </w:rPr>
        <w:t xml:space="preserve">A person with a military extension whose license has been canceled, suspended or revoked shall comply with the requirements of rule </w:t>
      </w:r>
      <w:hyperlink r:id="rId109">
        <w:r>
          <w:rPr>
            <w:rStyle w:val="Hyperlink"/>
            <w:rFonts w:ascii="Times New Roman" w:hAnsi="Times New Roman"/>
            <w:b w:val="false"/>
            <w:i w:val="false"/>
            <w:color w:val="000000"/>
            <w:sz w:val="22"/>
          </w:rPr>
          <w:t>761—615.24</w:t>
        </w:r>
      </w:hyperlink>
      <w:r>
        <w:rPr>
          <w:rFonts w:ascii="Times New Roman" w:hAnsi="Times New Roman"/>
          <w:b w:val="false"/>
          <w:i w:val="false"/>
          <w:color w:val="000000"/>
          <w:sz w:val="22"/>
        </w:rPr>
        <w:t>(321,321A,321J) to reinstate the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0">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11">
        <w:r>
          <w:rPr>
            <w:rStyle w:val="Hyperlink"/>
            <w:rFonts w:ascii="Times New Roman" w:hAnsi="Times New Roman"/>
            <w:b w:val="false"/>
            <w:i w:val="false"/>
            <w:color w:val="000000"/>
            <w:sz w:val="22"/>
          </w:rPr>
          <w:t>321.198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761—605.14</w:t>
      </w:r>
      <w:r>
        <w:rPr>
          <w:rFonts w:ascii="Times New Roman" w:hAnsi="Times New Roman"/>
          <w:b/>
          <w:i w:val="false"/>
          <w:color w:val="000000"/>
          <w:sz w:val="22"/>
        </w:rPr>
        <w:t xml:space="preserve">(321) </w:t>
      </w:r>
      <w:r>
        <w:rPr>
          <w:rFonts w:ascii="Times New Roman" w:hAnsi="Times New Roman"/>
          <w:b/>
          <w:i w:val="false"/>
          <w:color w:val="000000"/>
          <w:sz w:val="22"/>
        </w:rPr>
        <w:t xml:space="preserve">Fee adjustment for upgrading license. </w:t>
      </w:r>
      <w:r>
        <w:rPr>
          <w:rFonts w:ascii="Times New Roman" w:hAnsi="Times New Roman"/>
          <w:b w:val="false"/>
          <w:i w:val="false"/>
          <w:color w:val="000000"/>
          <w:sz w:val="22"/>
        </w:rPr>
        <w:t>The fee to upgrade a driver’s license will be computed on a full-year basis. The fee is charged for each year or part of a year between the date of the change and the expiration date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605.14(1)</w:t>
      </w:r>
      <w:r>
        <w:rPr>
          <w:rFonts w:ascii="Times New Roman" w:hAnsi="Times New Roman"/>
          <w:b w:val="false"/>
          <w:i w:val="false"/>
          <w:color w:val="000000"/>
          <w:sz w:val="22"/>
        </w:rPr>
        <w:t> </w:t>
      </w:r>
      <w:r>
        <w:rPr>
          <w:rFonts w:ascii="Times New Roman" w:hAnsi="Times New Roman"/>
          <w:b w:val="false"/>
          <w:i w:val="false"/>
          <w:color w:val="000000"/>
          <w:sz w:val="22"/>
        </w:rPr>
        <w:t>The fee to upgrade a driver’s license from one class to another is determined by computing the difference between the current license fee and the new license fee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Converting noncommercial Class C to Class D—$4 per year of new license validity.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Converting Class M to Class D with a motorcycle endorsement—$4 per year of new license validity.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Converting Class M to noncommercial Class C with a motorcycle endorsement—$2 one-time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605.14(2)</w:t>
      </w:r>
      <w:r>
        <w:rPr>
          <w:rFonts w:ascii="Times New Roman" w:hAnsi="Times New Roman"/>
          <w:b w:val="false"/>
          <w:i w:val="false"/>
          <w:color w:val="000000"/>
          <w:sz w:val="22"/>
        </w:rPr>
        <w:t> </w:t>
      </w:r>
      <w:r>
        <w:rPr>
          <w:rFonts w:ascii="Times New Roman" w:hAnsi="Times New Roman"/>
          <w:b w:val="false"/>
          <w:i w:val="false"/>
          <w:color w:val="000000"/>
          <w:sz w:val="22"/>
        </w:rPr>
        <w:t>The fee to add a privilege to a driver’s license is computed per year of new license validity as follows:</w:t>
      </w:r>
    </w:p>
    <w:tbl>
      <w:tblPr>
        <w:tblW w:w="0" w:type="auto"/>
        <w:tblCellSpacing w:w="0" w:type="auto"/>
        <w:tblBorders>
          <w:top w:val="none"/>
          <w:left w:val="none"/>
          <w:bottom w:val="none"/>
          <w:right w:val="none"/>
          <w:insideH w:val="none"/>
          <w:insideV w:val="none"/>
        </w:tblBorders>
        <w:tblLayout w:type="fixed"/>
      </w:tblPr>
      <w:tblGrid>
        <w:gridCol w:w="7707"/>
        <w:gridCol w:w="3483"/>
      </w:tblGrid>
      <w:tr>
        <w:trPr>
          <w:trHeight w:val="480" w:hRule="atLeast"/>
        </w:trPr>
        <w:tc>
          <w:tcPr>
            <w:tcW w:w="7707"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Noncommercial Class C</w:t>
            </w:r>
          </w:p>
          <w:p>
            <w:pPr>
              <w:spacing w:before="0" w:after="0"/>
              <w:ind w:left="160"/>
              <w:jc w:val="left"/>
            </w:pPr>
            <w:r>
              <w:rPr>
                <w:rFonts w:ascii="Times New Roman" w:hAnsi="Times New Roman"/>
                <w:b w:val="false"/>
                <w:i w:val="false"/>
                <w:color w:val="000000"/>
                <w:sz w:val="20"/>
              </w:rPr>
              <w:t>(full privileges from a restricted Class C)</w:t>
            </w:r>
          </w:p>
        </w:tc>
        <w:tc>
          <w:tcPr>
            <w:tcW w:w="348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w:t>
            </w:r>
          </w:p>
          <w:p>
            <w:pPr>
              <w:spacing w:before="0" w:after="0"/>
              <w:ind w:left="160"/>
              <w:jc w:val="left"/>
            </w:pPr>
            <w:r>
              <w:rPr>
                <w:rFonts w:ascii="Times New Roman" w:hAnsi="Times New Roman"/>
                <w:b w:val="false"/>
                <w:i w:val="false"/>
                <w:color w:val="000000"/>
                <w:sz w:val="20"/>
              </w:rPr>
              <w:t>$4 per year</w:t>
            </w:r>
          </w:p>
        </w:tc>
      </w:tr>
      <w:tr>
        <w:trPr>
          <w:trHeight w:val="255" w:hRule="atLeast"/>
        </w:trPr>
        <w:tc>
          <w:tcPr>
            <w:tcW w:w="77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Motorized bicycle</w:t>
            </w:r>
          </w:p>
        </w:tc>
        <w:tc>
          <w:tcPr>
            <w:tcW w:w="34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 per year</w:t>
            </w:r>
          </w:p>
        </w:tc>
      </w:tr>
      <w:tr>
        <w:trPr>
          <w:trHeight w:val="255" w:hRule="atLeast"/>
        </w:trPr>
        <w:tc>
          <w:tcPr>
            <w:tcW w:w="77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Minor’s restricted license</w:t>
            </w:r>
          </w:p>
        </w:tc>
        <w:tc>
          <w:tcPr>
            <w:tcW w:w="34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 per year</w:t>
            </w:r>
          </w:p>
        </w:tc>
      </w:tr>
      <w:tr>
        <w:trPr>
          <w:trHeight w:val="255" w:hRule="atLeast"/>
        </w:trPr>
        <w:tc>
          <w:tcPr>
            <w:tcW w:w="77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Special minor’s restricted license</w:t>
            </w:r>
          </w:p>
        </w:tc>
        <w:tc>
          <w:tcPr>
            <w:tcW w:w="34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$4 per year</w:t>
            </w:r>
          </w:p>
        </w:tc>
      </w:tr>
      <w:tr>
        <w:trPr>
          <w:trHeight w:val="255" w:hRule="atLeast"/>
        </w:trPr>
        <w:tc>
          <w:tcPr>
            <w:tcW w:w="77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Motorcycle instruction permit</w:t>
            </w:r>
          </w:p>
        </w:tc>
        <w:tc>
          <w:tcPr>
            <w:tcW w:w="34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 per year</w:t>
            </w:r>
          </w:p>
        </w:tc>
      </w:tr>
      <w:tr>
        <w:trPr>
          <w:trHeight w:val="255" w:hRule="atLeast"/>
        </w:trPr>
        <w:tc>
          <w:tcPr>
            <w:tcW w:w="7707"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Motorcycle endorsement</w:t>
            </w:r>
          </w:p>
        </w:tc>
        <w:tc>
          <w:tcPr>
            <w:tcW w:w="348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$2 per year</w:t>
            </w:r>
          </w:p>
        </w:tc>
      </w:tr>
    </w:tbl>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2">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and </w:t>
      </w:r>
      <w:hyperlink r:id="rId113">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761—605.15</w:t>
      </w:r>
      <w:r>
        <w:rPr>
          <w:rFonts w:ascii="Times New Roman" w:hAnsi="Times New Roman"/>
          <w:b/>
          <w:i w:val="false"/>
          <w:color w:val="000000"/>
          <w:sz w:val="22"/>
        </w:rPr>
        <w:t xml:space="preserve">(307,321) </w:t>
      </w:r>
      <w:r>
        <w:rPr>
          <w:rFonts w:ascii="Times New Roman" w:hAnsi="Times New Roman"/>
          <w:b/>
          <w:i w:val="false"/>
          <w:color w:val="000000"/>
          <w:sz w:val="22"/>
        </w:rPr>
        <w:t xml:space="preserve">License renewal.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605.15(1)</w:t>
      </w:r>
      <w:r>
        <w:rPr>
          <w:rFonts w:ascii="Times New Roman" w:hAnsi="Times New Roman"/>
          <w:b w:val="false"/>
          <w:i w:val="false"/>
          <w:color w:val="000000"/>
          <w:sz w:val="22"/>
        </w:rPr>
        <w:t> </w:t>
      </w:r>
      <w:r>
        <w:rPr>
          <w:rFonts w:ascii="Times New Roman" w:hAnsi="Times New Roman"/>
          <w:b w:val="false"/>
          <w:i w:val="false"/>
          <w:color w:val="000000"/>
          <w:sz w:val="22"/>
        </w:rPr>
        <w:t>A licensee who wishes to renew a driver’s license is to apply to the department and, if required, pass the appropriate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605.15(2)</w:t>
      </w:r>
      <w:r>
        <w:rPr>
          <w:rFonts w:ascii="Times New Roman" w:hAnsi="Times New Roman"/>
          <w:b w:val="false"/>
          <w:i w:val="false"/>
          <w:color w:val="000000"/>
          <w:sz w:val="22"/>
        </w:rPr>
        <w:t> </w:t>
      </w:r>
      <w:r>
        <w:rPr>
          <w:rFonts w:ascii="Times New Roman" w:hAnsi="Times New Roman"/>
          <w:b w:val="false"/>
          <w:i w:val="false"/>
          <w:color w:val="000000"/>
          <w:sz w:val="22"/>
        </w:rPr>
        <w:t xml:space="preserve">A valid noncommercial license may be renewed within 180 days before the expiration date. The department for good cause may renew a noncommercial license earlier, except the department will not renew a REAL ID driver’s license issued under rule </w:t>
      </w:r>
      <w:hyperlink r:id="rId114">
        <w:r>
          <w:rPr>
            <w:rStyle w:val="Hyperlink"/>
            <w:rFonts w:ascii="Times New Roman" w:hAnsi="Times New Roman"/>
            <w:b w:val="false"/>
            <w:i w:val="false"/>
            <w:color w:val="000000"/>
            <w:sz w:val="22"/>
          </w:rPr>
          <w:t>761—601.7</w:t>
        </w:r>
      </w:hyperlink>
      <w:r>
        <w:rPr>
          <w:rFonts w:ascii="Times New Roman" w:hAnsi="Times New Roman"/>
          <w:b w:val="false"/>
          <w:i w:val="false"/>
          <w:color w:val="000000"/>
          <w:sz w:val="22"/>
        </w:rPr>
        <w:t>(321) earlier than 180 days before the expiration date if such a renewal would result in noncompliance under 6 CFR Section 37.5(a) effective January 1, 2024.</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605.15(3)</w:t>
      </w:r>
      <w:r>
        <w:rPr>
          <w:rFonts w:ascii="Times New Roman" w:hAnsi="Times New Roman"/>
          <w:b w:val="false"/>
          <w:i w:val="false"/>
          <w:color w:val="000000"/>
          <w:sz w:val="22"/>
        </w:rPr>
        <w:t> </w:t>
      </w:r>
      <w:r>
        <w:rPr>
          <w:rFonts w:ascii="Times New Roman" w:hAnsi="Times New Roman"/>
          <w:b w:val="false"/>
          <w:i w:val="false"/>
          <w:color w:val="000000"/>
          <w:sz w:val="22"/>
        </w:rPr>
        <w:t>If the licensee’s current residential address, name or date of birth has changed since the previous license was issued, the licensee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Notify the department to establish the current residential address.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requirements of </w:t>
      </w:r>
      <w:hyperlink r:id="rId115">
        <w:r>
          <w:rPr>
            <w:rStyle w:val="Hyperlink"/>
            <w:rFonts w:ascii="Times New Roman" w:hAnsi="Times New Roman"/>
            <w:b w:val="false"/>
            <w:i w:val="false"/>
            <w:color w:val="000000"/>
            <w:sz w:val="22"/>
          </w:rPr>
          <w:t>761—subrule 601.5(5)</w:t>
        </w:r>
      </w:hyperlink>
      <w:r>
        <w:rPr>
          <w:rFonts w:ascii="Times New Roman" w:hAnsi="Times New Roman"/>
          <w:b w:val="false"/>
          <w:i w:val="false"/>
          <w:color w:val="000000"/>
          <w:sz w:val="22"/>
        </w:rPr>
        <w:t xml:space="preserve"> to establish a name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Comply with the requirements of </w:t>
      </w:r>
      <w:hyperlink r:id="rId116">
        <w:r>
          <w:rPr>
            <w:rStyle w:val="Hyperlink"/>
            <w:rFonts w:ascii="Times New Roman" w:hAnsi="Times New Roman"/>
            <w:b w:val="false"/>
            <w:i w:val="false"/>
            <w:color w:val="000000"/>
            <w:sz w:val="22"/>
          </w:rPr>
          <w:t>761—subrule 601.5(6)</w:t>
        </w:r>
      </w:hyperlink>
      <w:r>
        <w:rPr>
          <w:rFonts w:ascii="Times New Roman" w:hAnsi="Times New Roman"/>
          <w:b w:val="false"/>
          <w:i w:val="false"/>
          <w:color w:val="000000"/>
          <w:sz w:val="22"/>
        </w:rPr>
        <w:t xml:space="preserve"> to establish a change of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605.15(4)</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has not previously been issued a license that may be accepted for federal identification purposes under </w:t>
      </w:r>
      <w:r>
        <w:rPr>
          <w:rFonts w:ascii="Times New Roman" w:hAnsi="Times New Roman"/>
          <w:b w:val="false"/>
          <w:i w:val="false"/>
          <w:color w:val="000000"/>
          <w:sz w:val="22"/>
        </w:rPr>
        <w:t>6 CFR Part 37</w:t>
      </w:r>
      <w:r>
        <w:rPr>
          <w:rFonts w:ascii="Times New Roman" w:hAnsi="Times New Roman"/>
          <w:b w:val="false"/>
          <w:i w:val="false"/>
          <w:color w:val="000000"/>
          <w:sz w:val="22"/>
        </w:rPr>
        <w:t xml:space="preserve"> effective January 1, 2024 (a REAL ID driver’s license), and wishes to obtain a REAL ID driver’s license upon renewal must comply with the requirements of rule </w:t>
      </w:r>
      <w:hyperlink r:id="rId117">
        <w:r>
          <w:rPr>
            <w:rStyle w:val="Hyperlink"/>
            <w:rFonts w:ascii="Times New Roman" w:hAnsi="Times New Roman"/>
            <w:b w:val="false"/>
            <w:i w:val="false"/>
            <w:color w:val="000000"/>
            <w:sz w:val="22"/>
          </w:rPr>
          <w:t>761—601.5</w:t>
        </w:r>
      </w:hyperlink>
      <w:r>
        <w:rPr>
          <w:rFonts w:ascii="Times New Roman" w:hAnsi="Times New Roman"/>
          <w:b w:val="false"/>
          <w:i w:val="false"/>
          <w:color w:val="000000"/>
          <w:sz w:val="22"/>
        </w:rPr>
        <w:t>(321) to obtain a REAL ID driver’s license upon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605.15(5)</w:t>
      </w:r>
      <w:r>
        <w:rPr>
          <w:rFonts w:ascii="Times New Roman" w:hAnsi="Times New Roman"/>
          <w:b w:val="false"/>
          <w:i w:val="false"/>
          <w:color w:val="000000"/>
          <w:sz w:val="22"/>
        </w:rPr>
        <w:t> </w:t>
      </w:r>
      <w:r>
        <w:rPr>
          <w:rFonts w:ascii="Times New Roman" w:hAnsi="Times New Roman"/>
          <w:b w:val="false"/>
          <w:i w:val="false"/>
          <w:color w:val="000000"/>
          <w:sz w:val="22"/>
        </w:rPr>
        <w:t xml:space="preserve">A licensee who is a foreign national who is temporarily present in this state must provide documentation of lawful status as required by </w:t>
      </w:r>
      <w:hyperlink r:id="rId118">
        <w:r>
          <w:rPr>
            <w:rStyle w:val="Hyperlink"/>
            <w:rFonts w:ascii="Times New Roman" w:hAnsi="Times New Roman"/>
            <w:b w:val="false"/>
            <w:i w:val="false"/>
            <w:color w:val="000000"/>
            <w:sz w:val="22"/>
          </w:rPr>
          <w:t>761—subrule 601.5(4)</w:t>
        </w:r>
      </w:hyperlink>
      <w:r>
        <w:rPr>
          <w:rFonts w:ascii="Times New Roman" w:hAnsi="Times New Roman"/>
          <w:b w:val="false"/>
          <w:i w:val="false"/>
          <w:color w:val="000000"/>
          <w:sz w:val="22"/>
        </w:rPr>
        <w:t xml:space="preserve"> at each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605.15(6)</w:t>
      </w:r>
      <w:r>
        <w:rPr>
          <w:rFonts w:ascii="Times New Roman" w:hAnsi="Times New Roman"/>
          <w:b w:val="false"/>
          <w:i w:val="false"/>
          <w:color w:val="000000"/>
          <w:sz w:val="22"/>
        </w:rPr>
        <w:t> </w:t>
      </w:r>
      <w:r>
        <w:rPr>
          <w:rFonts w:ascii="Times New Roman" w:hAnsi="Times New Roman"/>
          <w:b w:val="false"/>
          <w:i w:val="false"/>
          <w:color w:val="000000"/>
          <w:sz w:val="22"/>
        </w:rPr>
        <w:t>An applicant who meets the eligibility criteria may apply for electronic renewal of a noncommercial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Eligibility criteria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applicant is at least 18 years of age but not yet 70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completed a satisfactory vision screen or submitted a satisfactory vision report under 761—subrules </w:t>
      </w:r>
      <w:hyperlink r:id="rId119">
        <w:r>
          <w:rPr>
            <w:rStyle w:val="Hyperlink"/>
            <w:rFonts w:ascii="Times New Roman" w:hAnsi="Times New Roman"/>
            <w:b w:val="false"/>
            <w:i w:val="false"/>
            <w:color w:val="000000"/>
            <w:sz w:val="22"/>
          </w:rPr>
          <w:t>604.10(1) through 604.10(3)</w:t>
        </w:r>
      </w:hyperlink>
      <w:r>
        <w:rPr>
          <w:rFonts w:ascii="Times New Roman" w:hAnsi="Times New Roman"/>
          <w:b w:val="false"/>
          <w:i w:val="false"/>
          <w:color w:val="000000"/>
          <w:sz w:val="22"/>
        </w:rPr>
        <w:t xml:space="preserve"> and updated the applicant’s photo at the applicant’s last issuance or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applicant’s driver’s license has not been expired for more than one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department’s records show the applicant is a U.S. citizen.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applicant’s driver’s license is not marked “valid without photo.”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applicant is not seeking to change any of the following information as it appears on the applicant’s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applicant’s driver’s license is a Class C noncommercial driver’s license, a Class D noncommercial driver’s license (chauffeur) or Class M noncommercial driver’s license (motorcycle) that is not a special license or permit, a temporary restricted license or a two-year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The applicant is not subject to a pending request for reexamination.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The applicant does not wish to change any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Class of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License endorsements.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License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The applicant is not subject to any of the following restrictions:</w:t>
      </w:r>
    </w:p>
    <w:p>
      <w:pPr>
        <w:spacing w:before="0" w:after="0"/>
        <w:ind w:left="120"/>
        <w:jc w:val="both"/>
      </w:pPr>
      <w:r>
        <w:rPr>
          <w:rFonts w:ascii="Times New Roman" w:hAnsi="Times New Roman"/>
          <w:b w:val="false"/>
          <w:i w:val="false"/>
          <w:color w:val="000000"/>
          <w:sz w:val="22"/>
        </w:rPr>
        <w:t>G—No driving when headlights required</w:t>
      </w:r>
    </w:p>
    <w:p>
      <w:pPr>
        <w:spacing w:before="0" w:after="0"/>
        <w:ind w:left="120"/>
        <w:jc w:val="both"/>
      </w:pPr>
      <w:r>
        <w:rPr>
          <w:rFonts w:ascii="Times New Roman" w:hAnsi="Times New Roman"/>
          <w:b w:val="false"/>
          <w:i w:val="false"/>
          <w:color w:val="000000"/>
          <w:sz w:val="22"/>
        </w:rPr>
        <w:t>J—Restrictions on the back of card</w:t>
      </w:r>
    </w:p>
    <w:p>
      <w:pPr>
        <w:spacing w:before="0" w:after="0"/>
        <w:ind w:left="120"/>
        <w:jc w:val="both"/>
      </w:pPr>
      <w:r>
        <w:rPr>
          <w:rFonts w:ascii="Times New Roman" w:hAnsi="Times New Roman"/>
          <w:b w:val="false"/>
          <w:i w:val="false"/>
          <w:color w:val="000000"/>
          <w:sz w:val="22"/>
        </w:rPr>
        <w:t>T—Medical report required at renewal</w:t>
      </w:r>
    </w:p>
    <w:p>
      <w:pPr>
        <w:spacing w:before="0" w:after="0"/>
        <w:ind w:left="120"/>
        <w:jc w:val="both"/>
      </w:pPr>
      <w:r>
        <w:rPr>
          <w:rFonts w:ascii="Times New Roman" w:hAnsi="Times New Roman"/>
          <w:b w:val="false"/>
          <w:i w:val="false"/>
          <w:color w:val="000000"/>
          <w:sz w:val="22"/>
        </w:rPr>
        <w:t>8—Special instruction permit</w:t>
      </w:r>
    </w:p>
    <w:p>
      <w:pPr>
        <w:spacing w:before="0" w:after="0"/>
        <w:ind w:left="120"/>
        <w:jc w:val="both"/>
      </w:pPr>
      <w:r>
        <w:rPr>
          <w:rFonts w:ascii="Times New Roman" w:hAnsi="Times New Roman"/>
          <w:b w:val="false"/>
          <w:i w:val="false"/>
          <w:color w:val="000000"/>
          <w:sz w:val="22"/>
        </w:rPr>
        <w:t>Q—No interstate or freeway driving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Notwithstanding any other provision of this subrule to the contrary, the department may accept an electronic renewal application if the license contains a single “J” restriction accompanied by a “7” or “Y” restriction.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deny electronic renewal and require the applicant to apply in person for renewal at a driver’s license service center if it appears to the department that the applicant may have a physical or mental condition that may impair the applicant’s ability to safely operate a motor vehicle, even if the applicant otherwise meets the criteria in paragraph </w:t>
      </w:r>
      <w:hyperlink r:id="rId120">
        <w:r>
          <w:rPr>
            <w:rStyle w:val="Hyperlink"/>
            <w:rFonts w:ascii="Times New Roman" w:hAnsi="Times New Roman"/>
            <w:b w:val="false"/>
            <w:i w:val="false"/>
            <w:color w:val="000000"/>
            <w:sz w:val="22"/>
          </w:rPr>
          <w:t>605.15(6)</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not previously been issued a driver’s license that is compliant with the REAL ID Act of 2005,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30301 note, implemented in </w:t>
      </w:r>
      <w:r>
        <w:rPr>
          <w:rFonts w:ascii="Times New Roman" w:hAnsi="Times New Roman"/>
          <w:b w:val="false"/>
          <w:i w:val="false"/>
          <w:color w:val="000000"/>
          <w:sz w:val="22"/>
        </w:rPr>
        <w:t>6 CFR Part 37</w:t>
      </w:r>
      <w:r>
        <w:rPr>
          <w:rFonts w:ascii="Times New Roman" w:hAnsi="Times New Roman"/>
          <w:b w:val="false"/>
          <w:i w:val="false"/>
          <w:color w:val="000000"/>
          <w:sz w:val="22"/>
        </w:rPr>
        <w:t xml:space="preserve"> effective January 1, 2024 (a REAL ID driver’s license), cannot request a REAL ID driver’s license by electronic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605.15(7)</w:t>
      </w:r>
      <w:r>
        <w:rPr>
          <w:rFonts w:ascii="Times New Roman" w:hAnsi="Times New Roman"/>
          <w:b w:val="false"/>
          <w:i w:val="false"/>
          <w:color w:val="000000"/>
          <w:sz w:val="22"/>
        </w:rPr>
        <w:t> </w:t>
      </w:r>
      <w:r>
        <w:rPr>
          <w:rFonts w:ascii="Times New Roman" w:hAnsi="Times New Roman"/>
          <w:b w:val="false"/>
          <w:i w:val="false"/>
          <w:color w:val="000000"/>
          <w:sz w:val="22"/>
        </w:rPr>
        <w:t xml:space="preserve">Subject to the requirements in paragraphs </w:t>
      </w:r>
      <w:hyperlink r:id="rId121">
        <w:r>
          <w:rPr>
            <w:rStyle w:val="Hyperlink"/>
            <w:rFonts w:ascii="Times New Roman" w:hAnsi="Times New Roman"/>
            <w:b w:val="false"/>
            <w:i w:val="false"/>
            <w:color w:val="000000"/>
            <w:sz w:val="22"/>
          </w:rPr>
          <w:t>605.15(6)</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an applicant who meets the following eligibility criteria may apply for electronic renewal of a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otherwise eligible to renew a commercial driver’s license and meets the same eligibility requirements for renewing a noncommercial driver’s license listed in paragraph </w:t>
      </w:r>
      <w:hyperlink r:id="rId122">
        <w:r>
          <w:rPr>
            <w:rStyle w:val="Hyperlink"/>
            <w:rFonts w:ascii="Times New Roman" w:hAnsi="Times New Roman"/>
            <w:b w:val="false"/>
            <w:i w:val="false"/>
            <w:color w:val="000000"/>
            <w:sz w:val="22"/>
          </w:rPr>
          <w:t>605.15(6)</w:t>
        </w:r>
      </w:hyperlink>
      <w:r>
        <w:rPr>
          <w:rFonts w:ascii="Times New Roman" w:hAnsi="Times New Roman"/>
          <w:b w:val="false"/>
          <w:i/>
          <w:color w:val="000000"/>
          <w:sz w:val="22"/>
        </w:rPr>
        <w:t>“a”</w:t>
      </w:r>
      <w:r>
        <w:rPr>
          <w:rFonts w:ascii="Times New Roman" w:hAnsi="Times New Roman"/>
          <w:b w:val="false"/>
          <w:i w:val="false"/>
          <w:color w:val="000000"/>
          <w:sz w:val="22"/>
        </w:rPr>
        <w:t xml:space="preserve"> to renew the license electronically, except that numbered paragraph </w:t>
      </w:r>
      <w:hyperlink r:id="rId123">
        <w:r>
          <w:rPr>
            <w:rStyle w:val="Hyperlink"/>
            <w:rFonts w:ascii="Times New Roman" w:hAnsi="Times New Roman"/>
            <w:b w:val="false"/>
            <w:i w:val="false"/>
            <w:color w:val="000000"/>
            <w:sz w:val="22"/>
          </w:rPr>
          <w:t>605.15(6)</w:t>
        </w:r>
      </w:hyperlink>
      <w:r>
        <w:rPr>
          <w:rFonts w:ascii="Times New Roman" w:hAnsi="Times New Roman"/>
          <w:b w:val="false"/>
          <w:i/>
          <w:color w:val="000000"/>
          <w:sz w:val="22"/>
        </w:rPr>
        <w:t>“a”</w:t>
      </w:r>
      <w:r>
        <w:rPr>
          <w:rFonts w:ascii="Times New Roman" w:hAnsi="Times New Roman"/>
          <w:b w:val="false"/>
          <w:i w:val="false"/>
          <w:color w:val="000000"/>
          <w:sz w:val="22"/>
        </w:rPr>
        <w:t>(9)“3” does not apply if the applicant is adding or removing the “K” restriction from the license at the time of renewal.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applicant is not subject to any of the following restrictions or endorsements:</w:t>
      </w:r>
    </w:p>
    <w:p>
      <w:pPr>
        <w:spacing w:before="0" w:after="0"/>
        <w:ind w:left="120"/>
        <w:jc w:val="both"/>
      </w:pPr>
      <w:r>
        <w:rPr>
          <w:rFonts w:ascii="Times New Roman" w:hAnsi="Times New Roman"/>
          <w:b w:val="false"/>
          <w:i w:val="false"/>
          <w:color w:val="000000"/>
          <w:sz w:val="22"/>
        </w:rPr>
        <w:t>H—Hazardous material</w:t>
      </w:r>
    </w:p>
    <w:p>
      <w:pPr>
        <w:spacing w:before="0" w:after="0"/>
        <w:ind w:left="120"/>
        <w:jc w:val="both"/>
      </w:pPr>
      <w:r>
        <w:rPr>
          <w:rFonts w:ascii="Times New Roman" w:hAnsi="Times New Roman"/>
          <w:b w:val="false"/>
          <w:i w:val="false"/>
          <w:color w:val="000000"/>
          <w:sz w:val="22"/>
        </w:rPr>
        <w:t>X—Hazardous material and tank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does not also hold a valid commercial learner’s permit under Iowa Code section </w:t>
      </w:r>
      <w:hyperlink r:id="rId124">
        <w:r>
          <w:rPr>
            <w:rStyle w:val="Hyperlink"/>
            <w:rFonts w:ascii="Times New Roman" w:hAnsi="Times New Roman"/>
            <w:b w:val="false"/>
            <w:i w:val="false"/>
            <w:color w:val="000000"/>
            <w:sz w:val="22"/>
          </w:rPr>
          <w:t>321.180(2)</w:t>
        </w:r>
      </w:hyperlink>
      <w:r>
        <w:rPr>
          <w:rFonts w:ascii="Times New Roman" w:hAnsi="Times New Roman"/>
          <w:b w:val="false"/>
          <w:i w:val="false"/>
          <w:color w:val="000000"/>
          <w:sz w:val="22"/>
        </w:rPr>
        <w:t xml:space="preserve"> as documented by restriction “3” on the commercial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self-certifying to non-excepted interstate driving has a valid medical certificate on file with the department as required under rule </w:t>
      </w:r>
      <w:hyperlink r:id="rId125">
        <w:r>
          <w:rPr>
            <w:rStyle w:val="Hyperlink"/>
            <w:rFonts w:ascii="Times New Roman" w:hAnsi="Times New Roman"/>
            <w:b w:val="false"/>
            <w:i w:val="false"/>
            <w:color w:val="000000"/>
            <w:sz w:val="22"/>
          </w:rPr>
          <w:t>761—607.50</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6">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127">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28">
        <w:r>
          <w:rPr>
            <w:rStyle w:val="Hyperlink"/>
            <w:rFonts w:ascii="Times New Roman" w:hAnsi="Times New Roman"/>
            <w:b w:val="false"/>
            <w:i w:val="false"/>
            <w:color w:val="000000"/>
            <w:sz w:val="22"/>
          </w:rPr>
          <w:t>321.188</w:t>
        </w:r>
      </w:hyperlink>
      <w:r>
        <w:rPr>
          <w:rFonts w:ascii="Times New Roman" w:hAnsi="Times New Roman"/>
          <w:b w:val="false"/>
          <w:i w:val="false"/>
          <w:color w:val="000000"/>
          <w:sz w:val="22"/>
        </w:rPr>
        <w:t xml:space="preserve"> and </w:t>
      </w:r>
      <w:hyperlink r:id="rId129">
        <w:r>
          <w:rPr>
            <w:rStyle w:val="Hyperlink"/>
            <w:rFonts w:ascii="Times New Roman" w:hAnsi="Times New Roman"/>
            <w:b w:val="false"/>
            <w:i w:val="false"/>
            <w:color w:val="000000"/>
            <w:sz w:val="22"/>
          </w:rPr>
          <w:t>321.196</w:t>
        </w:r>
      </w:hyperlink>
      <w:r>
        <w:rPr>
          <w:rFonts w:ascii="Times New Roman" w:hAnsi="Times New Roman"/>
          <w:b w:val="false"/>
          <w:i w:val="false"/>
          <w:color w:val="000000"/>
          <w:sz w:val="22"/>
        </w:rPr>
        <w:t>; the REAL ID Act of 2005 (</w:t>
      </w:r>
      <w:r>
        <w:rPr>
          <w:rFonts w:ascii="Times New Roman" w:hAnsi="Times New Roman"/>
          <w:b w:val="false"/>
          <w:i w:val="false"/>
          <w:color w:val="000000"/>
          <w:sz w:val="22"/>
        </w:rPr>
        <w:t>49 U.S.C.</w:t>
      </w:r>
      <w:r>
        <w:rPr>
          <w:rFonts w:ascii="Times New Roman" w:hAnsi="Times New Roman"/>
          <w:b w:val="false"/>
          <w:i w:val="false"/>
          <w:color w:val="000000"/>
          <w:sz w:val="22"/>
        </w:rPr>
        <w:t xml:space="preserve"> Section 30301 note) as amended by the REAL ID Modernization Act, H.R. 133, Division U, Title X; and </w:t>
      </w:r>
      <w:r>
        <w:rPr>
          <w:rFonts w:ascii="Times New Roman" w:hAnsi="Times New Roman"/>
          <w:b w:val="false"/>
          <w:i w:val="false"/>
          <w:color w:val="000000"/>
          <w:sz w:val="22"/>
        </w:rPr>
        <w:t>6 CFR Part 37</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761—605.16</w:t>
      </w:r>
      <w:r>
        <w:rPr>
          <w:rFonts w:ascii="Times New Roman" w:hAnsi="Times New Roman"/>
          <w:b/>
          <w:i w:val="false"/>
          <w:color w:val="000000"/>
          <w:sz w:val="22"/>
        </w:rPr>
        <w:t xml:space="preserve">(307,321) </w:t>
      </w:r>
      <w:r>
        <w:rPr>
          <w:rFonts w:ascii="Times New Roman" w:hAnsi="Times New Roman"/>
          <w:b/>
          <w:i w:val="false"/>
          <w:color w:val="000000"/>
          <w:sz w:val="22"/>
        </w:rPr>
        <w:t xml:space="preserve">Graduated driver’s license upgrades. </w:t>
      </w:r>
      <w:r>
        <w:rPr>
          <w:rFonts w:ascii="Times New Roman" w:hAnsi="Times New Roman"/>
          <w:b w:val="false"/>
          <w:i w:val="false"/>
          <w:color w:val="000000"/>
          <w:sz w:val="22"/>
        </w:rPr>
        <w:t xml:space="preserve">An applicant subject to the graduated driver’s license requirements under Iowa Code section </w:t>
      </w:r>
      <w:hyperlink r:id="rId130">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who is otherwise eligible for a driver’s license may electronically apply to upgrade the applicant’s driver’s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605.16(1)</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 for the requirements in subparagraphs </w:t>
      </w:r>
      <w:hyperlink r:id="rId131">
        <w:r>
          <w:rPr>
            <w:rStyle w:val="Hyperlink"/>
            <w:rFonts w:ascii="Times New Roman" w:hAnsi="Times New Roman"/>
            <w:b w:val="false"/>
            <w:i w:val="false"/>
            <w:color w:val="000000"/>
            <w:sz w:val="22"/>
          </w:rPr>
          <w:t>605.15(6)</w:t>
        </w:r>
      </w:hyperlink>
      <w:r>
        <w:rPr>
          <w:rFonts w:ascii="Times New Roman" w:hAnsi="Times New Roman"/>
          <w:b w:val="false"/>
          <w:i/>
          <w:color w:val="000000"/>
          <w:sz w:val="22"/>
        </w:rPr>
        <w:t>“a”</w:t>
      </w:r>
      <w:r>
        <w:rPr>
          <w:rFonts w:ascii="Times New Roman" w:hAnsi="Times New Roman"/>
          <w:b w:val="false"/>
          <w:i w:val="false"/>
          <w:color w:val="000000"/>
          <w:sz w:val="22"/>
        </w:rPr>
        <w:t xml:space="preserve">(1) and </w:t>
      </w:r>
      <w:r>
        <w:rPr>
          <w:rFonts w:ascii="Times New Roman" w:hAnsi="Times New Roman"/>
          <w:b w:val="false"/>
          <w:i/>
          <w:color w:val="000000"/>
          <w:sz w:val="22"/>
        </w:rPr>
        <w:t>“a”</w:t>
      </w:r>
      <w:r>
        <w:rPr>
          <w:rFonts w:ascii="Times New Roman" w:hAnsi="Times New Roman"/>
          <w:b w:val="false"/>
          <w:i w:val="false"/>
          <w:color w:val="000000"/>
          <w:sz w:val="22"/>
        </w:rPr>
        <w:t xml:space="preserve">(2), an eligible applicant must meet both the requirements listed in paragraph </w:t>
      </w:r>
      <w:hyperlink r:id="rId132">
        <w:r>
          <w:rPr>
            <w:rStyle w:val="Hyperlink"/>
            <w:rFonts w:ascii="Times New Roman" w:hAnsi="Times New Roman"/>
            <w:b w:val="false"/>
            <w:i w:val="false"/>
            <w:color w:val="000000"/>
            <w:sz w:val="22"/>
          </w:rPr>
          <w:t>605.15(6)</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was issued an intermediate license under Iowa Code section </w:t>
      </w:r>
      <w:hyperlink r:id="rId133">
        <w:r>
          <w:rPr>
            <w:rStyle w:val="Hyperlink"/>
            <w:rFonts w:ascii="Times New Roman" w:hAnsi="Times New Roman"/>
            <w:b w:val="false"/>
            <w:i w:val="false"/>
            <w:color w:val="000000"/>
            <w:sz w:val="22"/>
          </w:rPr>
          <w:t>321.180B(2)</w:t>
        </w:r>
      </w:hyperlink>
      <w:r>
        <w:rPr>
          <w:rFonts w:ascii="Times New Roman" w:hAnsi="Times New Roman"/>
          <w:b w:val="false"/>
          <w:i w:val="false"/>
          <w:color w:val="000000"/>
          <w:sz w:val="22"/>
        </w:rPr>
        <w:t xml:space="preserve"> or a special minor’s restricted license under Iowa Code section </w:t>
      </w:r>
      <w:hyperlink r:id="rId134">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in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is otherwise eligible to upgrade a license class privilege under Iowa Code section </w:t>
      </w:r>
      <w:hyperlink r:id="rId135">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or </w:t>
      </w:r>
      <w:hyperlink r:id="rId136">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605.16(2)</w:t>
      </w:r>
      <w:r>
        <w:rPr>
          <w:rFonts w:ascii="Times New Roman" w:hAnsi="Times New Roman"/>
          <w:b w:val="false"/>
          <w:i w:val="false"/>
          <w:color w:val="000000"/>
          <w:sz w:val="22"/>
        </w:rPr>
        <w:t> </w:t>
      </w:r>
      <w:r>
        <w:rPr>
          <w:rFonts w:ascii="Times New Roman" w:hAnsi="Times New Roman"/>
          <w:b w:val="false"/>
          <w:i w:val="false"/>
          <w:color w:val="000000"/>
          <w:sz w:val="22"/>
        </w:rPr>
        <w:t xml:space="preserve">The requirements in paragraphs </w:t>
      </w:r>
      <w:hyperlink r:id="rId137">
        <w:r>
          <w:rPr>
            <w:rStyle w:val="Hyperlink"/>
            <w:rFonts w:ascii="Times New Roman" w:hAnsi="Times New Roman"/>
            <w:b w:val="false"/>
            <w:i w:val="false"/>
            <w:color w:val="000000"/>
            <w:sz w:val="22"/>
          </w:rPr>
          <w:t>605.15(6)</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also apply to a license issued under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605.16(3)</w:t>
      </w:r>
      <w:r>
        <w:rPr>
          <w:rFonts w:ascii="Times New Roman" w:hAnsi="Times New Roman"/>
          <w:b w:val="false"/>
          <w:i w:val="false"/>
          <w:color w:val="000000"/>
          <w:sz w:val="22"/>
        </w:rPr>
        <w:t> </w:t>
      </w:r>
      <w:r>
        <w:rPr>
          <w:rFonts w:ascii="Times New Roman" w:hAnsi="Times New Roman"/>
          <w:b w:val="false"/>
          <w:i w:val="false"/>
          <w:color w:val="000000"/>
          <w:sz w:val="22"/>
        </w:rPr>
        <w:t>If an applicant upgrades electronically under this rule to a driver’s license with an eight-year expiration date, the applicant is ineligible to electronically renew the applicant’s full driver’s license at the next renewal period.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8">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w:t>
      </w:r>
      <w:hyperlink r:id="rId139">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and </w:t>
      </w:r>
      <w:hyperlink r:id="rId140">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9623C</w:t>
      </w:r>
      <w:r>
        <w:rPr>
          <w:rFonts w:ascii="Times New Roman" w:hAnsi="Times New Roman"/>
          <w:b w:val="false"/>
          <w:i w:val="false"/>
          <w:color w:val="000000"/>
          <w:sz w:val="16"/>
        </w:rPr>
        <w:t>, IAB 10/15/25, effective 11/19/25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6/7/90—published 6/27/90, effective 7/1/90]</w:t>
      </w:r>
    </w:p>
    <w:p>
      <w:pPr>
        <w:spacing w:before="0" w:after="0"/>
        <w:ind w:left="120"/>
        <w:jc w:val="center"/>
      </w:pPr>
      <w:r>
        <w:rPr>
          <w:rFonts w:ascii="Times New Roman" w:hAnsi="Times New Roman"/>
          <w:b w:val="false"/>
          <w:i w:val="false"/>
          <w:color w:val="000000"/>
          <w:sz w:val="21"/>
        </w:rPr>
        <w:t>[Filed emergency 10/24/90—published 11/14/90, effective 10/24/90]</w:t>
      </w:r>
    </w:p>
    <w:p>
      <w:pPr>
        <w:spacing w:before="0" w:after="0"/>
        <w:ind w:left="120"/>
        <w:jc w:val="center"/>
      </w:pPr>
      <w:r>
        <w:rPr>
          <w:rFonts w:ascii="Times New Roman" w:hAnsi="Times New Roman"/>
          <w:b w:val="false"/>
          <w:i w:val="false"/>
          <w:color w:val="000000"/>
          <w:sz w:val="21"/>
        </w:rPr>
        <w:t>[Filed 5/9/91, Notices 11/14/90, 2/20/91—published 5/29/91, effective 7/3/91]</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11/4/93, Notice 9/29/93—published 11/24/93, effective 12/29/93]</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[Filed emergency 1/10/94—published 2/2/94, effective 1/10/94]</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1/21/98, Notice 12/17/97—published 2/11/98, effective 3/18/98]</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emergency 7/20/00 after Notice 6/14/00—published 8/9/00, effective 7/24/00]</w:t>
      </w:r>
    </w:p>
    <w:p>
      <w:pPr>
        <w:spacing w:before="0" w:after="0"/>
        <w:ind w:left="120"/>
        <w:jc w:val="center"/>
      </w:pPr>
      <w:r>
        <w:rPr>
          <w:rFonts w:ascii="Times New Roman" w:hAnsi="Times New Roman"/>
          <w:b w:val="false"/>
          <w:i w:val="false"/>
          <w:color w:val="000000"/>
          <w:sz w:val="21"/>
        </w:rPr>
        <w:t>[Filed 2/15/02, Notice 12/26/01—published 3/20/02, effective 4/24/02]</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emergency 3/21/03—published 4/16/03, effective 3/21/03]</w:t>
      </w:r>
    </w:p>
    <w:p>
      <w:pPr>
        <w:spacing w:before="0" w:after="0"/>
        <w:ind w:left="120"/>
        <w:jc w:val="center"/>
      </w:pPr>
      <w:r>
        <w:rPr>
          <w:rFonts w:ascii="Times New Roman" w:hAnsi="Times New Roman"/>
          <w:b w:val="false"/>
          <w:i w:val="false"/>
          <w:color w:val="000000"/>
          <w:sz w:val="21"/>
        </w:rPr>
        <w:t>[Filed emergency 6/15/05 after Notice 5/11/05—published 7/6/05, effective 7/1/05]</w:t>
      </w:r>
    </w:p>
    <w:p>
      <w:pPr>
        <w:spacing w:before="0" w:after="0"/>
        <w:ind w:left="120"/>
        <w:jc w:val="center"/>
      </w:pPr>
      <w:r>
        <w:rPr>
          <w:rFonts w:ascii="Times New Roman" w:hAnsi="Times New Roman"/>
          <w:b w:val="false"/>
          <w:i w:val="false"/>
          <w:color w:val="000000"/>
          <w:sz w:val="21"/>
        </w:rPr>
        <w:t>[Filed 6/14/06, Notice 4/12/06—published 7/5/06, effective 8/9/06]</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9991B</w:t>
      </w:r>
      <w:r>
        <w:rPr>
          <w:rFonts w:ascii="Times New Roman" w:hAnsi="Times New Roman"/>
          <w:b w:val="false"/>
          <w:i w:val="false"/>
          <w:color w:val="000000"/>
          <w:sz w:val="21"/>
        </w:rPr>
        <w:t xml:space="preserve"> (Notice ARC 9874B, IAB 11/30/11)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0347C</w:t>
      </w:r>
      <w:r>
        <w:rPr>
          <w:rFonts w:ascii="Times New Roman" w:hAnsi="Times New Roman"/>
          <w:b w:val="false"/>
          <w:i w:val="false"/>
          <w:color w:val="000000"/>
          <w:sz w:val="21"/>
        </w:rPr>
        <w:t xml:space="preserve"> (Notice ARC 0201C, IAB 7/11/12)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0661C</w:t>
      </w:r>
      <w:r>
        <w:rPr>
          <w:rFonts w:ascii="Times New Roman" w:hAnsi="Times New Roman"/>
          <w:b w:val="false"/>
          <w:i w:val="false"/>
          <w:color w:val="000000"/>
          <w:sz w:val="21"/>
        </w:rPr>
        <w:t xml:space="preserve"> (Notice ARC 0571C, IAB 1/23/13)</w:t>
      </w:r>
      <w:r>
        <w:rPr>
          <w:rFonts w:ascii="Times New Roman" w:hAnsi="Times New Roman"/>
          <w:b w:val="false"/>
          <w:i w:val="false"/>
          <w:color w:val="000000"/>
          <w:sz w:val="21"/>
        </w:rPr>
        <w:t>, IAB 4/3/13, effective 5/8/13]</w:t>
      </w:r>
    </w:p>
    <w:p>
      <w:pPr>
        <w:spacing w:before="0" w:after="0"/>
        <w:ind w:left="120"/>
        <w:jc w:val="center"/>
      </w:pPr>
      <w:r>
        <w:rPr>
          <w:rFonts w:ascii="Times New Roman" w:hAnsi="Times New Roman"/>
          <w:b w:val="false"/>
          <w:i w:val="false"/>
          <w:color w:val="000000"/>
          <w:sz w:val="21"/>
        </w:rPr>
        <w:t>[Filed Emergency ARC 0895C, IAB 8/7/13, effective 7/9/13]</w:t>
      </w:r>
    </w:p>
    <w:p>
      <w:pPr>
        <w:spacing w:before="0" w:after="0"/>
        <w:ind w:left="120"/>
        <w:jc w:val="center"/>
      </w:pPr>
      <w:r>
        <w:rPr>
          <w:rFonts w:ascii="Times New Roman" w:hAnsi="Times New Roman"/>
          <w:b w:val="false"/>
          <w:i w:val="false"/>
          <w:color w:val="000000"/>
          <w:sz w:val="21"/>
        </w:rPr>
        <w:t>[Filed ARC 1073C</w:t>
      </w:r>
      <w:r>
        <w:rPr>
          <w:rFonts w:ascii="Times New Roman" w:hAnsi="Times New Roman"/>
          <w:b w:val="false"/>
          <w:i w:val="false"/>
          <w:color w:val="000000"/>
          <w:sz w:val="21"/>
        </w:rPr>
        <w:t xml:space="preserve"> (Notice ARC 0894C,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1714C</w:t>
      </w:r>
      <w:r>
        <w:rPr>
          <w:rFonts w:ascii="Times New Roman" w:hAnsi="Times New Roman"/>
          <w:b w:val="false"/>
          <w:i w:val="false"/>
          <w:color w:val="000000"/>
          <w:sz w:val="21"/>
        </w:rPr>
        <w:t xml:space="preserve"> (Notice ARC 1601C, IAB 9/3/14)</w:t>
      </w:r>
      <w:r>
        <w:rPr>
          <w:rFonts w:ascii="Times New Roman" w:hAnsi="Times New Roman"/>
          <w:b w:val="false"/>
          <w:i w:val="false"/>
          <w:color w:val="000000"/>
          <w:sz w:val="21"/>
        </w:rPr>
        <w:t>, IAB 11/12/14, effective 12/17/14]</w:t>
      </w:r>
    </w:p>
    <w:p>
      <w:pPr>
        <w:spacing w:before="0" w:after="0"/>
        <w:ind w:left="120"/>
        <w:jc w:val="center"/>
      </w:pPr>
      <w:r>
        <w:rPr>
          <w:rFonts w:ascii="Times New Roman" w:hAnsi="Times New Roman"/>
          <w:b w:val="false"/>
          <w:i w:val="false"/>
          <w:color w:val="000000"/>
          <w:sz w:val="21"/>
        </w:rPr>
        <w:t>[Filed Emergency ARC 2071C, IAB 8/5/15, effective 7/14/15]</w:t>
      </w:r>
    </w:p>
    <w:p>
      <w:pPr>
        <w:spacing w:before="0" w:after="0"/>
        <w:ind w:left="120"/>
        <w:jc w:val="center"/>
      </w:pPr>
      <w:r>
        <w:rPr>
          <w:rFonts w:ascii="Times New Roman" w:hAnsi="Times New Roman"/>
          <w:b w:val="false"/>
          <w:i w:val="false"/>
          <w:color w:val="000000"/>
          <w:sz w:val="21"/>
        </w:rPr>
        <w:t>[Filed ARC 2337C</w:t>
      </w:r>
      <w:r>
        <w:rPr>
          <w:rFonts w:ascii="Times New Roman" w:hAnsi="Times New Roman"/>
          <w:b w:val="false"/>
          <w:i w:val="false"/>
          <w:color w:val="000000"/>
          <w:sz w:val="21"/>
        </w:rPr>
        <w:t xml:space="preserve"> (Notice ARC 2070C, IAB 8/5/15)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2888C</w:t>
      </w:r>
      <w:r>
        <w:rPr>
          <w:rFonts w:ascii="Times New Roman" w:hAnsi="Times New Roman"/>
          <w:b w:val="false"/>
          <w:i w:val="false"/>
          <w:color w:val="000000"/>
          <w:sz w:val="21"/>
        </w:rPr>
        <w:t xml:space="preserve"> (Notice ARC 2800C, IAB 11/9/16)</w:t>
      </w:r>
      <w:r>
        <w:rPr>
          <w:rFonts w:ascii="Times New Roman" w:hAnsi="Times New Roman"/>
          <w:b w:val="false"/>
          <w:i w:val="false"/>
          <w:color w:val="000000"/>
          <w:sz w:val="21"/>
        </w:rPr>
        <w:t>, IAB 1/4/17, effective 2/8/17]</w:t>
      </w:r>
    </w:p>
    <w:p>
      <w:pPr>
        <w:spacing w:before="0" w:after="0"/>
        <w:ind w:left="120"/>
        <w:jc w:val="center"/>
      </w:pPr>
      <w:r>
        <w:rPr>
          <w:rFonts w:ascii="Times New Roman" w:hAnsi="Times New Roman"/>
          <w:b w:val="false"/>
          <w:i w:val="false"/>
          <w:color w:val="000000"/>
          <w:sz w:val="21"/>
        </w:rPr>
        <w:t>[Filed ARC 3451C</w:t>
      </w:r>
      <w:r>
        <w:rPr>
          <w:rFonts w:ascii="Times New Roman" w:hAnsi="Times New Roman"/>
          <w:b w:val="false"/>
          <w:i w:val="false"/>
          <w:color w:val="000000"/>
          <w:sz w:val="21"/>
        </w:rPr>
        <w:t xml:space="preserve"> (Notice ARC 3307C, IAB 9/13/17)</w:t>
      </w:r>
      <w:r>
        <w:rPr>
          <w:rFonts w:ascii="Times New Roman" w:hAnsi="Times New Roman"/>
          <w:b w:val="false"/>
          <w:i w:val="false"/>
          <w:color w:val="000000"/>
          <w:sz w:val="21"/>
        </w:rPr>
        <w:t>, IAB 11/8/17, effective 12/13/17]</w:t>
      </w:r>
    </w:p>
    <w:p>
      <w:pPr>
        <w:spacing w:before="0" w:after="0"/>
        <w:ind w:left="120"/>
        <w:jc w:val="center"/>
      </w:pPr>
      <w:r>
        <w:rPr>
          <w:rFonts w:ascii="Times New Roman" w:hAnsi="Times New Roman"/>
          <w:b w:val="false"/>
          <w:i w:val="false"/>
          <w:color w:val="000000"/>
          <w:sz w:val="21"/>
        </w:rPr>
        <w:t>[Filed ARC 4000C</w:t>
      </w:r>
      <w:r>
        <w:rPr>
          <w:rFonts w:ascii="Times New Roman" w:hAnsi="Times New Roman"/>
          <w:b w:val="false"/>
          <w:i w:val="false"/>
          <w:color w:val="000000"/>
          <w:sz w:val="21"/>
        </w:rPr>
        <w:t xml:space="preserve"> (Notice ARC 3865C, IAB 7/4/18)</w:t>
      </w:r>
      <w:r>
        <w:rPr>
          <w:rFonts w:ascii="Times New Roman" w:hAnsi="Times New Roman"/>
          <w:b w:val="false"/>
          <w:i w:val="false"/>
          <w:color w:val="000000"/>
          <w:sz w:val="21"/>
        </w:rPr>
        <w:t>, IAB 9/12/18, effective 10/17/18]</w:t>
      </w:r>
    </w:p>
    <w:p>
      <w:pPr>
        <w:spacing w:before="0" w:after="0"/>
        <w:ind w:left="120"/>
        <w:jc w:val="center"/>
      </w:pPr>
      <w:r>
        <w:rPr>
          <w:rFonts w:ascii="Times New Roman" w:hAnsi="Times New Roman"/>
          <w:b w:val="false"/>
          <w:i w:val="false"/>
          <w:color w:val="000000"/>
          <w:sz w:val="21"/>
        </w:rPr>
        <w:t>[Filed ARC 4586C</w:t>
      </w:r>
      <w:r>
        <w:rPr>
          <w:rFonts w:ascii="Times New Roman" w:hAnsi="Times New Roman"/>
          <w:b w:val="false"/>
          <w:i w:val="false"/>
          <w:color w:val="000000"/>
          <w:sz w:val="21"/>
        </w:rPr>
        <w:t xml:space="preserve"> (Notice ARC 4476C, IAB 6/5/19)</w:t>
      </w:r>
      <w:r>
        <w:rPr>
          <w:rFonts w:ascii="Times New Roman" w:hAnsi="Times New Roman"/>
          <w:b w:val="false"/>
          <w:i w:val="false"/>
          <w:color w:val="000000"/>
          <w:sz w:val="21"/>
        </w:rPr>
        <w:t>, IAB 7/31/19, effective 9/4/19]</w:t>
      </w:r>
    </w:p>
    <w:p>
      <w:pPr>
        <w:spacing w:before="0" w:after="0"/>
        <w:ind w:left="120"/>
        <w:jc w:val="center"/>
      </w:pPr>
      <w:r>
        <w:rPr>
          <w:rFonts w:ascii="Times New Roman" w:hAnsi="Times New Roman"/>
          <w:b w:val="false"/>
          <w:i w:val="false"/>
          <w:color w:val="000000"/>
          <w:sz w:val="21"/>
        </w:rPr>
        <w:t>[Filed ARC 4851C</w:t>
      </w:r>
      <w:r>
        <w:rPr>
          <w:rFonts w:ascii="Times New Roman" w:hAnsi="Times New Roman"/>
          <w:b w:val="false"/>
          <w:i w:val="false"/>
          <w:color w:val="000000"/>
          <w:sz w:val="21"/>
        </w:rPr>
        <w:t xml:space="preserve"> (Notice ARC 4715C, IAB 10/23/19)</w:t>
      </w:r>
      <w:r>
        <w:rPr>
          <w:rFonts w:ascii="Times New Roman" w:hAnsi="Times New Roman"/>
          <w:b w:val="false"/>
          <w:i w:val="false"/>
          <w:color w:val="000000"/>
          <w:sz w:val="21"/>
        </w:rPr>
        <w:t>, IAB 1/1/20, effective 2/5/20]</w:t>
      </w:r>
    </w:p>
    <w:p>
      <w:pPr>
        <w:spacing w:before="0" w:after="0"/>
        <w:ind w:left="120"/>
        <w:jc w:val="center"/>
      </w:pPr>
      <w:r>
        <w:rPr>
          <w:rFonts w:ascii="Times New Roman" w:hAnsi="Times New Roman"/>
          <w:b w:val="false"/>
          <w:i w:val="false"/>
          <w:color w:val="000000"/>
          <w:sz w:val="21"/>
        </w:rPr>
        <w:t>[Filed ARC 5302C</w:t>
      </w:r>
      <w:r>
        <w:rPr>
          <w:rFonts w:ascii="Times New Roman" w:hAnsi="Times New Roman"/>
          <w:b w:val="false"/>
          <w:i w:val="false"/>
          <w:color w:val="000000"/>
          <w:sz w:val="21"/>
        </w:rPr>
        <w:t xml:space="preserve"> (Notice ARC 5179C, IAB 9/23/20)</w:t>
      </w:r>
      <w:r>
        <w:rPr>
          <w:rFonts w:ascii="Times New Roman" w:hAnsi="Times New Roman"/>
          <w:b w:val="false"/>
          <w:i w:val="false"/>
          <w:color w:val="000000"/>
          <w:sz w:val="21"/>
        </w:rPr>
        <w:t>, IAB 12/2/20, effective 1/6/21]</w:t>
      </w:r>
    </w:p>
    <w:p>
      <w:pPr>
        <w:spacing w:before="0" w:after="0"/>
        <w:ind w:left="120"/>
        <w:jc w:val="center"/>
      </w:pPr>
      <w:r>
        <w:rPr>
          <w:rFonts w:ascii="Times New Roman" w:hAnsi="Times New Roman"/>
          <w:b w:val="false"/>
          <w:i w:val="false"/>
          <w:color w:val="000000"/>
          <w:sz w:val="21"/>
        </w:rPr>
        <w:t>[Filed ARC 5495C</w:t>
      </w:r>
      <w:r>
        <w:rPr>
          <w:rFonts w:ascii="Times New Roman" w:hAnsi="Times New Roman"/>
          <w:b w:val="false"/>
          <w:i w:val="false"/>
          <w:color w:val="000000"/>
          <w:sz w:val="21"/>
        </w:rPr>
        <w:t xml:space="preserve"> (Notice ARC 5384C,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5942C</w:t>
      </w:r>
      <w:r>
        <w:rPr>
          <w:rFonts w:ascii="Times New Roman" w:hAnsi="Times New Roman"/>
          <w:b w:val="false"/>
          <w:i w:val="false"/>
          <w:color w:val="000000"/>
          <w:sz w:val="21"/>
        </w:rPr>
        <w:t xml:space="preserve"> (Notice ARC 5804C, IAB 7/28/21)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[Filed ARC 6307C</w:t>
      </w:r>
      <w:r>
        <w:rPr>
          <w:rFonts w:ascii="Times New Roman" w:hAnsi="Times New Roman"/>
          <w:b w:val="false"/>
          <w:i w:val="false"/>
          <w:color w:val="000000"/>
          <w:sz w:val="21"/>
        </w:rPr>
        <w:t xml:space="preserve"> (Notice ARC 6207C, IAB 2/23/22)</w:t>
      </w:r>
      <w:r>
        <w:rPr>
          <w:rFonts w:ascii="Times New Roman" w:hAnsi="Times New Roman"/>
          <w:b w:val="false"/>
          <w:i w:val="false"/>
          <w:color w:val="000000"/>
          <w:sz w:val="21"/>
        </w:rPr>
        <w:t>, IAB 5/4/22, effective 6/8/22]</w:t>
      </w:r>
    </w:p>
    <w:p>
      <w:pPr>
        <w:spacing w:before="0" w:after="0"/>
        <w:ind w:left="120"/>
        <w:jc w:val="center"/>
      </w:pPr>
      <w:r>
        <w:rPr>
          <w:rFonts w:ascii="Times New Roman" w:hAnsi="Times New Roman"/>
          <w:b w:val="false"/>
          <w:i w:val="false"/>
          <w:color w:val="000000"/>
          <w:sz w:val="21"/>
        </w:rPr>
        <w:t>[Filed ARC 6617C</w:t>
      </w:r>
      <w:r>
        <w:rPr>
          <w:rFonts w:ascii="Times New Roman" w:hAnsi="Times New Roman"/>
          <w:b w:val="false"/>
          <w:i w:val="false"/>
          <w:color w:val="000000"/>
          <w:sz w:val="21"/>
        </w:rPr>
        <w:t xml:space="preserve"> (Notice ARC 6466C, IAB 8/10/22)</w:t>
      </w:r>
      <w:r>
        <w:rPr>
          <w:rFonts w:ascii="Times New Roman" w:hAnsi="Times New Roman"/>
          <w:b w:val="false"/>
          <w:i w:val="false"/>
          <w:color w:val="000000"/>
          <w:sz w:val="21"/>
        </w:rPr>
        <w:t>, IAB 11/2/22, effective 12/7/22]</w:t>
      </w:r>
    </w:p>
    <w:p>
      <w:pPr>
        <w:spacing w:before="0" w:after="0"/>
        <w:ind w:left="120"/>
        <w:jc w:val="center"/>
      </w:pPr>
      <w:r>
        <w:rPr>
          <w:rFonts w:ascii="Times New Roman" w:hAnsi="Times New Roman"/>
          <w:b w:val="false"/>
          <w:i w:val="false"/>
          <w:color w:val="000000"/>
          <w:sz w:val="21"/>
        </w:rPr>
        <w:t>[Filed ARC 6969C</w:t>
      </w:r>
      <w:r>
        <w:rPr>
          <w:rFonts w:ascii="Times New Roman" w:hAnsi="Times New Roman"/>
          <w:b w:val="false"/>
          <w:i w:val="false"/>
          <w:color w:val="000000"/>
          <w:sz w:val="21"/>
        </w:rPr>
        <w:t xml:space="preserve"> (Notice ARC 6821C, IAB 1/11/23)</w:t>
      </w:r>
      <w:r>
        <w:rPr>
          <w:rFonts w:ascii="Times New Roman" w:hAnsi="Times New Roman"/>
          <w:b w:val="false"/>
          <w:i w:val="false"/>
          <w:color w:val="000000"/>
          <w:sz w:val="21"/>
        </w:rPr>
        <w:t>, IAB 4/5/23, effective 5/10/23]</w:t>
      </w:r>
    </w:p>
    <w:p>
      <w:pPr>
        <w:spacing w:before="0" w:after="0"/>
        <w:ind w:left="120"/>
        <w:jc w:val="center"/>
      </w:pPr>
      <w:r>
        <w:rPr>
          <w:rFonts w:ascii="Times New Roman" w:hAnsi="Times New Roman"/>
          <w:b w:val="false"/>
          <w:i w:val="false"/>
          <w:color w:val="000000"/>
          <w:sz w:val="21"/>
        </w:rPr>
        <w:t>[Editorial change: IAC Supplement 11/29/23]</w:t>
      </w:r>
    </w:p>
    <w:p>
      <w:pPr>
        <w:spacing w:before="0" w:after="0"/>
        <w:ind w:left="120"/>
        <w:jc w:val="center"/>
      </w:pPr>
      <w:r>
        <w:rPr>
          <w:rFonts w:ascii="Times New Roman" w:hAnsi="Times New Roman"/>
          <w:b w:val="false"/>
          <w:i w:val="false"/>
          <w:color w:val="000000"/>
          <w:sz w:val="21"/>
        </w:rPr>
        <w:t>[Filed ARC 9623C</w:t>
      </w:r>
      <w:r>
        <w:rPr>
          <w:rFonts w:ascii="Times New Roman" w:hAnsi="Times New Roman"/>
          <w:b w:val="false"/>
          <w:i w:val="false"/>
          <w:color w:val="000000"/>
          <w:sz w:val="21"/>
        </w:rPr>
        <w:t xml:space="preserve"> (Notice ARC 9416C, IAB 7/23/25)</w:t>
      </w:r>
      <w:r>
        <w:rPr>
          <w:rFonts w:ascii="Times New Roman" w:hAnsi="Times New Roman"/>
          <w:b w:val="false"/>
          <w:i w:val="false"/>
          <w:color w:val="000000"/>
          <w:sz w:val="21"/>
        </w:rPr>
        <w:t>, IAB 10/15/25, effective 11/19/25]</w:t>
      </w:r>
    </w:p>
    <w:p>
      <w:pPr>
        <w:pBdr>
          <w:bottom w:space="2"/>
        </w:pBdr>
        <w:spacing w:before="0" w:after="0"/>
        <w:ind w:left="120"/>
        <w:jc w:val="both"/>
      </w:pPr>
      <w:r>
        <w:rPr>
          <w:rFonts w:ascii="Times New Roman" w:hAnsi="Times New Roman"/>
          <w:b w:val="false"/>
          <w:i w:val="false"/>
          <w:color w:val="000000"/>
          <w:sz w:val="22"/>
        </w:rPr>
        <w:t>Effective date of December 29, 1993, for 761—605.26(2)</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“d,”</w:t>
      </w:r>
      <w:r>
        <w:rPr>
          <w:rFonts w:ascii="Times New Roman" w:hAnsi="Times New Roman"/>
          <w:b w:val="false"/>
          <w:i w:val="false"/>
          <w:color w:val="000000"/>
          <w:sz w:val="22"/>
        </w:rPr>
        <w:t xml:space="preserve"> delayed 70 days by the Administrative Rules Review Committee at its meeting held December 15, 1993; delay lifted by this Committee on January 5, 1994, effective January 6, 1994.</w:t>
      </w:r>
    </w:p>
    <w:sectPr>
      <w:footerReference r:id="rId141"/>
      <w:pgSz w:w="11907" w:h="16839" w:code="9"/>
      <w:pgMar w:top="1440" w:right="1440" w:bottom="1440" w:left="1440"/>
    </w:sectPr>
  </w:body>
</w:document>
</file>

<file path=word/footer.xml><?xml version="1.0" encoding="utf-8"?>
<w:ftr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761.607.pdf" Type="http://schemas.openxmlformats.org/officeDocument/2006/relationships/hyperlink" Id="rId5"/>
    <Relationship TargetMode="External" Target="http://www.iowadot.gov/mvd/driverslicense/Fees-and-license-type#54672687-non-commercial-drivers-license" Type="http://schemas.openxmlformats.org/officeDocument/2006/relationships/hyperlink" Id="rId6"/>
    <Relationship TargetMode="External" Target="https://www.legis.iowa.gov/docs/ico/chapter/307.12.pdf" Type="http://schemas.openxmlformats.org/officeDocument/2006/relationships/hyperlink" Id="rId7"/>
    <Relationship TargetMode="External" Target="https://www.legis.iowa.gov/docs/ico/chapter/321.174.pdf" Type="http://schemas.openxmlformats.org/officeDocument/2006/relationships/hyperlink" Id="rId8"/>
    <Relationship TargetMode="External" Target="https://www.legis.iowa.gov/docs/ico/chapter/321.1.pdf" Type="http://schemas.openxmlformats.org/officeDocument/2006/relationships/hyperlink" Id="rId9"/>
    <Relationship TargetMode="External" Target="https://www.legis.iowa.gov/docs/ico/chapter/321.1.pdf" Type="http://schemas.openxmlformats.org/officeDocument/2006/relationships/hyperlink" Id="rId10"/>
    <Relationship TargetMode="External" Target="https://www.legis.iowa.gov/docs/ico/chapter/321.176.pdf" Type="http://schemas.openxmlformats.org/officeDocument/2006/relationships/hyperlink" Id="rId11"/>
    <Relationship TargetMode="External" Target="https://www.legis.iowa.gov/docs/ico/chapter/148.pdf" Type="http://schemas.openxmlformats.org/officeDocument/2006/relationships/hyperlink" Id="rId12"/>
    <Relationship TargetMode="External" Target="https://www.legis.iowa.gov/docs/ico/chapter/152.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https://www.legis.iowa.gov/docs/ico/chapter/307.12.pdf" Type="http://schemas.openxmlformats.org/officeDocument/2006/relationships/hyperlink" Id="rId15"/>
    <Relationship TargetMode="External" Target="https://www.legis.iowa.gov/docs/ico/chapter/321.1.pdf" Type="http://schemas.openxmlformats.org/officeDocument/2006/relationships/hyperlink" Id="rId16"/>
    <Relationship TargetMode="External" Target="https://www.legis.iowa.gov/docs/ico/chapter/321.176.pdf" Type="http://schemas.openxmlformats.org/officeDocument/2006/relationships/hyperlink" Id="rId17"/>
    <Relationship TargetMode="External" Target="https://www.legis.iowa.gov/docs/iac/chapter/761.604.pdf" Type="http://schemas.openxmlformats.org/officeDocument/2006/relationships/hyperlink" Id="rId18"/>
    <Relationship TargetMode="External" Target="https://www.legis.iowa.gov/docs/iac/chapter/761.607.pdf" Type="http://schemas.openxmlformats.org/officeDocument/2006/relationships/hyperlink" Id="rId19"/>
    <Relationship TargetMode="External" Target="https://www.legis.iowa.gov/docs/ico/chapter/229.pdf" Type="http://schemas.openxmlformats.org/officeDocument/2006/relationships/hyperlink" Id="rId20"/>
    <Relationship TargetMode="External" Target="https://www.legis.iowa.gov/docs/ico/chapter/252J.9.pdf" Type="http://schemas.openxmlformats.org/officeDocument/2006/relationships/hyperlink" Id="rId21"/>
    <Relationship TargetMode="External" Target="https://www.legis.iowa.gov/docs/iac/rule/761.615.14.pdf" Type="http://schemas.openxmlformats.org/officeDocument/2006/relationships/hyperlink" Id="rId22"/>
    <Relationship TargetMode="External" Target="https://www.legis.iowa.gov/docs/iac/rule/761.615.4.pdf" Type="http://schemas.openxmlformats.org/officeDocument/2006/relationships/hyperlink" Id="rId23"/>
    <Relationship TargetMode="External" Target="https://www.legis.iowa.gov/docs/ico/chapter/252J.8.pdf" Type="http://schemas.openxmlformats.org/officeDocument/2006/relationships/hyperlink" Id="rId24"/>
    <Relationship TargetMode="External" Target="https://www.legis.iowa.gov/docs/ico/chapter/252J.9.pdf" Type="http://schemas.openxmlformats.org/officeDocument/2006/relationships/hyperlink" Id="rId25"/>
    <Relationship TargetMode="External" Target="https://www.legis.iowa.gov/docs/ico/chapter/307.12.pdf" Type="http://schemas.openxmlformats.org/officeDocument/2006/relationships/hyperlink" Id="rId26"/>
    <Relationship TargetMode="External" Target="https://www.legis.iowa.gov/docs/ico/chapter/321.13.pdf" Type="http://schemas.openxmlformats.org/officeDocument/2006/relationships/hyperlink" Id="rId27"/>
    <Relationship TargetMode="External" Target="https://www.legis.iowa.gov/docs/ico/chapter/321.177.pdf" Type="http://schemas.openxmlformats.org/officeDocument/2006/relationships/hyperlink" Id="rId28"/>
    <Relationship TargetMode="External" Target="https://www.legis.iowa.gov/docs/ico/chapter/321.186.pdf" Type="http://schemas.openxmlformats.org/officeDocument/2006/relationships/hyperlink" Id="rId29"/>
    <Relationship TargetMode="External" Target="https://www.legis.iowa.gov/docs/ico/chapter/321.193.pdf" Type="http://schemas.openxmlformats.org/officeDocument/2006/relationships/hyperlink" Id="rId30"/>
    <Relationship TargetMode="External" Target="https://www.legis.iowa.gov/docs/ico/chapter/321.210.pdf" Type="http://schemas.openxmlformats.org/officeDocument/2006/relationships/hyperlink" Id="rId31"/>
    <Relationship TargetMode="External" Target="https://www.legis.iowa.gov/docs/ico/chapter/321.212.pdf" Type="http://schemas.openxmlformats.org/officeDocument/2006/relationships/hyperlink" Id="rId32"/>
    <Relationship TargetMode="External" Target="https://www.legis.iowa.gov/docs/ico/chapter/321.189.pdf" Type="http://schemas.openxmlformats.org/officeDocument/2006/relationships/hyperlink" Id="rId33"/>
    <Relationship TargetMode="External" Target="https://www.legis.iowa.gov/docs/iac/rule/761.601.5.pdf" Type="http://schemas.openxmlformats.org/officeDocument/2006/relationships/hyperlink" Id="rId34"/>
    <Relationship TargetMode="External" Target="https://www.legis.iowa.gov/docs/iac/rule/761.601.5.pdf" Type="http://schemas.openxmlformats.org/officeDocument/2006/relationships/hyperlink" Id="rId35"/>
    <Relationship TargetMode="External" Target="https://www.legis.iowa.gov/docs/iac/rule/761.601.1.pdf" Type="http://schemas.openxmlformats.org/officeDocument/2006/relationships/hyperlink" Id="rId36"/>
    <Relationship TargetMode="External" Target="https://www.legis.iowa.gov/docs/iac/rule/761.601.1.pdf" Type="http://schemas.openxmlformats.org/officeDocument/2006/relationships/hyperlink" Id="rId37"/>
    <Relationship TargetMode="External" Target="https://www.legis.iowa.gov/docs/iac/rule/761.601.5.pdf" Type="http://schemas.openxmlformats.org/officeDocument/2006/relationships/hyperlink" Id="rId38"/>
    <Relationship TargetMode="External" Target="https://www.legis.iowa.gov/docs/iac/rule/761.601.1.pdf" Type="http://schemas.openxmlformats.org/officeDocument/2006/relationships/hyperlink" Id="rId39"/>
    <Relationship TargetMode="External" Target="https://www.legis.iowa.gov/docs/iac/rule/761.601.5.pdf" Type="http://schemas.openxmlformats.org/officeDocument/2006/relationships/hyperlink" Id="rId40"/>
    <Relationship TargetMode="External" Target="https://www.legis.iowa.gov/docs/iac/rule/761.601.5.pdf" Type="http://schemas.openxmlformats.org/officeDocument/2006/relationships/hyperlink" Id="rId41"/>
    <Relationship TargetMode="External" Target="https://www.legis.iowa.gov/docs/iac/rule/761.601.5.pdf" Type="http://schemas.openxmlformats.org/officeDocument/2006/relationships/hyperlink" Id="rId42"/>
    <Relationship TargetMode="External" Target="https://www.legis.iowa.gov/docs/iac/rule/761.601.7.pdf" Type="http://schemas.openxmlformats.org/officeDocument/2006/relationships/hyperlink" Id="rId43"/>
    <Relationship TargetMode="External" Target="https://www.legis.iowa.gov/docs/iac/rule/761.601.7.pdf" Type="http://schemas.openxmlformats.org/officeDocument/2006/relationships/hyperlink" Id="rId44"/>
    <Relationship TargetMode="External" Target="https://www.legis.iowa.gov/docs/ico/chapter/35.1.pdf" Type="http://schemas.openxmlformats.org/officeDocument/2006/relationships/hyperlink" Id="rId45"/>
    <Relationship TargetMode="External" Target="https://www.legis.iowa.gov/docs/ico/chapter/4.1A.pdf" Type="http://schemas.openxmlformats.org/officeDocument/2006/relationships/hyperlink" Id="rId46"/>
    <Relationship TargetMode="External" Target="https://www.legis.iowa.gov/docs/ico/chapter/142C.3.pdf" Type="http://schemas.openxmlformats.org/officeDocument/2006/relationships/hyperlink" Id="rId47"/>
    <Relationship TargetMode="External" Target="https://www.legis.iowa.gov/docs/ico/chapter/321.189.pdf" Type="http://schemas.openxmlformats.org/officeDocument/2006/relationships/hyperlink" Id="rId48"/>
    <Relationship TargetMode="External" Target="https://www.legis.iowa.gov/docs/ico/chapter/321.189.pdf" Type="http://schemas.openxmlformats.org/officeDocument/2006/relationships/hyperlink" Id="rId49"/>
    <Relationship TargetMode="External" Target="https://www.legis.iowa.gov/docs/ico/chapter/321.1.pdf" Type="http://schemas.openxmlformats.org/officeDocument/2006/relationships/hyperlink" Id="rId50"/>
    <Relationship TargetMode="External" Target="https://www.legis.iowa.gov/docs/ico/chapter/321.180.pdf" Type="http://schemas.openxmlformats.org/officeDocument/2006/relationships/hyperlink" Id="rId51"/>
    <Relationship TargetMode="External" Target="https://www.legis.iowa.gov/docs/ico/chapter/321.189.pdf" Type="http://schemas.openxmlformats.org/officeDocument/2006/relationships/hyperlink" Id="rId52"/>
    <Relationship TargetMode="External" Target="https://www.legis.iowa.gov/docs/iac/rule/761.605.3.pdf" Type="http://schemas.openxmlformats.org/officeDocument/2006/relationships/hyperlink" Id="rId53"/>
    <Relationship TargetMode="External" Target="https://www.legis.iowa.gov/docs/ico/chapter/321A.pdf" Type="http://schemas.openxmlformats.org/officeDocument/2006/relationships/hyperlink" Id="rId54"/>
    <Relationship TargetMode="External" Target="https://www.legis.iowa.gov/docs/iac/chapter/761.604.pdf" Type="http://schemas.openxmlformats.org/officeDocument/2006/relationships/hyperlink" Id="rId55"/>
    <Relationship TargetMode="External" Target="https://www.legis.iowa.gov/docs/ico/chapter/321A.pdf" Type="http://schemas.openxmlformats.org/officeDocument/2006/relationships/hyperlink" Id="rId56"/>
    <Relationship TargetMode="External" Target="https://www.legis.iowa.gov/docs/ico/chapter/321.177.pdf" Type="http://schemas.openxmlformats.org/officeDocument/2006/relationships/hyperlink" Id="rId57"/>
    <Relationship TargetMode="External" Target="https://www.legis.iowa.gov/docs/ico/chapter/321.178.pdf" Type="http://schemas.openxmlformats.org/officeDocument/2006/relationships/hyperlink" Id="rId58"/>
    <Relationship TargetMode="External" Target="https://www.legis.iowa.gov/docs/ico/chapter/321.180.pdf" Type="http://schemas.openxmlformats.org/officeDocument/2006/relationships/hyperlink" Id="rId59"/>
    <Relationship TargetMode="External" Target="https://www.legis.iowa.gov/docs/ico/chapter/321.180B.pdf" Type="http://schemas.openxmlformats.org/officeDocument/2006/relationships/hyperlink" Id="rId60"/>
    <Relationship TargetMode="External" Target="https://www.legis.iowa.gov/docs/ico/chapter/321.186.pdf" Type="http://schemas.openxmlformats.org/officeDocument/2006/relationships/hyperlink" Id="rId61"/>
    <Relationship TargetMode="External" Target="https://www.legis.iowa.gov/docs/ico/chapter/321.188.pdf" Type="http://schemas.openxmlformats.org/officeDocument/2006/relationships/hyperlink" Id="rId62"/>
    <Relationship TargetMode="External" Target="https://www.legis.iowa.gov/docs/ico/chapter/321.189.pdf" Type="http://schemas.openxmlformats.org/officeDocument/2006/relationships/hyperlink" Id="rId63"/>
    <Relationship TargetMode="External" Target="https://www.legis.iowa.gov/docs/ico/chapter/321.193.pdf" Type="http://schemas.openxmlformats.org/officeDocument/2006/relationships/hyperlink" Id="rId64"/>
    <Relationship TargetMode="External" Target="https://www.legis.iowa.gov/docs/ico/chapter/321.194.pdf" Type="http://schemas.openxmlformats.org/officeDocument/2006/relationships/hyperlink" Id="rId65"/>
    <Relationship TargetMode="External" Target="https://www.legis.iowa.gov/docs/ico/chapter/321.215.pdf" Type="http://schemas.openxmlformats.org/officeDocument/2006/relationships/hyperlink" Id="rId66"/>
    <Relationship TargetMode="External" Target="https://www.legis.iowa.gov/docs/ico/chapter/321J.4.pdf" Type="http://schemas.openxmlformats.org/officeDocument/2006/relationships/hyperlink" Id="rId67"/>
    <Relationship TargetMode="External" Target="https://www.legis.iowa.gov/docs/ico/chapter/321J.20.pdf" Type="http://schemas.openxmlformats.org/officeDocument/2006/relationships/hyperlink" Id="rId68"/>
    <Relationship TargetMode="External" Target="https://www.legis.iowa.gov/docs/ico/chapter/321.196.pdf" Type="http://schemas.openxmlformats.org/officeDocument/2006/relationships/hyperlink" Id="rId69"/>
    <Relationship TargetMode="External" Target="https://www.legis.iowa.gov/docs/ico/chapter/321.191.pdf" Type="http://schemas.openxmlformats.org/officeDocument/2006/relationships/hyperlink" Id="rId70"/>
    <Relationship TargetMode="External" Target="https://www.legis.iowa.gov/docs/ico/chapter/321.191.pdf" Type="http://schemas.openxmlformats.org/officeDocument/2006/relationships/hyperlink" Id="rId71"/>
    <Relationship TargetMode="External" Target="https://www.legis.iowa.gov/docs/iac/rule/761.605.9.pdf" Type="http://schemas.openxmlformats.org/officeDocument/2006/relationships/hyperlink" Id="rId72"/>
    <Relationship TargetMode="External" Target="https://www.legis.iowa.gov/docs/iac/rule/761.604.10.pdf" Type="http://schemas.openxmlformats.org/officeDocument/2006/relationships/hyperlink" Id="rId73"/>
    <Relationship TargetMode="External" Target="https://www.legis.iowa.gov/docs/iac/rule/761.605.9.pdf" Type="http://schemas.openxmlformats.org/officeDocument/2006/relationships/hyperlink" Id="rId74"/>
    <Relationship TargetMode="External" Target="https://www.legis.iowa.gov/docs/iac/rule/761.605.15.pdf" Type="http://schemas.openxmlformats.org/officeDocument/2006/relationships/hyperlink" Id="rId75"/>
    <Relationship TargetMode="External" Target="https://www.legis.iowa.gov/docs/iac/rule/761.605.15.pdf" Type="http://schemas.openxmlformats.org/officeDocument/2006/relationships/hyperlink" Id="rId76"/>
    <Relationship TargetMode="External" Target="https://www.legis.iowa.gov/docs/iac/rule/761.605.9.pdf" Type="http://schemas.openxmlformats.org/officeDocument/2006/relationships/hyperlink" Id="rId77"/>
    <Relationship TargetMode="External" Target="https://www.legis.iowa.gov/docs/iac/rule/761.605.15.pdf" Type="http://schemas.openxmlformats.org/officeDocument/2006/relationships/hyperlink" Id="rId78"/>
    <Relationship TargetMode="External" Target="https://www.legis.iowa.gov/docs/iac/rule/761.605.15.pdf" Type="http://schemas.openxmlformats.org/officeDocument/2006/relationships/hyperlink" Id="rId79"/>
    <Relationship TargetMode="External" Target="https://www.legis.iowa.gov/docs/ico/chapter/307.12.pdf" Type="http://schemas.openxmlformats.org/officeDocument/2006/relationships/hyperlink" Id="rId80"/>
    <Relationship TargetMode="External" Target="https://www.legis.iowa.gov/docs/ico/chapter/321.191.pdf" Type="http://schemas.openxmlformats.org/officeDocument/2006/relationships/hyperlink" Id="rId81"/>
    <Relationship TargetMode="External" Target="https://www.legis.iowa.gov/docs/iac/rule/761.601.5.pdf" Type="http://schemas.openxmlformats.org/officeDocument/2006/relationships/hyperlink" Id="rId82"/>
    <Relationship TargetMode="External" Target="https://www.legis.iowa.gov/docs/iac/rule/761.605.15.pdf" Type="http://schemas.openxmlformats.org/officeDocument/2006/relationships/hyperlink" Id="rId83"/>
    <Relationship TargetMode="External" Target="https://www.legis.iowa.gov/docs/iac/rule/761.605.15.pdf" Type="http://schemas.openxmlformats.org/officeDocument/2006/relationships/hyperlink" Id="rId84"/>
    <Relationship TargetMode="External" Target="https://www.legis.iowa.gov/docs/iac/rule/761.605.15.pdf" Type="http://schemas.openxmlformats.org/officeDocument/2006/relationships/hyperlink" Id="rId85"/>
    <Relationship TargetMode="External" Target="https://www.legis.iowa.gov/docs/ico/chapter/321.189.pdf" Type="http://schemas.openxmlformats.org/officeDocument/2006/relationships/hyperlink" Id="rId86"/>
    <Relationship TargetMode="External" Target="https://www.legis.iowa.gov/docs/ico/chapter/307.12.pdf" Type="http://schemas.openxmlformats.org/officeDocument/2006/relationships/hyperlink" Id="rId87"/>
    <Relationship TargetMode="External" Target="https://www.legis.iowa.gov/docs/ico/chapter/321.13.pdf" Type="http://schemas.openxmlformats.org/officeDocument/2006/relationships/hyperlink" Id="rId88"/>
    <Relationship TargetMode="External" Target="https://www.legis.iowa.gov/docs/ico/chapter/321.189.pdf" Type="http://schemas.openxmlformats.org/officeDocument/2006/relationships/hyperlink" Id="rId89"/>
    <Relationship TargetMode="External" Target="https://www.legis.iowa.gov/docs/ico/chapter/321.195.pdf" Type="http://schemas.openxmlformats.org/officeDocument/2006/relationships/hyperlink" Id="rId90"/>
    <Relationship TargetMode="External" Target="https://www.legis.iowa.gov/docs/ico/chapter/321.208.pdf" Type="http://schemas.openxmlformats.org/officeDocument/2006/relationships/hyperlink" Id="rId91"/>
    <Relationship TargetMode="External" Target="https://www.legis.iowa.gov/docs/ico/chapter/321.182.pdf" Type="http://schemas.openxmlformats.org/officeDocument/2006/relationships/hyperlink" Id="rId92"/>
    <Relationship TargetMode="External" Target="https://www.legis.iowa.gov/docs/iac/rule/761.605.1.pdf" Type="http://schemas.openxmlformats.org/officeDocument/2006/relationships/hyperlink" Id="rId93"/>
    <Relationship TargetMode="External" Target="http://www.iowadot.gov/mvd/driverslicense/changes-or-corrections" Type="http://schemas.openxmlformats.org/officeDocument/2006/relationships/hyperlink" Id="rId94"/>
    <Relationship TargetMode="External" Target="https://www.legis.iowa.gov/docs/ico/chapter/307.12.pdf" Type="http://schemas.openxmlformats.org/officeDocument/2006/relationships/hyperlink" Id="rId95"/>
    <Relationship TargetMode="External" Target="https://www.legis.iowa.gov/docs/ico/chapter/321.182.pdf" Type="http://schemas.openxmlformats.org/officeDocument/2006/relationships/hyperlink" Id="rId96"/>
    <Relationship TargetMode="External" Target="https://www.legis.iowa.gov/docs/ico/chapter/321.184.pdf" Type="http://schemas.openxmlformats.org/officeDocument/2006/relationships/hyperlink" Id="rId97"/>
    <Relationship TargetMode="External" Target="https://www.legis.iowa.gov/docs/iac/rule/761.605.1.pdf" Type="http://schemas.openxmlformats.org/officeDocument/2006/relationships/hyperlink" Id="rId98"/>
    <Relationship TargetMode="External" Target="https://www.legis.iowa.gov/docs/ico/chapter/307.12.pdf" Type="http://schemas.openxmlformats.org/officeDocument/2006/relationships/hyperlink" Id="rId99"/>
    <Relationship TargetMode="External" Target="https://www.legis.iowa.gov/docs/ico/chapter/321.196.pdf" Type="http://schemas.openxmlformats.org/officeDocument/2006/relationships/hyperlink" Id="rId100"/>
    <Relationship TargetMode="External" Target="https://www.legis.iowa.gov/docs/ico/chapter/321.198.pdf" Type="http://schemas.openxmlformats.org/officeDocument/2006/relationships/hyperlink" Id="rId101"/>
    <Relationship TargetMode="External" Target="https://www.legis.iowa.gov/docs/iac/rule/761.605.1.pdf" Type="http://schemas.openxmlformats.org/officeDocument/2006/relationships/hyperlink" Id="rId102"/>
    <Relationship TargetMode="External" Target="https://www.legis.iowa.gov/docs/ico/chapter/321.198.pdf" Type="http://schemas.openxmlformats.org/officeDocument/2006/relationships/hyperlink" Id="rId103"/>
    <Relationship TargetMode="External" Target="https://www.legis.iowa.gov/docs/ico/chapter/321.198.pdf" Type="http://schemas.openxmlformats.org/officeDocument/2006/relationships/hyperlink" Id="rId104"/>
    <Relationship TargetMode="External" Target="https://www.legis.iowa.gov/docs/iac/rule/761.604.21.pdf" Type="http://schemas.openxmlformats.org/officeDocument/2006/relationships/hyperlink" Id="rId105"/>
    <Relationship TargetMode="External" Target="https://www.legis.iowa.gov/docs/iac/rule/761.604.31.pdf" Type="http://schemas.openxmlformats.org/officeDocument/2006/relationships/hyperlink" Id="rId106"/>
    <Relationship TargetMode="External" Target="https://www.legis.iowa.gov/docs/iac/rule/761.607.27.pdf" Type="http://schemas.openxmlformats.org/officeDocument/2006/relationships/hyperlink" Id="rId107"/>
    <Relationship TargetMode="External" Target="https://www.legis.iowa.gov/docs/iac/rule/761.607.28.pdf" Type="http://schemas.openxmlformats.org/officeDocument/2006/relationships/hyperlink" Id="rId108"/>
    <Relationship TargetMode="External" Target="https://www.legis.iowa.gov/docs/iac/rule/761.615.24.pdf" Type="http://schemas.openxmlformats.org/officeDocument/2006/relationships/hyperlink" Id="rId109"/>
    <Relationship TargetMode="External" Target="https://www.legis.iowa.gov/docs/ico/chapter/307.12.pdf" Type="http://schemas.openxmlformats.org/officeDocument/2006/relationships/hyperlink" Id="rId110"/>
    <Relationship TargetMode="External" Target="https://www.legis.iowa.gov/docs/ico/chapter/321.198.pdf" Type="http://schemas.openxmlformats.org/officeDocument/2006/relationships/hyperlink" Id="rId111"/>
    <Relationship TargetMode="External" Target="https://www.legis.iowa.gov/docs/ico/chapter/321.189.pdf" Type="http://schemas.openxmlformats.org/officeDocument/2006/relationships/hyperlink" Id="rId112"/>
    <Relationship TargetMode="External" Target="https://www.legis.iowa.gov/docs/ico/chapter/321.191.pdf" Type="http://schemas.openxmlformats.org/officeDocument/2006/relationships/hyperlink" Id="rId113"/>
    <Relationship TargetMode="External" Target="https://www.legis.iowa.gov/docs/iac/rule/761.601.7.pdf" Type="http://schemas.openxmlformats.org/officeDocument/2006/relationships/hyperlink" Id="rId114"/>
    <Relationship TargetMode="External" Target="https://www.legis.iowa.gov/docs/iac/rule/761.601.5.pdf" Type="http://schemas.openxmlformats.org/officeDocument/2006/relationships/hyperlink" Id="rId115"/>
    <Relationship TargetMode="External" Target="https://www.legis.iowa.gov/docs/iac/rule/761.601.5.pdf" Type="http://schemas.openxmlformats.org/officeDocument/2006/relationships/hyperlink" Id="rId116"/>
    <Relationship TargetMode="External" Target="https://www.legis.iowa.gov/docs/iac/rule/761.601.5.pdf" Type="http://schemas.openxmlformats.org/officeDocument/2006/relationships/hyperlink" Id="rId117"/>
    <Relationship TargetMode="External" Target="https://www.legis.iowa.gov/docs/iac/rule/761.601.5.pdf" Type="http://schemas.openxmlformats.org/officeDocument/2006/relationships/hyperlink" Id="rId118"/>
    <Relationship TargetMode="External" Target="https://www.legis.iowa.gov/docs/iac/rule/761.604.10.pdf" Type="http://schemas.openxmlformats.org/officeDocument/2006/relationships/hyperlink" Id="rId119"/>
    <Relationship TargetMode="External" Target="https://www.legis.iowa.gov/docs/iac/rule/761.605.15.pdf" Type="http://schemas.openxmlformats.org/officeDocument/2006/relationships/hyperlink" Id="rId120"/>
    <Relationship TargetMode="External" Target="https://www.legis.iowa.gov/docs/iac/rule/761.605.15.pdf" Type="http://schemas.openxmlformats.org/officeDocument/2006/relationships/hyperlink" Id="rId121"/>
    <Relationship TargetMode="External" Target="https://www.legis.iowa.gov/docs/iac/rule/761.605.15.pdf" Type="http://schemas.openxmlformats.org/officeDocument/2006/relationships/hyperlink" Id="rId122"/>
    <Relationship TargetMode="External" Target="https://www.legis.iowa.gov/docs/iac/rule/761.605.15.pdf" Type="http://schemas.openxmlformats.org/officeDocument/2006/relationships/hyperlink" Id="rId123"/>
    <Relationship TargetMode="External" Target="https://www.legis.iowa.gov/docs/ico/chapter/321.180.pdf" Type="http://schemas.openxmlformats.org/officeDocument/2006/relationships/hyperlink" Id="rId124"/>
    <Relationship TargetMode="External" Target="https://www.legis.iowa.gov/docs/iac/rule/761.607.50.pdf" Type="http://schemas.openxmlformats.org/officeDocument/2006/relationships/hyperlink" Id="rId125"/>
    <Relationship TargetMode="External" Target="https://www.legis.iowa.gov/docs/ico/chapter/307.12.pdf" Type="http://schemas.openxmlformats.org/officeDocument/2006/relationships/hyperlink" Id="rId126"/>
    <Relationship TargetMode="External" Target="https://www.legis.iowa.gov/docs/ico/chapter/321.186.pdf" Type="http://schemas.openxmlformats.org/officeDocument/2006/relationships/hyperlink" Id="rId127"/>
    <Relationship TargetMode="External" Target="https://www.legis.iowa.gov/docs/ico/chapter/321.188.pdf" Type="http://schemas.openxmlformats.org/officeDocument/2006/relationships/hyperlink" Id="rId128"/>
    <Relationship TargetMode="External" Target="https://www.legis.iowa.gov/docs/ico/chapter/321.196.pdf" Type="http://schemas.openxmlformats.org/officeDocument/2006/relationships/hyperlink" Id="rId129"/>
    <Relationship TargetMode="External" Target="https://www.legis.iowa.gov/docs/ico/chapter/321.180B.pdf" Type="http://schemas.openxmlformats.org/officeDocument/2006/relationships/hyperlink" Id="rId130"/>
    <Relationship TargetMode="External" Target="https://www.legis.iowa.gov/docs/iac/rule/761.605.15.pdf" Type="http://schemas.openxmlformats.org/officeDocument/2006/relationships/hyperlink" Id="rId131"/>
    <Relationship TargetMode="External" Target="https://www.legis.iowa.gov/docs/iac/rule/761.605.15.pdf" Type="http://schemas.openxmlformats.org/officeDocument/2006/relationships/hyperlink" Id="rId132"/>
    <Relationship TargetMode="External" Target="https://www.legis.iowa.gov/docs/ico/chapter/321.180B.pdf" Type="http://schemas.openxmlformats.org/officeDocument/2006/relationships/hyperlink" Id="rId133"/>
    <Relationship TargetMode="External" Target="https://www.legis.iowa.gov/docs/ico/chapter/321.194.pdf" Type="http://schemas.openxmlformats.org/officeDocument/2006/relationships/hyperlink" Id="rId134"/>
    <Relationship TargetMode="External" Target="https://www.legis.iowa.gov/docs/ico/chapter/321.180B.pdf" Type="http://schemas.openxmlformats.org/officeDocument/2006/relationships/hyperlink" Id="rId135"/>
    <Relationship TargetMode="External" Target="https://www.legis.iowa.gov/docs/ico/chapter/321.194.pdf" Type="http://schemas.openxmlformats.org/officeDocument/2006/relationships/hyperlink" Id="rId136"/>
    <Relationship TargetMode="External" Target="https://www.legis.iowa.gov/docs/iac/rule/761.605.15.pdf" Type="http://schemas.openxmlformats.org/officeDocument/2006/relationships/hyperlink" Id="rId137"/>
    <Relationship TargetMode="External" Target="https://www.legis.iowa.gov/docs/ico/chapter/307.12.pdf" Type="http://schemas.openxmlformats.org/officeDocument/2006/relationships/hyperlink" Id="rId138"/>
    <Relationship TargetMode="External" Target="https://www.legis.iowa.gov/docs/ico/chapter/321.180B.pdf" Type="http://schemas.openxmlformats.org/officeDocument/2006/relationships/hyperlink" Id="rId139"/>
    <Relationship TargetMode="External" Target="https://www.legis.iowa.gov/docs/ico/chapter/321.194.pdf" Type="http://schemas.openxmlformats.org/officeDocument/2006/relationships/hyperlink" Id="rId140"/>
    <Relationship Target="footer.xml" Type="http://schemas.openxmlformats.org/officeDocument/2006/relationships/footer" Id="rId14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