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604</w:t>
      </w:r>
    </w:p>
    <w:p>
      <w:pPr>
        <w:spacing w:before="0" w:after="0"/>
        <w:ind w:left="120"/>
        <w:jc w:val="center"/>
      </w:pPr>
      <w:r>
        <w:rPr>
          <w:rFonts w:ascii="Times New Roman" w:hAnsi="Times New Roman"/>
          <w:b w:val="false"/>
          <w:i w:val="false"/>
          <w:color w:val="000000"/>
          <w:sz w:val="21"/>
        </w:rPr>
        <w:t>LICENSE EXAMINATION</w:t>
      </w:r>
    </w:p>
    <w:p>
      <w:pPr>
        <w:spacing w:before="0" w:after="0"/>
        <w:ind w:left="120"/>
        <w:jc w:val="center"/>
      </w:pPr>
      <w:r>
        <w:rPr>
          <w:rFonts w:ascii="Times New Roman" w:hAnsi="Times New Roman"/>
          <w:b w:val="false"/>
          <w:i w:val="false"/>
          <w:color w:val="000000"/>
          <w:sz w:val="14"/>
        </w:rPr>
        <w:t>[Prior to 6/3/87, see Transportation Department[820]—(07,C) rules 13.3 and 13.17]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761—604.1</w:t>
      </w:r>
      <w:r>
        <w:rPr>
          <w:rFonts w:ascii="Times New Roman" w:hAnsi="Times New Roman"/>
          <w:b/>
          <w:i w:val="false"/>
          <w:color w:val="000000"/>
          <w:sz w:val="22"/>
        </w:rPr>
        <w:t xml:space="preserve">(307,321) </w:t>
      </w:r>
      <w:r>
        <w:rPr>
          <w:rFonts w:ascii="Times New Roman" w:hAnsi="Times New Roman"/>
          <w:b/>
          <w:i w:val="false"/>
          <w:color w:val="000000"/>
          <w:sz w:val="22"/>
        </w:rPr>
        <w:t xml:space="preserve">Authority and 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604.1(1)</w:t>
      </w:r>
      <w:r>
        <w:rPr>
          <w:rFonts w:ascii="Times New Roman" w:hAnsi="Times New Roman"/>
          <w:b w:val="false"/>
          <w:i w:val="false"/>
          <w:color w:val="000000"/>
          <w:sz w:val="22"/>
        </w:rPr>
        <w:t> </w:t>
      </w:r>
      <w:r>
        <w:rPr>
          <w:rFonts w:ascii="Times New Roman" w:hAnsi="Times New Roman"/>
          <w:b w:val="false"/>
          <w:i w:val="false"/>
          <w:color w:val="000000"/>
          <w:sz w:val="22"/>
        </w:rPr>
        <w:t>The department is authorized to determine by examination an applicant’s ability to operate motor vehicles safely upon the highways and to issue all driver’s licenses.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604.1(2)</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applies to the examination for all driver’s licenses. Information on the additional examination procedures and requirements for a commercial driver’s license or commercial learner’s permit is given in </w:t>
      </w:r>
      <w:hyperlink r:id="rId5">
        <w:r>
          <w:rPr>
            <w:rStyle w:val="Hyperlink"/>
            <w:rFonts w:ascii="Times New Roman" w:hAnsi="Times New Roman"/>
            <w:b w:val="false"/>
            <w:i w:val="false"/>
            <w:color w:val="000000"/>
            <w:sz w:val="22"/>
          </w:rPr>
          <w:t>761—Chapter 607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7">
        <w:r>
          <w:rPr>
            <w:rStyle w:val="Hyperlink"/>
            <w:rFonts w:ascii="Times New Roman" w:hAnsi="Times New Roman"/>
            <w:b w:val="false"/>
            <w:i w:val="false"/>
            <w:color w:val="000000"/>
            <w:sz w:val="22"/>
          </w:rPr>
          <w:t>321.2</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321.3</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321.13</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9578C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761—604.2</w:t>
      </w:r>
      <w:r>
        <w:rPr>
          <w:rFonts w:ascii="Times New Roman" w:hAnsi="Times New Roman"/>
          <w:b/>
          <w:i w:val="false"/>
          <w:color w:val="000000"/>
          <w:sz w:val="22"/>
        </w:rPr>
        <w:t xml:space="preserve">(307,321)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“Binocular field of vision” </w:t>
      </w:r>
      <w:r>
        <w:rPr>
          <w:rFonts w:ascii="Times New Roman" w:hAnsi="Times New Roman"/>
          <w:b w:val="false"/>
          <w:i w:val="false"/>
          <w:color w:val="000000"/>
          <w:sz w:val="22"/>
        </w:rPr>
        <w:t>is the sum of the temporal measurements or the sum of the nasal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“driver’s license” as defined in Iowa Code section </w:t>
      </w:r>
      <w:hyperlink r:id="rId12">
        <w:r>
          <w:rPr>
            <w:rStyle w:val="Hyperlink"/>
            <w:rFonts w:ascii="Times New Roman" w:hAnsi="Times New Roman"/>
            <w:b w:val="false"/>
            <w:i w:val="false"/>
            <w:color w:val="000000"/>
            <w:sz w:val="22"/>
          </w:rPr>
          <w:t>321.1(20A)</w:t>
        </w:r>
      </w:hyperlink>
      <w:r>
        <w:rPr>
          <w:rFonts w:ascii="Times New Roman" w:hAnsi="Times New Roman"/>
          <w:b w:val="false"/>
          <w:i w:val="false"/>
          <w:color w:val="000000"/>
          <w:sz w:val="22"/>
        </w:rPr>
        <w:t xml:space="preserve">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“Monocular field of vision” </w:t>
      </w:r>
      <w:r>
        <w:rPr>
          <w:rFonts w:ascii="Times New Roman" w:hAnsi="Times New Roman"/>
          <w:b w:val="false"/>
          <w:i w:val="false"/>
          <w:color w:val="000000"/>
          <w:sz w:val="22"/>
        </w:rPr>
        <w:t>is the sum of the temporal measurement and the nasal measurement for one eye.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“Representative vehicle” </w:t>
      </w:r>
      <w:r>
        <w:rPr>
          <w:rFonts w:ascii="Times New Roman" w:hAnsi="Times New Roman"/>
          <w:b w:val="false"/>
          <w:i w:val="false"/>
          <w:color w:val="000000"/>
          <w:sz w:val="22"/>
        </w:rPr>
        <w:t>is a vehicle that is characteristic of and requires operating skills comparable to those vehicles that may legally be operated under the class of license or endorsement desired.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14">
        <w:r>
          <w:rPr>
            <w:rStyle w:val="Hyperlink"/>
            <w:rFonts w:ascii="Times New Roman" w:hAnsi="Times New Roman"/>
            <w:b w:val="false"/>
            <w:i w:val="false"/>
            <w:color w:val="000000"/>
            <w:sz w:val="22"/>
          </w:rPr>
          <w:t>321.174</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9578C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761—604.3</w:t>
      </w:r>
      <w:r>
        <w:rPr>
          <w:rFonts w:ascii="Times New Roman" w:hAnsi="Times New Roman"/>
          <w:b/>
          <w:i w:val="false"/>
          <w:color w:val="000000"/>
          <w:sz w:val="22"/>
        </w:rPr>
        <w:t xml:space="preserve">(307) </w:t>
      </w:r>
      <w:r>
        <w:rPr>
          <w:rFonts w:ascii="Times New Roman" w:hAnsi="Times New Roman"/>
          <w:b/>
          <w:i w:val="false"/>
          <w:color w:val="000000"/>
          <w:sz w:val="22"/>
        </w:rPr>
        <w:t xml:space="preserve">Information and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604.3(1)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forms and information about driver’s license examinations are available at any driver’s license service center. Assistance is also available by mail at Motor Vehicle Division, Iowa Department of Transportation, P.O. Box 9204, Des Moines, Iowa 50306-9204; in person at 6310 SE Convenience Blvd., Ankeny, Iowa; by telephone at 515.244.8725; by facsimile at 515.239.1837; or on the department’s website at </w:t>
      </w:r>
      <w:hyperlink r:id="rId16">
        <w:r>
          <w:rPr>
            <w:rStyle w:val="Hyperlink"/>
            <w:rFonts w:ascii="Times New Roman" w:hAnsi="Times New Roman"/>
            <w:b w:val="false"/>
            <w:i w:val="false"/>
            <w:color w:val="000000"/>
            <w:sz w:val="22"/>
            <w:u w:val="single"/>
          </w:rPr>
          <w:t>www.iowadot.gov/mvd/driverslicense/driverslicense/descriptions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604.3(2)</w:t>
      </w:r>
      <w:r>
        <w:rPr>
          <w:rFonts w:ascii="Times New Roman" w:hAnsi="Times New Roman"/>
          <w:b w:val="false"/>
          <w:i w:val="false"/>
          <w:color w:val="000000"/>
          <w:sz w:val="22"/>
        </w:rPr>
        <w:t> </w:t>
      </w:r>
      <w:r>
        <w:rPr>
          <w:rFonts w:ascii="Times New Roman" w:hAnsi="Times New Roman"/>
          <w:b w:val="false"/>
          <w:i w:val="false"/>
          <w:color w:val="000000"/>
          <w:sz w:val="22"/>
        </w:rPr>
        <w:t>The “Iowa Driver Manual” and the “Iowa Motorcycle Operator Manual” are also available from the department and on the department’s website.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9578C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761—604.4</w:t>
      </w:r>
      <w:r>
        <w:rPr>
          <w:rFonts w:ascii="Times New Roman" w:hAnsi="Times New Roman"/>
          <w:b/>
          <w:i w:val="false"/>
          <w:color w:val="000000"/>
          <w:sz w:val="22"/>
        </w:rPr>
        <w:t xml:space="preserve">(307,321) </w:t>
      </w:r>
      <w:r>
        <w:rPr>
          <w:rFonts w:ascii="Times New Roman" w:hAnsi="Times New Roman"/>
          <w:b/>
          <w:i w:val="false"/>
          <w:color w:val="000000"/>
          <w:sz w:val="22"/>
        </w:rPr>
        <w:t xml:space="preserve">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604.4(1)</w:t>
      </w:r>
      <w:r>
        <w:rPr>
          <w:rFonts w:ascii="Times New Roman" w:hAnsi="Times New Roman"/>
          <w:b w:val="false"/>
          <w:i w:val="false"/>
          <w:color w:val="000000"/>
          <w:sz w:val="22"/>
        </w:rPr>
        <w:t> </w:t>
      </w:r>
      <w:r>
        <w:rPr>
          <w:rFonts w:ascii="Times New Roman" w:hAnsi="Times New Roman"/>
          <w:b w:val="false"/>
          <w:i w:val="false"/>
          <w:color w:val="000000"/>
          <w:sz w:val="22"/>
        </w:rPr>
        <w:t>An examination is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vision screening if the person has not filed a vision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knowledge test of Iowa traffic laws and highway signs.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driving test of the person’s ability to operate a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604.4(2)</w:t>
      </w:r>
      <w:r>
        <w:rPr>
          <w:rFonts w:ascii="Times New Roman" w:hAnsi="Times New Roman"/>
          <w:b w:val="false"/>
          <w:i w:val="false"/>
          <w:color w:val="000000"/>
          <w:sz w:val="22"/>
        </w:rPr>
        <w:t> </w:t>
      </w:r>
      <w:r>
        <w:rPr>
          <w:rFonts w:ascii="Times New Roman" w:hAnsi="Times New Roman"/>
          <w:b w:val="false"/>
          <w:i w:val="false"/>
          <w:color w:val="000000"/>
          <w:sz w:val="22"/>
        </w:rPr>
        <w:t>The examination required for a driver’s license depends upon the class of license requested, applicable endorsements and the qualifications of the applicant.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19">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321.186A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9578C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761—604.5</w:t>
      </w:r>
      <w:r>
        <w:rPr>
          <w:rFonts w:ascii="Times New Roman" w:hAnsi="Times New Roman"/>
          <w:b/>
          <w:i w:val="false"/>
          <w:color w:val="000000"/>
          <w:sz w:val="22"/>
        </w:rPr>
        <w:t xml:space="preserve">(307,321) </w:t>
      </w:r>
      <w:r>
        <w:rPr>
          <w:rFonts w:ascii="Times New Roman" w:hAnsi="Times New Roman"/>
          <w:b/>
          <w:i w:val="false"/>
          <w:color w:val="000000"/>
          <w:sz w:val="22"/>
        </w:rPr>
        <w:t xml:space="preserve">Vision screening.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604.5(1)</w:t>
      </w:r>
      <w:r>
        <w:rPr>
          <w:rFonts w:ascii="Times New Roman" w:hAnsi="Times New Roman"/>
          <w:b w:val="false"/>
          <w:i w:val="false"/>
          <w:color w:val="000000"/>
          <w:sz w:val="22"/>
        </w:rPr>
        <w:t> </w:t>
      </w:r>
      <w:r>
        <w:rPr>
          <w:rFonts w:ascii="Times New Roman" w:hAnsi="Times New Roman"/>
          <w:b w:val="false"/>
          <w:i/>
          <w:color w:val="000000"/>
          <w:sz w:val="22"/>
        </w:rPr>
        <w:t xml:space="preserve">Method. </w:t>
      </w:r>
      <w:r>
        <w:rPr>
          <w:rFonts w:ascii="Times New Roman" w:hAnsi="Times New Roman"/>
          <w:b w:val="false"/>
          <w:i w:val="false"/>
          <w:color w:val="000000"/>
          <w:sz w:val="22"/>
        </w:rPr>
        <w:t>Prior to issuance, the department will use a vision screening instrument to screen the applicant’s vision. An applicant who uses corrective lenses may be screened with or without the corrective lenses.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604.5(2)</w:t>
      </w:r>
      <w:r>
        <w:rPr>
          <w:rFonts w:ascii="Times New Roman" w:hAnsi="Times New Roman"/>
          <w:b w:val="false"/>
          <w:i w:val="false"/>
          <w:color w:val="000000"/>
          <w:sz w:val="22"/>
        </w:rPr>
        <w:t> </w:t>
      </w:r>
      <w:r>
        <w:rPr>
          <w:rFonts w:ascii="Times New Roman" w:hAnsi="Times New Roman"/>
          <w:b w:val="false"/>
          <w:i/>
          <w:color w:val="000000"/>
          <w:sz w:val="22"/>
        </w:rPr>
        <w:t xml:space="preserve">Report. </w:t>
      </w:r>
      <w:r>
        <w:rPr>
          <w:rFonts w:ascii="Times New Roman" w:hAnsi="Times New Roman"/>
          <w:b w:val="false"/>
          <w:i w:val="false"/>
          <w:color w:val="000000"/>
          <w:sz w:val="22"/>
        </w:rPr>
        <w:t>A vision report measuring visual acuity level and field of vision is to be submitted on Form 430032 signed by a licensed vision specialist within 30 days prior to submission to the department for consideration. In lieu of Form 430032, a letter signed by a licensed vision specialist may be accepted if it contains all the information specified on Form 430032.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604.5(3)</w:t>
      </w:r>
      <w:r>
        <w:rPr>
          <w:rFonts w:ascii="Times New Roman" w:hAnsi="Times New Roman"/>
          <w:b w:val="false"/>
          <w:i w:val="false"/>
          <w:color w:val="000000"/>
          <w:sz w:val="22"/>
        </w:rPr>
        <w:t> </w:t>
      </w:r>
      <w:r>
        <w:rPr>
          <w:rFonts w:ascii="Times New Roman" w:hAnsi="Times New Roman"/>
          <w:b w:val="false"/>
          <w:i/>
          <w:color w:val="000000"/>
          <w:sz w:val="22"/>
        </w:rPr>
        <w:t xml:space="preserve">Exception for persons renewing electronically. </w:t>
      </w:r>
      <w:r>
        <w:rPr>
          <w:rFonts w:ascii="Times New Roman" w:hAnsi="Times New Roman"/>
          <w:b w:val="false"/>
          <w:i w:val="false"/>
          <w:color w:val="000000"/>
          <w:sz w:val="22"/>
        </w:rPr>
        <w:t xml:space="preserve">An applicant renewing a driver’s license electronically pursuant to </w:t>
      </w:r>
      <w:hyperlink r:id="rId21">
        <w:r>
          <w:rPr>
            <w:rStyle w:val="Hyperlink"/>
            <w:rFonts w:ascii="Times New Roman" w:hAnsi="Times New Roman"/>
            <w:b w:val="false"/>
            <w:i w:val="false"/>
            <w:color w:val="000000"/>
            <w:sz w:val="22"/>
          </w:rPr>
          <w:t>761—subrule 605.25(7)</w:t>
        </w:r>
      </w:hyperlink>
      <w:r>
        <w:rPr>
          <w:rFonts w:ascii="Times New Roman" w:hAnsi="Times New Roman"/>
          <w:b w:val="false"/>
          <w:i w:val="false"/>
          <w:color w:val="000000"/>
          <w:sz w:val="22"/>
        </w:rPr>
        <w:t xml:space="preserve"> is not required to complete a vision screening or submit a vision report. This subrule does not preclude the department from requiring a vision screening or vision report of a person who has renewed a driver’s license electronically when the department has reason to believe that the person is not capable of operating a motor vehicle safely.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23">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321.186A</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9578C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761—604.6</w:t>
      </w:r>
      <w:r>
        <w:rPr>
          <w:rFonts w:ascii="Times New Roman" w:hAnsi="Times New Roman"/>
          <w:b/>
          <w:i w:val="false"/>
          <w:color w:val="000000"/>
          <w:sz w:val="22"/>
        </w:rPr>
        <w:t xml:space="preserve">(307,321) </w:t>
      </w:r>
      <w:r>
        <w:rPr>
          <w:rFonts w:ascii="Times New Roman" w:hAnsi="Times New Roman"/>
          <w:b/>
          <w:i w:val="false"/>
          <w:color w:val="000000"/>
          <w:sz w:val="22"/>
        </w:rPr>
        <w:t xml:space="preserve">Vision standards. </w:t>
      </w:r>
      <w:r>
        <w:rPr>
          <w:rFonts w:ascii="Times New Roman" w:hAnsi="Times New Roman"/>
          <w:b w:val="false"/>
          <w:i w:val="false"/>
          <w:color w:val="000000"/>
          <w:sz w:val="22"/>
        </w:rPr>
        <w:t>The visual acuity and field of vision standards for licensing and the applicable restrictions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604.6(1)</w:t>
      </w:r>
      <w:r>
        <w:rPr>
          <w:rFonts w:ascii="Times New Roman" w:hAnsi="Times New Roman"/>
          <w:b w:val="false"/>
          <w:i w:val="false"/>
          <w:color w:val="000000"/>
          <w:sz w:val="22"/>
        </w:rPr>
        <w:t> </w:t>
      </w:r>
      <w:r>
        <w:rPr>
          <w:rFonts w:ascii="Times New Roman" w:hAnsi="Times New Roman"/>
          <w:b w:val="false"/>
          <w:i/>
          <w:color w:val="000000"/>
          <w:sz w:val="22"/>
        </w:rPr>
        <w:t xml:space="preserve">Visual acuity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the applicant is screened without corrective lenses. </w:t>
      </w:r>
      <w:r>
        <w:rPr>
          <w:rFonts w:ascii="Times New Roman" w:hAnsi="Times New Roman"/>
          <w:b w:val="false"/>
          <w:i w:val="false"/>
          <w:color w:val="000000"/>
          <w:sz w:val="22"/>
        </w:rPr>
        <w:t>If the visual acuity is 20/40 or better with both eyes or with the better eye, no restriction will be imposed. If the visual acuity is less than 20/40 but at least 20/70 with both eyes or with the better eye, the applicant is to be restricted from driving when headlights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When the applicant is screened with corrective lenses. </w:t>
      </w:r>
      <w:r>
        <w:rPr>
          <w:rFonts w:ascii="Times New Roman" w:hAnsi="Times New Roman"/>
          <w:b w:val="false"/>
          <w:i w:val="false"/>
          <w:color w:val="000000"/>
          <w:sz w:val="22"/>
        </w:rPr>
        <w:t>If the visual acuity is 20/40 or better with both eyes or with the better eye, the applicant is to be restricted to wear corrective lenses when driving. If the visual acuity is less than 20/40 but at least 20/70 with both eyes or with the better eye, the applicant is to be restricted from driving when headlights are required and to wear corrective lenses when driving.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Other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visual acuity in the left eye is less than 20/100, the applicant is to be restricted to driving a vehicle with both left and right outside rearview mirrors. However, if the applicant has a visual acuity of 20/40 in the right eye and less than 20/100 in the left eye without corrective lenses and has corrective lenses that improve the vision in the left eye to better than 20/100, the applicant is to have the option of being restricted to driving with corrective lenses or driving a vehicle with both left and right outside rearview mirrors.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driving test is required prior to issuance the first time visual acuity measures below 20/40.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604.6(2)</w:t>
      </w:r>
      <w:r>
        <w:rPr>
          <w:rFonts w:ascii="Times New Roman" w:hAnsi="Times New Roman"/>
          <w:b w:val="false"/>
          <w:i w:val="false"/>
          <w:color w:val="000000"/>
          <w:sz w:val="22"/>
        </w:rPr>
        <w:t> </w:t>
      </w:r>
      <w:r>
        <w:rPr>
          <w:rFonts w:ascii="Times New Roman" w:hAnsi="Times New Roman"/>
          <w:b w:val="false"/>
          <w:i/>
          <w:color w:val="000000"/>
          <w:sz w:val="22"/>
        </w:rPr>
        <w:t xml:space="preserve">Field of vision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binocular field of vision is at least 140 degrees, no restriction will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binocular field of vision is less than 140 degrees but at least 110 degrees, or one eye has a monocular field of vision of at least 100 degrees, the applicant is to be restricted to driving a vehicle with both left and right outside rearview mirrors.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27">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321.193</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9578C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761—604.7</w:t>
      </w:r>
      <w:r>
        <w:rPr>
          <w:rFonts w:ascii="Times New Roman" w:hAnsi="Times New Roman"/>
          <w:b/>
          <w:i w:val="false"/>
          <w:color w:val="000000"/>
          <w:sz w:val="22"/>
        </w:rPr>
        <w:t xml:space="preserve">(307,321) </w:t>
      </w:r>
      <w:r>
        <w:rPr>
          <w:rFonts w:ascii="Times New Roman" w:hAnsi="Times New Roman"/>
          <w:b/>
          <w:i w:val="false"/>
          <w:color w:val="000000"/>
          <w:sz w:val="22"/>
        </w:rPr>
        <w:t xml:space="preserve">Vision referrals.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604.7(1)</w:t>
      </w:r>
      <w:r>
        <w:rPr>
          <w:rFonts w:ascii="Times New Roman" w:hAnsi="Times New Roman"/>
          <w:b w:val="false"/>
          <w:i w:val="false"/>
          <w:color w:val="000000"/>
          <w:sz w:val="22"/>
        </w:rPr>
        <w:t> </w:t>
      </w:r>
      <w:r>
        <w:rPr>
          <w:rFonts w:ascii="Times New Roman" w:hAnsi="Times New Roman"/>
          <w:b w:val="false"/>
          <w:i/>
          <w:color w:val="000000"/>
          <w:sz w:val="22"/>
        </w:rPr>
        <w:t xml:space="preserve">Referral.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during any vision screening, an applicant cannot attain 20/40 with at least one eye but can attain 20/70 with at least one eye, the department will not issue a license to the applicant and will advise the applicant to consult a licensed vision specialist.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vision report, pursuant to subrule </w:t>
      </w:r>
      <w:hyperlink r:id="rId30">
        <w:r>
          <w:rPr>
            <w:rStyle w:val="Hyperlink"/>
            <w:rFonts w:ascii="Times New Roman" w:hAnsi="Times New Roman"/>
            <w:b w:val="false"/>
            <w:i w:val="false"/>
            <w:color w:val="000000"/>
            <w:sz w:val="22"/>
          </w:rPr>
          <w:t>604.5(2)</w:t>
        </w:r>
      </w:hyperlink>
      <w:r>
        <w:rPr>
          <w:rFonts w:ascii="Times New Roman" w:hAnsi="Times New Roman"/>
          <w:b w:val="false"/>
          <w:i w:val="false"/>
          <w:color w:val="000000"/>
          <w:sz w:val="22"/>
        </w:rPr>
        <w:t>, is required before the department will reconsider licensing.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604.7(2)</w:t>
      </w: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If the applicant’s license is valid, the department may issue a temporary driving permit with restrictions appropriate to the applicant’s visual acuity level and field of vision. If the applicant’s license is valid for less than 30 days, the temporary driving permit will not be valid for more than 60 days from the end of the current license validity.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604.7(3)</w:t>
      </w:r>
      <w:r>
        <w:rPr>
          <w:rFonts w:ascii="Times New Roman" w:hAnsi="Times New Roman"/>
          <w:b w:val="false"/>
          <w:i w:val="false"/>
          <w:color w:val="000000"/>
          <w:sz w:val="22"/>
        </w:rPr>
        <w:t> </w:t>
      </w:r>
      <w:r>
        <w:rPr>
          <w:rFonts w:ascii="Times New Roman" w:hAnsi="Times New Roman"/>
          <w:b w:val="false"/>
          <w:i/>
          <w:color w:val="000000"/>
          <w:sz w:val="22"/>
        </w:rPr>
        <w:t xml:space="preserve">Report. </w:t>
      </w:r>
      <w:r>
        <w:rPr>
          <w:rFonts w:ascii="Times New Roman" w:hAnsi="Times New Roman"/>
          <w:b w:val="false"/>
          <w:i w:val="false"/>
          <w:color w:val="000000"/>
          <w:sz w:val="22"/>
        </w:rPr>
        <w:t>If the vision report recommends a restriction, the department will issue a restricted license even though it would not be required by departmental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604.7(4)</w:t>
      </w:r>
      <w:r>
        <w:rPr>
          <w:rFonts w:ascii="Times New Roman" w:hAnsi="Times New Roman"/>
          <w:b w:val="false"/>
          <w:i w:val="false"/>
          <w:color w:val="000000"/>
          <w:sz w:val="22"/>
        </w:rPr>
        <w:t> </w:t>
      </w:r>
      <w:r>
        <w:rPr>
          <w:rFonts w:ascii="Times New Roman" w:hAnsi="Times New Roman"/>
          <w:b w:val="false"/>
          <w:i/>
          <w:color w:val="000000"/>
          <w:sz w:val="22"/>
        </w:rPr>
        <w:t xml:space="preserve">Applicant refusal. </w:t>
      </w:r>
      <w:r>
        <w:rPr>
          <w:rFonts w:ascii="Times New Roman" w:hAnsi="Times New Roman"/>
          <w:b w:val="false"/>
          <w:i w:val="false"/>
          <w:color w:val="000000"/>
          <w:sz w:val="22"/>
        </w:rPr>
        <w:t>If an applicant refuses to consult a licensed vision specialist, the department will issue or deny the license based on the results achieved on the vision screening.</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32">
        <w:r>
          <w:rPr>
            <w:rStyle w:val="Hyperlink"/>
            <w:rFonts w:ascii="Times New Roman" w:hAnsi="Times New Roman"/>
            <w:b w:val="false"/>
            <w:i w:val="false"/>
            <w:color w:val="000000"/>
            <w:sz w:val="22"/>
          </w:rPr>
          <w:t>321.181</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321.186A</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321.193</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9578C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761—604.8</w:t>
      </w:r>
      <w:r>
        <w:rPr>
          <w:rFonts w:ascii="Times New Roman" w:hAnsi="Times New Roman"/>
          <w:b/>
          <w:i w:val="false"/>
          <w:color w:val="000000"/>
          <w:sz w:val="22"/>
        </w:rPr>
        <w:t xml:space="preserve">(307,321) </w:t>
      </w:r>
      <w:r>
        <w:rPr>
          <w:rFonts w:ascii="Times New Roman" w:hAnsi="Times New Roman"/>
          <w:b/>
          <w:i w:val="false"/>
          <w:color w:val="000000"/>
          <w:sz w:val="22"/>
        </w:rPr>
        <w:t xml:space="preserve">Vision screening results.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604.8(1)</w:t>
      </w:r>
      <w:r>
        <w:rPr>
          <w:rFonts w:ascii="Times New Roman" w:hAnsi="Times New Roman"/>
          <w:b w:val="false"/>
          <w:i w:val="false"/>
          <w:color w:val="000000"/>
          <w:sz w:val="22"/>
        </w:rPr>
        <w:t> </w:t>
      </w:r>
      <w:r>
        <w:rPr>
          <w:rFonts w:ascii="Times New Roman" w:hAnsi="Times New Roman"/>
          <w:b w:val="false"/>
          <w:i/>
          <w:color w:val="000000"/>
          <w:sz w:val="22"/>
        </w:rPr>
        <w:t xml:space="preserve">Two-year license. </w:t>
      </w:r>
      <w:r>
        <w:rPr>
          <w:rFonts w:ascii="Times New Roman" w:hAnsi="Times New Roman"/>
          <w:b w:val="false"/>
          <w:i w:val="false"/>
          <w:color w:val="000000"/>
          <w:sz w:val="22"/>
        </w:rPr>
        <w:t>An applicant who cannot attain a visual acuity of 20/40 with both eyes or with the better eye will be issued a two-year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604.8(2)</w:t>
      </w:r>
      <w:r>
        <w:rPr>
          <w:rFonts w:ascii="Times New Roman" w:hAnsi="Times New Roman"/>
          <w:b w:val="false"/>
          <w:i w:val="false"/>
          <w:color w:val="000000"/>
          <w:sz w:val="22"/>
        </w:rPr>
        <w:t> </w:t>
      </w:r>
      <w:r>
        <w:rPr>
          <w:rFonts w:ascii="Times New Roman" w:hAnsi="Times New Roman"/>
          <w:b w:val="false"/>
          <w:i/>
          <w:color w:val="000000"/>
          <w:sz w:val="22"/>
        </w:rPr>
        <w:t xml:space="preserve">License denied.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cannot attain a visual acuity of 20/70 with both eyes or with the better eye will not be licensed subject to discretionary issuance under subrule </w:t>
      </w:r>
      <w:hyperlink r:id="rId37">
        <w:r>
          <w:rPr>
            <w:rStyle w:val="Hyperlink"/>
            <w:rFonts w:ascii="Times New Roman" w:hAnsi="Times New Roman"/>
            <w:b w:val="false"/>
            <w:i w:val="false"/>
            <w:color w:val="000000"/>
            <w:sz w:val="22"/>
          </w:rPr>
          <w:t>604.8(4)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applicant’s binocular field of vision is less than 110 degrees or the monocular field of vision is less than 100 degrees, the applicant will not be licensed subject to discretionary issuance under subrule </w:t>
      </w:r>
      <w:hyperlink r:id="rId38">
        <w:r>
          <w:rPr>
            <w:rStyle w:val="Hyperlink"/>
            <w:rFonts w:ascii="Times New Roman" w:hAnsi="Times New Roman"/>
            <w:b w:val="false"/>
            <w:i w:val="false"/>
            <w:color w:val="000000"/>
            <w:sz w:val="22"/>
          </w:rPr>
          <w:t>604.8(4)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604.8(3)</w:t>
      </w:r>
      <w:r>
        <w:rPr>
          <w:rFonts w:ascii="Times New Roman" w:hAnsi="Times New Roman"/>
          <w:b w:val="false"/>
          <w:i w:val="false"/>
          <w:color w:val="000000"/>
          <w:sz w:val="22"/>
        </w:rPr>
        <w:t> </w:t>
      </w:r>
      <w:r>
        <w:rPr>
          <w:rFonts w:ascii="Times New Roman" w:hAnsi="Times New Roman"/>
          <w:b w:val="false"/>
          <w:i/>
          <w:color w:val="000000"/>
          <w:sz w:val="22"/>
        </w:rPr>
        <w:t xml:space="preserve">Reapplication. </w:t>
      </w:r>
      <w:r>
        <w:rPr>
          <w:rFonts w:ascii="Times New Roman" w:hAnsi="Times New Roman"/>
          <w:b w:val="false"/>
          <w:i w:val="false"/>
          <w:color w:val="000000"/>
          <w:sz w:val="22"/>
        </w:rPr>
        <w:t xml:space="preserve">An applicant who cannot meet the vision standards in subrule </w:t>
      </w:r>
      <w:hyperlink r:id="rId39">
        <w:r>
          <w:rPr>
            <w:rStyle w:val="Hyperlink"/>
            <w:rFonts w:ascii="Times New Roman" w:hAnsi="Times New Roman"/>
            <w:b w:val="false"/>
            <w:i w:val="false"/>
            <w:color w:val="000000"/>
            <w:sz w:val="22"/>
          </w:rPr>
          <w:t>604.8(2)</w:t>
        </w:r>
      </w:hyperlink>
      <w:r>
        <w:rPr>
          <w:rFonts w:ascii="Times New Roman" w:hAnsi="Times New Roman"/>
          <w:b w:val="false"/>
          <w:i w:val="false"/>
          <w:color w:val="000000"/>
          <w:sz w:val="22"/>
        </w:rPr>
        <w:t xml:space="preserve"> may reapply when the vision improves and the applicant meets the vision standards. If a suspension or denial notice was served, reapplication is to be made to the motor vehicle division at the address in subrule </w:t>
      </w:r>
      <w:hyperlink r:id="rId40">
        <w:r>
          <w:rPr>
            <w:rStyle w:val="Hyperlink"/>
            <w:rFonts w:ascii="Times New Roman" w:hAnsi="Times New Roman"/>
            <w:b w:val="false"/>
            <w:i w:val="false"/>
            <w:color w:val="000000"/>
            <w:sz w:val="22"/>
          </w:rPr>
          <w:t>604.3(1)</w:t>
        </w:r>
      </w:hyperlink>
      <w:r>
        <w:rPr>
          <w:rFonts w:ascii="Times New Roman" w:hAnsi="Times New Roman"/>
          <w:b w:val="false"/>
          <w:i w:val="false"/>
          <w:color w:val="000000"/>
          <w:sz w:val="22"/>
        </w:rPr>
        <w:t xml:space="preserve"> or at a driver’s license service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604.8(4)</w:t>
      </w:r>
      <w:r>
        <w:rPr>
          <w:rFonts w:ascii="Times New Roman" w:hAnsi="Times New Roman"/>
          <w:b w:val="false"/>
          <w:i w:val="false"/>
          <w:color w:val="000000"/>
          <w:sz w:val="22"/>
        </w:rPr>
        <w:t> </w:t>
      </w:r>
      <w:r>
        <w:rPr>
          <w:rFonts w:ascii="Times New Roman" w:hAnsi="Times New Roman"/>
          <w:b w:val="false"/>
          <w:i/>
          <w:color w:val="000000"/>
          <w:sz w:val="22"/>
        </w:rPr>
        <w:t xml:space="preserve">Discretionary 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whose license is restricted under rule </w:t>
      </w:r>
      <w:hyperlink r:id="rId41">
        <w:r>
          <w:rPr>
            <w:rStyle w:val="Hyperlink"/>
            <w:rFonts w:ascii="Times New Roman" w:hAnsi="Times New Roman"/>
            <w:b w:val="false"/>
            <w:i w:val="false"/>
            <w:color w:val="000000"/>
            <w:sz w:val="22"/>
          </w:rPr>
          <w:t>761—604.6</w:t>
        </w:r>
      </w:hyperlink>
      <w:r>
        <w:rPr>
          <w:rFonts w:ascii="Times New Roman" w:hAnsi="Times New Roman"/>
          <w:b w:val="false"/>
          <w:i w:val="false"/>
          <w:color w:val="000000"/>
          <w:sz w:val="22"/>
        </w:rPr>
        <w:t xml:space="preserve">(321) or who cannot meet the vision standards in subrule </w:t>
      </w:r>
      <w:hyperlink r:id="rId42">
        <w:r>
          <w:rPr>
            <w:rStyle w:val="Hyperlink"/>
            <w:rFonts w:ascii="Times New Roman" w:hAnsi="Times New Roman"/>
            <w:b w:val="false"/>
            <w:i w:val="false"/>
            <w:color w:val="000000"/>
            <w:sz w:val="22"/>
          </w:rPr>
          <w:t>604.8(2)</w:t>
        </w:r>
      </w:hyperlink>
      <w:r>
        <w:rPr>
          <w:rFonts w:ascii="Times New Roman" w:hAnsi="Times New Roman"/>
          <w:b w:val="false"/>
          <w:i w:val="false"/>
          <w:color w:val="000000"/>
          <w:sz w:val="22"/>
        </w:rPr>
        <w:t xml:space="preserve"> may submit a written request for review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Based upon consideration of the applicant’s vision report, driving test and driving record, the written recommendation of the applicant’s licensed vision specialist and traffic conditions in the vicinity of the applicant’s residence, the department may recommend issuing a license with restrictions suitable to the applicant’s capabilities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who cannot attain a visual acuity of 20/100 with both eyes or with the better eye may be considered for licensing only after recommendation by the medical advisory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applicant who cannot attain a visual acuity of 20/199 with both eyes or with the better eye will not be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applicant who cannot attain a binocular or monocular field of vision of 75 degrees may be considered for licensing only after recommendation by the medical advisory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applicant who cannot attain a binocular or monocular field of vision of 21 degrees will not be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department’s recommendation denying discretionary issuance or regarding the extent and nature of restrictions is subject to reversal or modification upon review or appeal only if it is clearly characterized by an abuse of discretion.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3">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44">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321.186A</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321.193</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9578C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761—604.9</w:t>
      </w:r>
      <w:r>
        <w:rPr>
          <w:rFonts w:ascii="Times New Roman" w:hAnsi="Times New Roman"/>
          <w:b/>
          <w:i w:val="false"/>
          <w:color w:val="000000"/>
          <w:sz w:val="22"/>
        </w:rPr>
        <w:t xml:space="preserve">(307,321) </w:t>
      </w:r>
      <w:r>
        <w:rPr>
          <w:rFonts w:ascii="Times New Roman" w:hAnsi="Times New Roman"/>
          <w:b/>
          <w:i w:val="false"/>
          <w:color w:val="000000"/>
          <w:sz w:val="22"/>
        </w:rPr>
        <w:t xml:space="preserve">Knowledge test.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604.9(1)</w:t>
      </w:r>
      <w:r>
        <w:rPr>
          <w:rFonts w:ascii="Times New Roman" w:hAnsi="Times New Roman"/>
          <w:b w:val="false"/>
          <w:i w:val="false"/>
          <w:color w:val="000000"/>
          <w:sz w:val="22"/>
        </w:rPr>
        <w:t> </w:t>
      </w:r>
      <w:r>
        <w:rPr>
          <w:rFonts w:ascii="Times New Roman" w:hAnsi="Times New Roman"/>
          <w:b w:val="false"/>
          <w:i/>
          <w:color w:val="000000"/>
          <w:sz w:val="22"/>
        </w:rPr>
        <w:t xml:space="preserve">Written test. </w:t>
      </w:r>
      <w:r>
        <w:rPr>
          <w:rFonts w:ascii="Times New Roman" w:hAnsi="Times New Roman"/>
          <w:b w:val="false"/>
          <w:i w:val="false"/>
          <w:color w:val="000000"/>
          <w:sz w:val="22"/>
        </w:rPr>
        <w:t>A knowledge test is used to determine an applicant’s ability to read and understand Iowa traffic laws and the highway signs that regulate, warn and direct traffic. The department reserves the right to revise a test at any time and will declare the minimum passing score for each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604.9(2)</w:t>
      </w:r>
      <w:r>
        <w:rPr>
          <w:rFonts w:ascii="Times New Roman" w:hAnsi="Times New Roman"/>
          <w:b w:val="false"/>
          <w:i w:val="false"/>
          <w:color w:val="000000"/>
          <w:sz w:val="22"/>
        </w:rPr>
        <w:t> </w:t>
      </w:r>
      <w:r>
        <w:rPr>
          <w:rFonts w:ascii="Times New Roman" w:hAnsi="Times New Roman"/>
          <w:b w:val="false"/>
          <w:i/>
          <w:color w:val="000000"/>
          <w:sz w:val="22"/>
        </w:rPr>
        <w:t xml:space="preserve">Oral test. </w:t>
      </w:r>
      <w:r>
        <w:rPr>
          <w:rFonts w:ascii="Times New Roman" w:hAnsi="Times New Roman"/>
          <w:b w:val="false"/>
          <w:i w:val="false"/>
          <w:color w:val="000000"/>
          <w:sz w:val="22"/>
        </w:rPr>
        <w:t>An applicant who is unable to read or understand a written test may request an oral test. The oral test may be administered by an examiner or by an automated testing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604.9(3)</w:t>
      </w:r>
      <w:r>
        <w:rPr>
          <w:rFonts w:ascii="Times New Roman" w:hAnsi="Times New Roman"/>
          <w:b w:val="false"/>
          <w:i w:val="false"/>
          <w:color w:val="000000"/>
          <w:sz w:val="22"/>
        </w:rPr>
        <w:t> </w:t>
      </w:r>
      <w:r>
        <w:rPr>
          <w:rFonts w:ascii="Times New Roman" w:hAnsi="Times New Roman"/>
          <w:b w:val="false"/>
          <w:i/>
          <w:color w:val="000000"/>
          <w:sz w:val="22"/>
        </w:rPr>
        <w:t xml:space="preserve">Test score. </w:t>
      </w:r>
      <w:r>
        <w:rPr>
          <w:rFonts w:ascii="Times New Roman" w:hAnsi="Times New Roman"/>
          <w:b w:val="false"/>
          <w:i w:val="false"/>
          <w:color w:val="000000"/>
          <w:sz w:val="22"/>
        </w:rPr>
        <w:t>The test score result is valid for 180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604.9(4)</w:t>
      </w:r>
      <w:r>
        <w:rPr>
          <w:rFonts w:ascii="Times New Roman" w:hAnsi="Times New Roman"/>
          <w:b w:val="false"/>
          <w:i w:val="false"/>
          <w:color w:val="000000"/>
          <w:sz w:val="22"/>
        </w:rPr>
        <w:t> </w:t>
      </w:r>
      <w:r>
        <w:rPr>
          <w:rFonts w:ascii="Times New Roman" w:hAnsi="Times New Roman"/>
          <w:b w:val="false"/>
          <w:i/>
          <w:color w:val="000000"/>
          <w:sz w:val="22"/>
        </w:rPr>
        <w:t xml:space="preserve">Retesting. </w:t>
      </w:r>
      <w:r>
        <w:rPr>
          <w:rFonts w:ascii="Times New Roman" w:hAnsi="Times New Roman"/>
          <w:b w:val="false"/>
          <w:i w:val="false"/>
          <w:color w:val="000000"/>
          <w:sz w:val="22"/>
        </w:rPr>
        <w:t>An applicant who fails a knowledge test may repeat the test at the discretion of the examiner.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8">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9578C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761—604.10</w:t>
      </w:r>
      <w:r>
        <w:rPr>
          <w:rFonts w:ascii="Times New Roman" w:hAnsi="Times New Roman"/>
          <w:b/>
          <w:i w:val="false"/>
          <w:color w:val="000000"/>
          <w:sz w:val="22"/>
        </w:rPr>
        <w:t xml:space="preserve">(307,321) </w:t>
      </w:r>
      <w:r>
        <w:rPr>
          <w:rFonts w:ascii="Times New Roman" w:hAnsi="Times New Roman"/>
          <w:b/>
          <w:i w:val="false"/>
          <w:color w:val="000000"/>
          <w:sz w:val="22"/>
        </w:rPr>
        <w:t xml:space="preserve">Knowledge test requirements and 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604.10(1)</w:t>
      </w:r>
      <w:r>
        <w:rPr>
          <w:rFonts w:ascii="Times New Roman" w:hAnsi="Times New Roman"/>
          <w:b w:val="false"/>
          <w:i w:val="false"/>
          <w:color w:val="000000"/>
          <w:sz w:val="22"/>
        </w:rPr>
        <w:t> </w:t>
      </w:r>
      <w:r>
        <w:rPr>
          <w:rFonts w:ascii="Times New Roman" w:hAnsi="Times New Roman"/>
          <w:b w:val="false"/>
          <w:i/>
          <w:color w:val="000000"/>
          <w:sz w:val="22"/>
        </w:rPr>
        <w:t xml:space="preserve">Knowledge test requirements. </w:t>
      </w:r>
      <w:r>
        <w:rPr>
          <w:rFonts w:ascii="Times New Roman" w:hAnsi="Times New Roman"/>
          <w:b w:val="false"/>
          <w:i w:val="false"/>
          <w:color w:val="000000"/>
          <w:sz w:val="22"/>
        </w:rPr>
        <w:t>The knowledge test requirements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operator’s knowledge test is required for all classes of noncommercial driver’s licenses and all types of special driver’s licenses and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motorcycle knowledge test is required for 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Motorcycle instruction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Class M driver’s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Motorcycle endorsements.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604.10(2)</w:t>
      </w:r>
      <w:r>
        <w:rPr>
          <w:rFonts w:ascii="Times New Roman" w:hAnsi="Times New Roman"/>
          <w:b w:val="false"/>
          <w:i w:val="false"/>
          <w:color w:val="000000"/>
          <w:sz w:val="22"/>
        </w:rPr>
        <w:t> </w:t>
      </w:r>
      <w:r>
        <w:rPr>
          <w:rFonts w:ascii="Times New Roman" w:hAnsi="Times New Roman"/>
          <w:b w:val="false"/>
          <w:i/>
          <w:color w:val="000000"/>
          <w:sz w:val="22"/>
        </w:rPr>
        <w:t xml:space="preserve">Knowledge test waivers. </w:t>
      </w:r>
      <w:r>
        <w:rPr>
          <w:rFonts w:ascii="Times New Roman" w:hAnsi="Times New Roman"/>
          <w:b w:val="false"/>
          <w:i w:val="false"/>
          <w:color w:val="000000"/>
          <w:sz w:val="22"/>
        </w:rPr>
        <w:t xml:space="preserve">The department may waive a knowledge test listed in subrule </w:t>
      </w:r>
      <w:hyperlink r:id="rId50">
        <w:r>
          <w:rPr>
            <w:rStyle w:val="Hyperlink"/>
            <w:rFonts w:ascii="Times New Roman" w:hAnsi="Times New Roman"/>
            <w:b w:val="false"/>
            <w:i w:val="false"/>
            <w:color w:val="000000"/>
            <w:sz w:val="22"/>
          </w:rPr>
          <w:t>604.10(1)</w:t>
        </w:r>
      </w:hyperlink>
      <w:r>
        <w:rPr>
          <w:rFonts w:ascii="Times New Roman" w:hAnsi="Times New Roman"/>
          <w:b w:val="false"/>
          <w:i w:val="false"/>
          <w:color w:val="000000"/>
          <w:sz w:val="22"/>
        </w:rPr>
        <w:t xml:space="preserve"> if the applicant meets one of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has passed the same type of test for another Iowa driver’s license or an equivalent out-of-state license that is still valid or has expired within the past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has a valid, equivalent driver’s license issued by a foreign jurisdiction with which Iowa has a nonbinding reciprocity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has a military extension and is renewing the applicant’s Iowa driver’s license within six months following separation from active duty.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is renewing an Iowa driver’s license or endorsement within a period of one year after the expiration date of the license or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is reinstating from a denial, cancellation, suspension, revocation, disqualification or bar of an Iowa driver’s license or endorsement within a period of one year after the expiration date of the denial, cancellation, suspension, revocation, disqualification or bar.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1">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52">
        <w:r>
          <w:rPr>
            <w:rStyle w:val="Hyperlink"/>
            <w:rFonts w:ascii="Times New Roman" w:hAnsi="Times New Roman"/>
            <w:b w:val="false"/>
            <w:i w:val="false"/>
            <w:color w:val="000000"/>
            <w:sz w:val="22"/>
          </w:rPr>
          <w:t>321.1(8)</w:t>
        </w:r>
      </w:hyperlink>
      <w:r>
        <w:rPr>
          <w:rFonts w:ascii="Times New Roman" w:hAnsi="Times New Roman"/>
          <w:b w:val="false"/>
          <w:i w:val="false"/>
          <w:color w:val="000000"/>
          <w:sz w:val="22"/>
        </w:rPr>
        <w:t>, </w:t>
      </w:r>
      <w:hyperlink r:id="rId53">
        <w:r>
          <w:rPr>
            <w:rStyle w:val="Hyperlink"/>
            <w:rFonts w:ascii="Times New Roman" w:hAnsi="Times New Roman"/>
            <w:b w:val="false"/>
            <w:i w:val="false"/>
            <w:color w:val="000000"/>
            <w:sz w:val="22"/>
          </w:rPr>
          <w:t>321.180</w:t>
        </w:r>
      </w:hyperlink>
      <w:r>
        <w:rPr>
          <w:rFonts w:ascii="Times New Roman" w:hAnsi="Times New Roman"/>
          <w:b w:val="false"/>
          <w:i w:val="false"/>
          <w:color w:val="000000"/>
          <w:sz w:val="22"/>
        </w:rPr>
        <w:t xml:space="preserve"> through </w:t>
      </w:r>
      <w:hyperlink r:id="rId54">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321.198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9578C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761—604.11</w:t>
      </w:r>
      <w:r>
        <w:rPr>
          <w:rFonts w:ascii="Times New Roman" w:hAnsi="Times New Roman"/>
          <w:b/>
          <w:i w:val="false"/>
          <w:color w:val="000000"/>
          <w:sz w:val="22"/>
        </w:rPr>
        <w:t xml:space="preserve">(307,321) </w:t>
      </w:r>
      <w:r>
        <w:rPr>
          <w:rFonts w:ascii="Times New Roman" w:hAnsi="Times New Roman"/>
          <w:b/>
          <w:i w:val="false"/>
          <w:color w:val="000000"/>
          <w:sz w:val="22"/>
        </w:rPr>
        <w:t xml:space="preserve">Driving test. </w:t>
      </w:r>
      <w:r>
        <w:rPr>
          <w:rFonts w:ascii="Times New Roman" w:hAnsi="Times New Roman"/>
          <w:b w:val="false"/>
          <w:i w:val="false"/>
          <w:color w:val="000000"/>
          <w:sz w:val="22"/>
        </w:rPr>
        <w:t>A driving test is used to determine an applicant’s ability to exercise ordinary and reasonable control in the operation of a motor vehicle under actual traffic conditions. The test may also be called a road test, field test or driving demonstration. A motorcycle skills test is an off-street demonstration of an applicant’s ability to control the motorcycle in a set of standard maneuvers, and a motorcycle driving test is an on-street demonstration.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604.11(1)</w:t>
      </w:r>
      <w:r>
        <w:rPr>
          <w:rFonts w:ascii="Times New Roman" w:hAnsi="Times New Roman"/>
          <w:b w:val="false"/>
          <w:i w:val="false"/>
          <w:color w:val="000000"/>
          <w:sz w:val="22"/>
        </w:rPr>
        <w:t> </w:t>
      </w:r>
      <w:r>
        <w:rPr>
          <w:rFonts w:ascii="Times New Roman" w:hAnsi="Times New Roman"/>
          <w:b w:val="false"/>
          <w:i/>
          <w:color w:val="000000"/>
          <w:sz w:val="22"/>
        </w:rPr>
        <w:t xml:space="preserve">Vehicle type and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driving test, the applicant is to provide a representative vehicle and proof of financial responsibility for the representative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examiner or other authorized personnel will visually inspect the vehicle. If a vehicle is illegal or unsafe or is not a representative vehicle, the examiner will refuse to administer the test until an acceptable vehicle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604.11(2)</w:t>
      </w:r>
      <w:r>
        <w:rPr>
          <w:rFonts w:ascii="Times New Roman" w:hAnsi="Times New Roman"/>
          <w:b w:val="false"/>
          <w:i w:val="false"/>
          <w:color w:val="000000"/>
          <w:sz w:val="22"/>
        </w:rPr>
        <w:t> </w:t>
      </w:r>
      <w:r>
        <w:rPr>
          <w:rFonts w:ascii="Times New Roman" w:hAnsi="Times New Roman"/>
          <w:b w:val="false"/>
          <w:i/>
          <w:color w:val="000000"/>
          <w:sz w:val="22"/>
        </w:rPr>
        <w:t xml:space="preserve">Criteria and route. </w:t>
      </w:r>
      <w:r>
        <w:rPr>
          <w:rFonts w:ascii="Times New Roman" w:hAnsi="Times New Roman"/>
          <w:b w:val="false"/>
          <w:i w:val="false"/>
          <w:color w:val="000000"/>
          <w:sz w:val="22"/>
        </w:rPr>
        <w:t>Form 430024 explains the test criteria and will be given to the applicant before any operator’s driving test. The applicant will be directed over one of the routes that have been preselected by the examiner to test driving skills and maneuvers.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604.11(3)</w:t>
      </w:r>
      <w:r>
        <w:rPr>
          <w:rFonts w:ascii="Times New Roman" w:hAnsi="Times New Roman"/>
          <w:b w:val="false"/>
          <w:i w:val="false"/>
          <w:color w:val="000000"/>
          <w:sz w:val="22"/>
        </w:rPr>
        <w:t> </w:t>
      </w:r>
      <w:r>
        <w:rPr>
          <w:rFonts w:ascii="Times New Roman" w:hAnsi="Times New Roman"/>
          <w:b w:val="false"/>
          <w:i/>
          <w:color w:val="000000"/>
          <w:sz w:val="22"/>
        </w:rPr>
        <w:t xml:space="preserve">Test score. </w:t>
      </w:r>
      <w:r>
        <w:rPr>
          <w:rFonts w:ascii="Times New Roman" w:hAnsi="Times New Roman"/>
          <w:b w:val="false"/>
          <w:i w:val="false"/>
          <w:color w:val="000000"/>
          <w:sz w:val="22"/>
        </w:rPr>
        <w:t>The examiner will use the standard departmental score sheet to record the test score and the licensing decision. At the end of the test, the examiner will explain the test score to the applicant. The test score result is valid for 180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604.11(4)</w:t>
      </w:r>
      <w:r>
        <w:rPr>
          <w:rFonts w:ascii="Times New Roman" w:hAnsi="Times New Roman"/>
          <w:b w:val="false"/>
          <w:i w:val="false"/>
          <w:color w:val="000000"/>
          <w:sz w:val="22"/>
        </w:rPr>
        <w:t> </w:t>
      </w:r>
      <w:r>
        <w:rPr>
          <w:rFonts w:ascii="Times New Roman" w:hAnsi="Times New Roman"/>
          <w:b w:val="false"/>
          <w:i/>
          <w:color w:val="000000"/>
          <w:sz w:val="22"/>
        </w:rPr>
        <w:t xml:space="preserve">Retesting. </w:t>
      </w:r>
      <w:r>
        <w:rPr>
          <w:rFonts w:ascii="Times New Roman" w:hAnsi="Times New Roman"/>
          <w:b w:val="false"/>
          <w:i w:val="false"/>
          <w:color w:val="000000"/>
          <w:sz w:val="22"/>
        </w:rPr>
        <w:t>An applicant who fails a driving test may repeat the test at the discretion of the examiner.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9">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60">
        <w:r>
          <w:rPr>
            <w:rStyle w:val="Hyperlink"/>
            <w:rFonts w:ascii="Times New Roman" w:hAnsi="Times New Roman"/>
            <w:b w:val="false"/>
            <w:i w:val="false"/>
            <w:color w:val="000000"/>
            <w:sz w:val="22"/>
          </w:rPr>
          <w:t>321.174</w:t>
        </w:r>
      </w:hyperlink>
      <w:r>
        <w:rPr>
          <w:rFonts w:ascii="Times New Roman" w:hAnsi="Times New Roman"/>
          <w:b w:val="false"/>
          <w:i w:val="false"/>
          <w:color w:val="000000"/>
          <w:sz w:val="22"/>
        </w:rPr>
        <w:t xml:space="preserve"> and </w:t>
      </w:r>
      <w:hyperlink r:id="rId61">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9578C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761—604.12</w:t>
      </w:r>
      <w:r>
        <w:rPr>
          <w:rFonts w:ascii="Times New Roman" w:hAnsi="Times New Roman"/>
          <w:b/>
          <w:i w:val="false"/>
          <w:color w:val="000000"/>
          <w:sz w:val="22"/>
        </w:rPr>
        <w:t xml:space="preserve">(307,321) </w:t>
      </w:r>
      <w:r>
        <w:rPr>
          <w:rFonts w:ascii="Times New Roman" w:hAnsi="Times New Roman"/>
          <w:b/>
          <w:i w:val="false"/>
          <w:color w:val="000000"/>
          <w:sz w:val="22"/>
        </w:rPr>
        <w:t xml:space="preserve">Driving test requirements and waivers for noncommercial driver’s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604.12(1)</w:t>
      </w:r>
      <w:r>
        <w:rPr>
          <w:rFonts w:ascii="Times New Roman" w:hAnsi="Times New Roman"/>
          <w:b w:val="false"/>
          <w:i w:val="false"/>
          <w:color w:val="000000"/>
          <w:sz w:val="22"/>
        </w:rPr>
        <w:t> </w:t>
      </w:r>
      <w:r>
        <w:rPr>
          <w:rFonts w:ascii="Times New Roman" w:hAnsi="Times New Roman"/>
          <w:b w:val="false"/>
          <w:i/>
          <w:color w:val="000000"/>
          <w:sz w:val="22"/>
        </w:rPr>
        <w:t xml:space="preserve">Driving test requirements. </w:t>
      </w:r>
      <w:r>
        <w:rPr>
          <w:rFonts w:ascii="Times New Roman" w:hAnsi="Times New Roman"/>
          <w:b w:val="false"/>
          <w:i w:val="false"/>
          <w:color w:val="000000"/>
          <w:sz w:val="22"/>
        </w:rPr>
        <w:t>The driving test requirements for noncommercial driver’s licenses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Instruction permits. </w:t>
      </w:r>
      <w:r>
        <w:rPr>
          <w:rFonts w:ascii="Times New Roman" w:hAnsi="Times New Roman"/>
          <w:b w:val="false"/>
          <w:i w:val="false"/>
          <w:color w:val="000000"/>
          <w:sz w:val="22"/>
        </w:rPr>
        <w:t>An applicant is not required to obtain an instruction permit for a driving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Class C driver’s licenses. </w:t>
      </w:r>
      <w:r>
        <w:rPr>
          <w:rFonts w:ascii="Times New Roman" w:hAnsi="Times New Roman"/>
          <w:b w:val="false"/>
          <w:i w:val="false"/>
          <w:color w:val="000000"/>
          <w:sz w:val="22"/>
        </w:rPr>
        <w:t xml:space="preserve">For a Class C driver’s license other than an instruction permit or a motorized bicycle license, an operator’s driving test is to be in a representative vehicle, except that an autocycle as defined in Iowa Code section </w:t>
      </w:r>
      <w:hyperlink r:id="rId62">
        <w:r>
          <w:rPr>
            <w:rStyle w:val="Hyperlink"/>
            <w:rFonts w:ascii="Times New Roman" w:hAnsi="Times New Roman"/>
            <w:b w:val="false"/>
            <w:i w:val="false"/>
            <w:color w:val="000000"/>
            <w:sz w:val="22"/>
          </w:rPr>
          <w:t>321.1(6A)</w:t>
        </w:r>
      </w:hyperlink>
      <w:r>
        <w:rPr>
          <w:rFonts w:ascii="Times New Roman" w:hAnsi="Times New Roman"/>
          <w:b w:val="false"/>
          <w:i w:val="false"/>
          <w:color w:val="000000"/>
          <w:sz w:val="22"/>
        </w:rPr>
        <w:t xml:space="preserve"> cannot be used for the driving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Class D driver’s licenses. </w:t>
      </w:r>
      <w:r>
        <w:rPr>
          <w:rFonts w:ascii="Times New Roman" w:hAnsi="Times New Roman"/>
          <w:b w:val="false"/>
          <w:i w:val="false"/>
          <w:color w:val="000000"/>
          <w:sz w:val="22"/>
        </w:rPr>
        <w:t xml:space="preserve">For a Class D driver’s license, a driving test in a representative vehicle for the endorsement requested, as set out in </w:t>
      </w:r>
      <w:hyperlink r:id="rId63">
        <w:r>
          <w:rPr>
            <w:rStyle w:val="Hyperlink"/>
            <w:rFonts w:ascii="Times New Roman" w:hAnsi="Times New Roman"/>
            <w:b w:val="false"/>
            <w:i w:val="false"/>
            <w:color w:val="000000"/>
            <w:sz w:val="22"/>
          </w:rPr>
          <w:t>761—subrule 605.7(3)</w:t>
        </w:r>
      </w:hyperlink>
      <w:r>
        <w:rPr>
          <w:rFonts w:ascii="Times New Roman" w:hAnsi="Times New Roman"/>
          <w:b w:val="false"/>
          <w:i w:val="false"/>
          <w:color w:val="000000"/>
          <w:sz w:val="22"/>
        </w:rPr>
        <w:t>,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Class M driver’s licenses and motorcycle endorsements. </w:t>
      </w:r>
      <w:r>
        <w:rPr>
          <w:rFonts w:ascii="Times New Roman" w:hAnsi="Times New Roman"/>
          <w:b w:val="false"/>
          <w:i w:val="false"/>
          <w:color w:val="000000"/>
          <w:sz w:val="22"/>
        </w:rPr>
        <w:t>The driving test for a Class M driver’s license or motorcycle endorsement consists of two parts: an off-street motorcycle skill test and an on-street motorcycle driving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off-street motorcycle skill test is required. The on-street motorcycle driving test is also required if the applicant does not have another driver’s license that permits unaccompanied driving. Neither motorcycle test is required for the purposes of operating an autocycle.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motorcycle is to be used for the motorcycle skills test and motorcycle driving test. If a three-wheeled motorcycle is used, the driver’s license will be restricted: “Not valid for 2-wheel vehicle.” An autocycle is not considered a motorcycle or a three-wheeled motorcycle for testing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Motorized bicycle licenses. </w:t>
      </w:r>
      <w:r>
        <w:rPr>
          <w:rFonts w:ascii="Times New Roman" w:hAnsi="Times New Roman"/>
          <w:b w:val="false"/>
          <w:i w:val="false"/>
          <w:color w:val="000000"/>
          <w:sz w:val="22"/>
        </w:rPr>
        <w:t>For a motorized bicycle license, an off-street or on-street driving test may be required. A motorized bicycle is to be used for the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604.12(2)</w:t>
      </w:r>
      <w:r>
        <w:rPr>
          <w:rFonts w:ascii="Times New Roman" w:hAnsi="Times New Roman"/>
          <w:b w:val="false"/>
          <w:i w:val="false"/>
          <w:color w:val="000000"/>
          <w:sz w:val="22"/>
        </w:rPr>
        <w:t> </w:t>
      </w:r>
      <w:r>
        <w:rPr>
          <w:rFonts w:ascii="Times New Roman" w:hAnsi="Times New Roman"/>
          <w:b w:val="false"/>
          <w:i/>
          <w:color w:val="000000"/>
          <w:sz w:val="22"/>
        </w:rPr>
        <w:t xml:space="preserve">Driving test waivers. </w:t>
      </w:r>
      <w:r>
        <w:rPr>
          <w:rFonts w:ascii="Times New Roman" w:hAnsi="Times New Roman"/>
          <w:b w:val="false"/>
          <w:i w:val="false"/>
          <w:color w:val="000000"/>
          <w:sz w:val="22"/>
        </w:rPr>
        <w:t xml:space="preserve">The department may waive a required driving test listed in subrule </w:t>
      </w:r>
      <w:hyperlink r:id="rId64">
        <w:r>
          <w:rPr>
            <w:rStyle w:val="Hyperlink"/>
            <w:rFonts w:ascii="Times New Roman" w:hAnsi="Times New Roman"/>
            <w:b w:val="false"/>
            <w:i w:val="false"/>
            <w:color w:val="000000"/>
            <w:sz w:val="22"/>
          </w:rPr>
          <w:t>604.12(1)</w:t>
        </w:r>
      </w:hyperlink>
      <w:r>
        <w:rPr>
          <w:rFonts w:ascii="Times New Roman" w:hAnsi="Times New Roman"/>
          <w:b w:val="false"/>
          <w:i w:val="false"/>
          <w:color w:val="000000"/>
          <w:sz w:val="22"/>
        </w:rPr>
        <w:t xml:space="preserve"> if the applicant meets one of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has successfully completed the appropriate Iowa-approved course or courses. The appropriate Iowa-approved courses are the following: driver education, other than driver education by a teaching parent under rule </w:t>
      </w:r>
      <w:hyperlink r:id="rId65">
        <w:r>
          <w:rPr>
            <w:rStyle w:val="Hyperlink"/>
            <w:rFonts w:ascii="Times New Roman" w:hAnsi="Times New Roman"/>
            <w:b w:val="false"/>
            <w:i w:val="false"/>
            <w:color w:val="000000"/>
            <w:sz w:val="22"/>
          </w:rPr>
          <w:t>761—634.11</w:t>
        </w:r>
      </w:hyperlink>
      <w:r>
        <w:rPr>
          <w:rFonts w:ascii="Times New Roman" w:hAnsi="Times New Roman"/>
          <w:b w:val="false"/>
          <w:i w:val="false"/>
          <w:color w:val="000000"/>
          <w:sz w:val="22"/>
        </w:rPr>
        <w:t>(321), for an applicant’s first Class C driver’s license that permits unaccompanied driving other than motorized bicycle; motorcycle rider education for a Class M driver’s license or motorcycle endorsement; and motorized bicycle education for a motorized bicycle license. However, if an applicant is under the age of 18, a driving test is required if requested by the applicant’s parent, guardian or course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is renewing a Class C, Class D or Class M Iowa driver’s license or endorsement within a period of one year after the expiration date of the license or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is reinstating from a denial, cancellation, suspension, revocation, disqualification or bar of an Iowa driver’s license or endorsement within a period of one year after the expiration date of the denial, cancellation, suspension, revocation, disqualification or bar.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has passed the same type of driving test for another Iowa driver’s license or endorsement that is still valid or has expired within the past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has a military extension and is renewing the applicant’s Iowa driver’s license within six months following separation from active duty.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applicant is applying for a Class C Iowa driver’s license that permits unaccompanied driving and has an equivalent out-of-state license that is valid or has expired within the past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applicant is applying for a Class D Iowa driver’s license and has an equivalent out-of-state license that is valid or has expired within the past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applicant is applying for a Class M driver’s license or a motorcycle endorsement and has an equivalent out-of-state Class M driver’s license or motorcycle endorsement that is valid or has expired within the past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applicant has a valid, equivalent driver’s license issued by a foreign jurisdiction with which Iowa has a nonbinding reciprocity agreement.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6">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67">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321.174</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321.178A</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321.180</w:t>
        </w:r>
      </w:hyperlink>
      <w:r>
        <w:rPr>
          <w:rFonts w:ascii="Times New Roman" w:hAnsi="Times New Roman"/>
          <w:b w:val="false"/>
          <w:i w:val="false"/>
          <w:color w:val="000000"/>
          <w:sz w:val="22"/>
        </w:rPr>
        <w:t xml:space="preserve"> through </w:t>
      </w:r>
      <w:hyperlink r:id="rId72">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321.193</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 xml:space="preserve"> and </w:t>
      </w:r>
      <w:hyperlink r:id="rId77">
        <w:r>
          <w:rPr>
            <w:rStyle w:val="Hyperlink"/>
            <w:rFonts w:ascii="Times New Roman" w:hAnsi="Times New Roman"/>
            <w:b w:val="false"/>
            <w:i w:val="false"/>
            <w:color w:val="000000"/>
            <w:sz w:val="22"/>
          </w:rPr>
          <w:t>321.198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9578C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761—604.13</w:t>
      </w:r>
      <w:r>
        <w:rPr>
          <w:rFonts w:ascii="Times New Roman" w:hAnsi="Times New Roman"/>
          <w:b/>
          <w:i w:val="false"/>
          <w:color w:val="000000"/>
          <w:sz w:val="22"/>
        </w:rPr>
        <w:t xml:space="preserve">(307,321) </w:t>
      </w:r>
      <w:r>
        <w:rPr>
          <w:rFonts w:ascii="Times New Roman" w:hAnsi="Times New Roman"/>
          <w:b/>
          <w:i w:val="false"/>
          <w:color w:val="000000"/>
          <w:sz w:val="22"/>
        </w:rPr>
        <w:t xml:space="preserve">Failure to pass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604.13(1)</w:t>
      </w:r>
      <w:r>
        <w:rPr>
          <w:rFonts w:ascii="Times New Roman" w:hAnsi="Times New Roman"/>
          <w:b w:val="false"/>
          <w:i w:val="false"/>
          <w:color w:val="000000"/>
          <w:sz w:val="22"/>
        </w:rPr>
        <w:t> </w:t>
      </w:r>
      <w:r>
        <w:rPr>
          <w:rFonts w:ascii="Times New Roman" w:hAnsi="Times New Roman"/>
          <w:b w:val="false"/>
          <w:i w:val="false"/>
          <w:color w:val="000000"/>
          <w:sz w:val="22"/>
        </w:rPr>
        <w:t>An applicant who fails to pass a required examination or reexamination will not be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applicant does not have a valid Iowa license, the department will deny the applicant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applicant has a valid Iowa license, the department will suspend the license for incapability. However, if the applicant’s license is valid for less than 30 days, the department will deny further licensing. The department will serve a notice of suspension or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More information regarding denials and suspensions for incapability can be found in rule </w:t>
      </w:r>
      <w:hyperlink r:id="rId78">
        <w:r>
          <w:rPr>
            <w:rStyle w:val="Hyperlink"/>
            <w:rFonts w:ascii="Times New Roman" w:hAnsi="Times New Roman"/>
            <w:b w:val="false"/>
            <w:i w:val="false"/>
            <w:color w:val="000000"/>
            <w:sz w:val="22"/>
          </w:rPr>
          <w:t>761—615.4</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may contest a denial or suspension in accordance with rule </w:t>
      </w:r>
      <w:hyperlink r:id="rId79">
        <w:r>
          <w:rPr>
            <w:rStyle w:val="Hyperlink"/>
            <w:rFonts w:ascii="Times New Roman" w:hAnsi="Times New Roman"/>
            <w:b w:val="false"/>
            <w:i w:val="false"/>
            <w:color w:val="000000"/>
            <w:sz w:val="22"/>
          </w:rPr>
          <w:t>761—615.38</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604.13(2)</w:t>
      </w:r>
      <w:r>
        <w:rPr>
          <w:rFonts w:ascii="Times New Roman" w:hAnsi="Times New Roman"/>
          <w:b w:val="false"/>
          <w:i w:val="false"/>
          <w:color w:val="000000"/>
          <w:sz w:val="22"/>
        </w:rPr>
        <w:t> </w:t>
      </w:r>
      <w:r>
        <w:rPr>
          <w:rFonts w:ascii="Times New Roman" w:hAnsi="Times New Roman"/>
          <w:b w:val="false"/>
          <w:i w:val="false"/>
          <w:color w:val="000000"/>
          <w:sz w:val="22"/>
        </w:rPr>
        <w:t>Limitations on the hearing and appeal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a suspension or denial for failure to pass a required knowledge or driving test, a person who contests the suspension or denial has exhausted the person’s administrative remedies after three unsuccessful attempts to pass the required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three unsuccessful attempts, no further testing will be allowed until six months have elapsed from the date of the last test failure and then only if the applicant demonstrates a significant change or improvement in those physical or mental factors that resulted in the original decision. A request for further testing must be submitted in writing to the motor vehicle division at the address in subrule </w:t>
      </w:r>
      <w:hyperlink r:id="rId80">
        <w:r>
          <w:rPr>
            <w:rStyle w:val="Hyperlink"/>
            <w:rFonts w:ascii="Times New Roman" w:hAnsi="Times New Roman"/>
            <w:b w:val="false"/>
            <w:i w:val="false"/>
            <w:color w:val="000000"/>
            <w:sz w:val="22"/>
          </w:rPr>
          <w:t>604.3(1)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paragraphs </w:t>
      </w:r>
      <w:hyperlink r:id="rId81">
        <w:r>
          <w:rPr>
            <w:rStyle w:val="Hyperlink"/>
            <w:rFonts w:ascii="Times New Roman" w:hAnsi="Times New Roman"/>
            <w:b w:val="false"/>
            <w:i w:val="false"/>
            <w:color w:val="000000"/>
            <w:sz w:val="22"/>
          </w:rPr>
          <w:t>604.13(2)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no testing will occur if the department determines that it is unsafe to allow testing.</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2">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83">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w:t>
      </w:r>
      <w:hyperlink r:id="rId84">
        <w:r>
          <w:rPr>
            <w:rStyle w:val="Hyperlink"/>
            <w:rFonts w:ascii="Times New Roman" w:hAnsi="Times New Roman"/>
            <w:b w:val="false"/>
            <w:i w:val="false"/>
            <w:color w:val="000000"/>
            <w:sz w:val="22"/>
          </w:rPr>
          <w:t>321.180A</w:t>
        </w:r>
      </w:hyperlink>
      <w:r>
        <w:rPr>
          <w:rFonts w:ascii="Times New Roman" w:hAnsi="Times New Roman"/>
          <w:b w:val="false"/>
          <w:i w:val="false"/>
          <w:color w:val="000000"/>
          <w:sz w:val="22"/>
        </w:rPr>
        <w:t xml:space="preserve"> and </w:t>
      </w:r>
      <w:hyperlink r:id="rId85">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9578C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761—604.14</w:t>
      </w:r>
      <w:r>
        <w:rPr>
          <w:rFonts w:ascii="Times New Roman" w:hAnsi="Times New Roman"/>
          <w:b/>
          <w:i w:val="false"/>
          <w:color w:val="000000"/>
          <w:sz w:val="22"/>
        </w:rPr>
        <w:t xml:space="preserve">(307,321) </w:t>
      </w:r>
      <w:r>
        <w:rPr>
          <w:rFonts w:ascii="Times New Roman" w:hAnsi="Times New Roman"/>
          <w:b/>
          <w:i w:val="false"/>
          <w:color w:val="000000"/>
          <w:sz w:val="22"/>
        </w:rPr>
        <w:t xml:space="preserve">Reinstatement. </w:t>
      </w:r>
      <w:r>
        <w:rPr>
          <w:rFonts w:ascii="Times New Roman" w:hAnsi="Times New Roman"/>
          <w:b w:val="false"/>
          <w:i w:val="false"/>
          <w:color w:val="000000"/>
          <w:sz w:val="22"/>
        </w:rPr>
        <w:t>A person whose license has been suspended or denied for failure to pass a required examination or reexamination is to meet the vision standards for licensing and pass the required examination(s) before an Iowa license will be issued.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6">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87">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and </w:t>
      </w:r>
      <w:hyperlink r:id="rId88">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9578C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761—604.15</w:t>
      </w:r>
      <w:r>
        <w:rPr>
          <w:rFonts w:ascii="Times New Roman" w:hAnsi="Times New Roman"/>
          <w:b/>
          <w:i w:val="false"/>
          <w:color w:val="000000"/>
          <w:sz w:val="22"/>
        </w:rPr>
        <w:t xml:space="preserve">(307,321) </w:t>
      </w:r>
      <w:r>
        <w:rPr>
          <w:rFonts w:ascii="Times New Roman" w:hAnsi="Times New Roman"/>
          <w:b/>
          <w:i w:val="false"/>
          <w:color w:val="000000"/>
          <w:sz w:val="22"/>
        </w:rPr>
        <w:t xml:space="preserve">Special reexaminations.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604.15(1)</w:t>
      </w:r>
      <w:r>
        <w:rPr>
          <w:rFonts w:ascii="Times New Roman" w:hAnsi="Times New Roman"/>
          <w:b w:val="false"/>
          <w:i w:val="false"/>
          <w:color w:val="000000"/>
          <w:sz w:val="22"/>
        </w:rPr>
        <w:t> </w:t>
      </w:r>
      <w:r>
        <w:rPr>
          <w:rFonts w:ascii="Times New Roman" w:hAnsi="Times New Roman"/>
          <w:b w:val="false"/>
          <w:i w:val="false"/>
          <w:color w:val="000000"/>
          <w:sz w:val="22"/>
        </w:rPr>
        <w:t xml:space="preserve">As provided in Iowa Code section </w:t>
      </w:r>
      <w:hyperlink r:id="rId89">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the department may require a special reexamination of any licensee. The reexamination may consist of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Vision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Vision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Cognitive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Knowledge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Driving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604.15(2)</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a special reexamination when a licensee has been involved in a fatal motor vehicle accident and the investigating officer’s report of the accident indicates the licensee contributed to the accident.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604.15(3)</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a special reexamination when a licensee has been involved in two accidents within a three-year period and the investigating officer’s report of each accident lists one of the following “Driver/Vehicle Related Contributing Circumstances” for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Ran traffic signal.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Ran stop 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Passing, interfered with other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Left of center, not passing.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yield right-of-way at uncontrolled intersection.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yield right-of-way from stop 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Failure to yield right-of-way from yield 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Failure to yield right-of-way making left 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Failure to yield right-of-way to pedestrian.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Failure to have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604.15(4)</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a special reexamination when a licensee has been involved in an accident and the investigating officer’s report lists a driver condition for the licensee of “fatigue or asleep.”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604.15(5)</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a special reexamination when a licensee who is 65 years of age or older has been involved in an accident and information in the investigating officer’s or the person’s own report of the accident indicates the need for reexamination. A circumstance that may indicate a need for reexamination includes but is not limited to any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made a left turn that resulted in the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failed to yield the right-of-way at a stop 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failed to yield the right-of-way at a yield 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licensee failed to yield the right-of-way at an uncontrolled intersection.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licensee failed to yield the right-of-way at a traffic control signal.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licensee’s vision may be a contributing factor to an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has a physical disability-related license restriction other than “corrective lenses” and the accident involved one of the circumstances listed in paragraphs </w:t>
      </w:r>
      <w:hyperlink r:id="rId90">
        <w:r>
          <w:rPr>
            <w:rStyle w:val="Hyperlink"/>
            <w:rFonts w:ascii="Times New Roman" w:hAnsi="Times New Roman"/>
            <w:b w:val="false"/>
            <w:i w:val="false"/>
            <w:color w:val="000000"/>
            <w:sz w:val="22"/>
          </w:rPr>
          <w:t>604.15(5)</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investigating officer’s report lists a driver condition for the licensee of “loss of consciousness.”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investigating officer’s report lists a driver condition for the licensee of “illness which resulted in the accident.”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604.15(6)</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a special reexamination when the department receives an accident report or a recommendation by a peace officer, a court or a properly documented citizen’s request. A factor that may indicate a need for reexamination includes but is not limited to any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Loss of consciousness.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Confusion, disorientation or dementia.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Inability to maintain a vehicle in the proper lane.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Repeatedly ignoring traffic control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Inability to interact safely with other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Inability to maintain consistent speed when no reaction to other vehicles or pedestrians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Illness that resulted in an accident.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1">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92">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w:t>
      </w:r>
      <w:hyperlink r:id="rId93">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and </w:t>
      </w:r>
      <w:hyperlink r:id="rId94">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9578C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7/1/75]</w:t>
      </w:r>
    </w:p>
    <w:p>
      <w:pPr>
        <w:spacing w:before="0" w:after="0"/>
        <w:ind w:left="120"/>
        <w:jc w:val="center"/>
      </w:pPr>
      <w:r>
        <w:rPr>
          <w:rFonts w:ascii="Times New Roman" w:hAnsi="Times New Roman"/>
          <w:b w:val="false"/>
          <w:i w:val="false"/>
          <w:color w:val="000000"/>
          <w:sz w:val="21"/>
        </w:rPr>
        <w:t>[Filed 12/28/76, Notice 11/3/76—published 1/12/77, effective 2/16/77]</w:t>
      </w:r>
    </w:p>
    <w:p>
      <w:pPr>
        <w:spacing w:before="0" w:after="0"/>
        <w:ind w:left="120"/>
        <w:jc w:val="center"/>
      </w:pPr>
      <w:r>
        <w:rPr>
          <w:rFonts w:ascii="Times New Roman" w:hAnsi="Times New Roman"/>
          <w:b w:val="false"/>
          <w:i w:val="false"/>
          <w:color w:val="000000"/>
          <w:sz w:val="21"/>
        </w:rPr>
        <w:t>[Filed 8/25/80, Notice 7/9/80—published 9/17/80, effective 10/22/80]</w:t>
      </w:r>
    </w:p>
    <w:p>
      <w:pPr>
        <w:spacing w:before="0" w:after="0"/>
        <w:ind w:left="120"/>
        <w:jc w:val="center"/>
      </w:pPr>
      <w:r>
        <w:rPr>
          <w:rFonts w:ascii="Times New Roman" w:hAnsi="Times New Roman"/>
          <w:b w:val="false"/>
          <w:i w:val="false"/>
          <w:color w:val="000000"/>
          <w:sz w:val="21"/>
        </w:rPr>
        <w:t>[Filed 5/11/87, Notice 3/11/87—published 6/3/87, effective 7/8/87]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1/20/88, Notice 12/2/87—published 2/10/88, effective 3/16/88]</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emergency 6/7/90—published 6/27/90, effective 7/1/90]</w:t>
      </w:r>
    </w:p>
    <w:p>
      <w:pPr>
        <w:spacing w:before="0" w:after="0"/>
        <w:ind w:left="120"/>
        <w:jc w:val="center"/>
      </w:pPr>
      <w:r>
        <w:rPr>
          <w:rFonts w:ascii="Times New Roman" w:hAnsi="Times New Roman"/>
          <w:b w:val="false"/>
          <w:i w:val="false"/>
          <w:color w:val="000000"/>
          <w:sz w:val="21"/>
        </w:rPr>
        <w:t>[Filed 12/18/91, Notice 11/13/91—published 1/8/92, effective 2/12/92]</w:t>
      </w:r>
    </w:p>
    <w:p>
      <w:pPr>
        <w:spacing w:before="0" w:after="0"/>
        <w:ind w:left="120"/>
        <w:jc w:val="center"/>
      </w:pPr>
      <w:r>
        <w:rPr>
          <w:rFonts w:ascii="Times New Roman" w:hAnsi="Times New Roman"/>
          <w:b w:val="false"/>
          <w:i w:val="false"/>
          <w:color w:val="000000"/>
          <w:sz w:val="21"/>
        </w:rPr>
        <w:t>[Filed 11/4/93, Notice 9/29/93—published 11/24/93, effective 12/29/93]</w:t>
      </w:r>
    </w:p>
    <w:p>
      <w:pPr>
        <w:spacing w:before="0" w:after="0"/>
        <w:ind w:left="120"/>
        <w:jc w:val="center"/>
      </w:pPr>
      <w:r>
        <w:rPr>
          <w:rFonts w:ascii="Times New Roman" w:hAnsi="Times New Roman"/>
          <w:b w:val="false"/>
          <w:i w:val="false"/>
          <w:color w:val="000000"/>
          <w:sz w:val="21"/>
        </w:rPr>
        <w:t>[Filed 1/11/95, Notice 11/23/94—published 2/1/95, effective 3/8/95]</w:t>
      </w:r>
    </w:p>
    <w:p>
      <w:pPr>
        <w:spacing w:before="0" w:after="0"/>
        <w:ind w:left="120"/>
        <w:jc w:val="center"/>
      </w:pPr>
      <w:r>
        <w:rPr>
          <w:rFonts w:ascii="Times New Roman" w:hAnsi="Times New Roman"/>
          <w:b w:val="false"/>
          <w:i w:val="false"/>
          <w:color w:val="000000"/>
          <w:sz w:val="21"/>
        </w:rPr>
        <w:t>[Filed 1/21/98, Notice 12/17/97—published 2/11/98, effective 3/18/98]</w:t>
      </w:r>
    </w:p>
    <w:p>
      <w:pPr>
        <w:spacing w:before="0" w:after="0"/>
        <w:ind w:left="120"/>
        <w:jc w:val="center"/>
      </w:pPr>
      <w:r>
        <w:rPr>
          <w:rFonts w:ascii="Times New Roman" w:hAnsi="Times New Roman"/>
          <w:b w:val="false"/>
          <w:i w:val="false"/>
          <w:color w:val="000000"/>
          <w:sz w:val="21"/>
        </w:rPr>
        <w:t>[Filed 10/28/98, Notice 9/23/98—published 11/18/98, effective 12/23/98]</w:t>
      </w:r>
    </w:p>
    <w:p>
      <w:pPr>
        <w:spacing w:before="0" w:after="0"/>
        <w:ind w:left="120"/>
        <w:jc w:val="center"/>
      </w:pPr>
      <w:r>
        <w:rPr>
          <w:rFonts w:ascii="Times New Roman" w:hAnsi="Times New Roman"/>
          <w:b w:val="false"/>
          <w:i w:val="false"/>
          <w:color w:val="000000"/>
          <w:sz w:val="21"/>
        </w:rPr>
        <w:t>[Filed emergency 4/12/00 after Notice 2/23/00—published 5/3/00, effective 4/14/00]</w:t>
      </w:r>
    </w:p>
    <w:p>
      <w:pPr>
        <w:spacing w:before="0" w:after="0"/>
        <w:ind w:left="120"/>
        <w:jc w:val="center"/>
      </w:pPr>
      <w:r>
        <w:rPr>
          <w:rFonts w:ascii="Times New Roman" w:hAnsi="Times New Roman"/>
          <w:b w:val="false"/>
          <w:i w:val="false"/>
          <w:color w:val="000000"/>
          <w:sz w:val="21"/>
        </w:rPr>
        <w:t>[Filed 5/3/00, Notice 3/8/00—published 5/31/00, effective 7/5/00]</w:t>
      </w:r>
    </w:p>
    <w:p>
      <w:pPr>
        <w:spacing w:before="0" w:after="0"/>
        <w:ind w:left="120"/>
        <w:jc w:val="center"/>
      </w:pPr>
      <w:r>
        <w:rPr>
          <w:rFonts w:ascii="Times New Roman" w:hAnsi="Times New Roman"/>
          <w:b w:val="false"/>
          <w:i w:val="false"/>
          <w:color w:val="000000"/>
          <w:sz w:val="21"/>
        </w:rPr>
        <w:t>[Filed 10/11/06, Notice 8/30/06—published 11/8/06, effective 12/13/06]</w:t>
      </w:r>
    </w:p>
    <w:p>
      <w:pPr>
        <w:spacing w:before="0" w:after="0"/>
        <w:ind w:left="120"/>
        <w:jc w:val="center"/>
      </w:pPr>
      <w:r>
        <w:rPr>
          <w:rFonts w:ascii="Times New Roman" w:hAnsi="Times New Roman"/>
          <w:b w:val="false"/>
          <w:i w:val="false"/>
          <w:color w:val="000000"/>
          <w:sz w:val="21"/>
        </w:rPr>
        <w:t>[Filed ARC 7902B</w:t>
      </w:r>
      <w:r>
        <w:rPr>
          <w:rFonts w:ascii="Times New Roman" w:hAnsi="Times New Roman"/>
          <w:b w:val="false"/>
          <w:i w:val="false"/>
          <w:color w:val="000000"/>
          <w:sz w:val="21"/>
        </w:rPr>
        <w:t xml:space="preserve"> (Notice ARC 7721B, IAB 4/22/09)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9991B</w:t>
      </w:r>
      <w:r>
        <w:rPr>
          <w:rFonts w:ascii="Times New Roman" w:hAnsi="Times New Roman"/>
          <w:b w:val="false"/>
          <w:i w:val="false"/>
          <w:color w:val="000000"/>
          <w:sz w:val="21"/>
        </w:rPr>
        <w:t xml:space="preserve"> (Notice ARC 9874B, IAB 11/30/11)</w:t>
      </w:r>
      <w:r>
        <w:rPr>
          <w:rFonts w:ascii="Times New Roman" w:hAnsi="Times New Roman"/>
          <w:b w:val="false"/>
          <w:i w:val="false"/>
          <w:color w:val="000000"/>
          <w:sz w:val="21"/>
        </w:rPr>
        <w:t>, IAB 2/8/12, effective 3/14/12]</w:t>
      </w:r>
    </w:p>
    <w:p>
      <w:pPr>
        <w:spacing w:before="0" w:after="0"/>
        <w:ind w:left="120"/>
        <w:jc w:val="center"/>
      </w:pPr>
      <w:r>
        <w:rPr>
          <w:rFonts w:ascii="Times New Roman" w:hAnsi="Times New Roman"/>
          <w:b w:val="false"/>
          <w:i w:val="false"/>
          <w:color w:val="000000"/>
          <w:sz w:val="21"/>
        </w:rPr>
        <w:t>[Filed Emergency ARC 0895C, IAB 8/7/13, effective 7/9/13]</w:t>
      </w:r>
    </w:p>
    <w:p>
      <w:pPr>
        <w:spacing w:before="0" w:after="0"/>
        <w:ind w:left="120"/>
        <w:jc w:val="center"/>
      </w:pPr>
      <w:r>
        <w:rPr>
          <w:rFonts w:ascii="Times New Roman" w:hAnsi="Times New Roman"/>
          <w:b w:val="false"/>
          <w:i w:val="false"/>
          <w:color w:val="000000"/>
          <w:sz w:val="21"/>
        </w:rPr>
        <w:t>[Filed ARC 1073C</w:t>
      </w:r>
      <w:r>
        <w:rPr>
          <w:rFonts w:ascii="Times New Roman" w:hAnsi="Times New Roman"/>
          <w:b w:val="false"/>
          <w:i w:val="false"/>
          <w:color w:val="000000"/>
          <w:sz w:val="21"/>
        </w:rPr>
        <w:t xml:space="preserve"> (Notice ARC 0894C,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1612C</w:t>
      </w:r>
      <w:r>
        <w:rPr>
          <w:rFonts w:ascii="Times New Roman" w:hAnsi="Times New Roman"/>
          <w:b w:val="false"/>
          <w:i w:val="false"/>
          <w:color w:val="000000"/>
          <w:sz w:val="21"/>
        </w:rPr>
        <w:t xml:space="preserve"> (Notice ARC 1526C, IAB 7/9/14)</w:t>
      </w:r>
      <w:r>
        <w:rPr>
          <w:rFonts w:ascii="Times New Roman" w:hAnsi="Times New Roman"/>
          <w:b w:val="false"/>
          <w:i w:val="false"/>
          <w:color w:val="000000"/>
          <w:sz w:val="21"/>
        </w:rPr>
        <w:t>, IAB 9/3/14, effective 10/8/14]</w:t>
      </w:r>
    </w:p>
    <w:p>
      <w:pPr>
        <w:spacing w:before="0" w:after="0"/>
        <w:ind w:left="120"/>
        <w:jc w:val="center"/>
      </w:pPr>
      <w:r>
        <w:rPr>
          <w:rFonts w:ascii="Times New Roman" w:hAnsi="Times New Roman"/>
          <w:b w:val="false"/>
          <w:i w:val="false"/>
          <w:color w:val="000000"/>
          <w:sz w:val="21"/>
        </w:rPr>
        <w:t>[Filed Emergency ARC 2071C, IAB 8/5/15, effective 7/14/15]</w:t>
      </w:r>
    </w:p>
    <w:p>
      <w:pPr>
        <w:spacing w:before="0" w:after="0"/>
        <w:ind w:left="120"/>
        <w:jc w:val="center"/>
      </w:pPr>
      <w:r>
        <w:rPr>
          <w:rFonts w:ascii="Times New Roman" w:hAnsi="Times New Roman"/>
          <w:b w:val="false"/>
          <w:i w:val="false"/>
          <w:color w:val="000000"/>
          <w:sz w:val="21"/>
        </w:rPr>
        <w:t>[Filed ARC 2337C</w:t>
      </w:r>
      <w:r>
        <w:rPr>
          <w:rFonts w:ascii="Times New Roman" w:hAnsi="Times New Roman"/>
          <w:b w:val="false"/>
          <w:i w:val="false"/>
          <w:color w:val="000000"/>
          <w:sz w:val="21"/>
        </w:rPr>
        <w:t xml:space="preserve"> (Notice ARC 2070C, IAB 8/5/15)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2985C</w:t>
      </w:r>
      <w:r>
        <w:rPr>
          <w:rFonts w:ascii="Times New Roman" w:hAnsi="Times New Roman"/>
          <w:b w:val="false"/>
          <w:i w:val="false"/>
          <w:color w:val="000000"/>
          <w:sz w:val="21"/>
        </w:rPr>
        <w:t xml:space="preserve"> (Notice ARC 2908C, IAB 1/18/17)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4586C</w:t>
      </w:r>
      <w:r>
        <w:rPr>
          <w:rFonts w:ascii="Times New Roman" w:hAnsi="Times New Roman"/>
          <w:b w:val="false"/>
          <w:i w:val="false"/>
          <w:color w:val="000000"/>
          <w:sz w:val="21"/>
        </w:rPr>
        <w:t xml:space="preserve"> (Notice ARC 4476C, IAB 6/5/19)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5048C</w:t>
      </w:r>
      <w:r>
        <w:rPr>
          <w:rFonts w:ascii="Times New Roman" w:hAnsi="Times New Roman"/>
          <w:b w:val="false"/>
          <w:i w:val="false"/>
          <w:color w:val="000000"/>
          <w:sz w:val="21"/>
        </w:rPr>
        <w:t xml:space="preserve"> (Notice ARC 4995C, IAB 3/25/20)</w:t>
      </w:r>
      <w:r>
        <w:rPr>
          <w:rFonts w:ascii="Times New Roman" w:hAnsi="Times New Roman"/>
          <w:b w:val="false"/>
          <w:i w:val="false"/>
          <w:color w:val="000000"/>
          <w:sz w:val="21"/>
        </w:rPr>
        <w:t>, IAB 6/3/20, effective 7/8/20]</w:t>
      </w:r>
    </w:p>
    <w:p>
      <w:pPr>
        <w:spacing w:before="0" w:after="0"/>
        <w:ind w:left="120"/>
        <w:jc w:val="center"/>
      </w:pPr>
      <w:r>
        <w:rPr>
          <w:rFonts w:ascii="Times New Roman" w:hAnsi="Times New Roman"/>
          <w:b w:val="false"/>
          <w:i w:val="false"/>
          <w:color w:val="000000"/>
          <w:sz w:val="21"/>
        </w:rPr>
        <w:t>[Filed ARC 5495C</w:t>
      </w:r>
      <w:r>
        <w:rPr>
          <w:rFonts w:ascii="Times New Roman" w:hAnsi="Times New Roman"/>
          <w:b w:val="false"/>
          <w:i w:val="false"/>
          <w:color w:val="000000"/>
          <w:sz w:val="21"/>
        </w:rPr>
        <w:t xml:space="preserve"> (Notice ARC 5384C, IAB 1/13/21)</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5942C</w:t>
      </w:r>
      <w:r>
        <w:rPr>
          <w:rFonts w:ascii="Times New Roman" w:hAnsi="Times New Roman"/>
          <w:b w:val="false"/>
          <w:i w:val="false"/>
          <w:color w:val="000000"/>
          <w:sz w:val="21"/>
        </w:rPr>
        <w:t xml:space="preserve"> (Notice ARC 5804C, IAB 7/28/21)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6059C</w:t>
      </w:r>
      <w:r>
        <w:rPr>
          <w:rFonts w:ascii="Times New Roman" w:hAnsi="Times New Roman"/>
          <w:b w:val="false"/>
          <w:i w:val="false"/>
          <w:color w:val="000000"/>
          <w:sz w:val="21"/>
        </w:rPr>
        <w:t xml:space="preserve"> (Notice ARC 5924C, IAB 9/22/21)</w:t>
      </w:r>
      <w:r>
        <w:rPr>
          <w:rFonts w:ascii="Times New Roman" w:hAnsi="Times New Roman"/>
          <w:b w:val="false"/>
          <w:i w:val="false"/>
          <w:color w:val="000000"/>
          <w:sz w:val="21"/>
        </w:rPr>
        <w:t>, IAB 12/1/21, effective 1/5/22]</w:t>
      </w:r>
    </w:p>
    <w:p>
      <w:pPr>
        <w:spacing w:before="0" w:after="0"/>
        <w:ind w:left="120"/>
        <w:jc w:val="center"/>
      </w:pPr>
      <w:r>
        <w:rPr>
          <w:rFonts w:ascii="Times New Roman" w:hAnsi="Times New Roman"/>
          <w:b w:val="false"/>
          <w:i w:val="false"/>
          <w:color w:val="000000"/>
          <w:sz w:val="21"/>
        </w:rPr>
        <w:t>[Editorial change: IAC Supplement 12/28/22]</w:t>
      </w:r>
    </w:p>
    <w:p>
      <w:pPr>
        <w:spacing w:before="0" w:after="0"/>
        <w:ind w:left="120"/>
        <w:jc w:val="center"/>
      </w:pPr>
      <w:r>
        <w:rPr>
          <w:rFonts w:ascii="Times New Roman" w:hAnsi="Times New Roman"/>
          <w:b w:val="false"/>
          <w:i w:val="false"/>
          <w:color w:val="000000"/>
          <w:sz w:val="21"/>
        </w:rPr>
        <w:t>[Filed ARC 9578C</w:t>
      </w:r>
      <w:r>
        <w:rPr>
          <w:rFonts w:ascii="Times New Roman" w:hAnsi="Times New Roman"/>
          <w:b w:val="false"/>
          <w:i w:val="false"/>
          <w:color w:val="000000"/>
          <w:sz w:val="21"/>
        </w:rPr>
        <w:t xml:space="preserve"> (Notice ARC 9335C, IAB 6/11/25)</w:t>
      </w:r>
      <w:r>
        <w:rPr>
          <w:rFonts w:ascii="Times New Roman" w:hAnsi="Times New Roman"/>
          <w:b w:val="false"/>
          <w:i w:val="false"/>
          <w:color w:val="000000"/>
          <w:sz w:val="21"/>
        </w:rPr>
        <w:t>, IAB 10/1/25, effective 11/5/25]</w:t>
      </w:r>
    </w:p>
    <w:p>
      <w:pPr>
        <w:pBdr>
          <w:bottom w:space="2"/>
        </w:pBdr>
        <w:spacing w:before="0" w:after="0"/>
        <w:ind w:left="120"/>
        <w:jc w:val="both"/>
      </w:pPr>
      <w:r>
        <w:rPr>
          <w:rFonts w:ascii="Times New Roman" w:hAnsi="Times New Roman"/>
          <w:b w:val="false"/>
          <w:i w:val="false"/>
          <w:color w:val="000000"/>
          <w:sz w:val="22"/>
        </w:rPr>
        <w:t>Effective date of 604.11(2) and 604.13(2)</w:t>
      </w:r>
      <w:r>
        <w:rPr>
          <w:rFonts w:ascii="Times New Roman" w:hAnsi="Times New Roman"/>
          <w:b w:val="false"/>
          <w:i/>
          <w:color w:val="000000"/>
          <w:sz w:val="22"/>
        </w:rPr>
        <w:t>“b”</w:t>
      </w:r>
      <w:r>
        <w:rPr>
          <w:rFonts w:ascii="Times New Roman" w:hAnsi="Times New Roman"/>
          <w:b w:val="false"/>
          <w:i w:val="false"/>
          <w:color w:val="000000"/>
          <w:sz w:val="22"/>
        </w:rPr>
        <w:t xml:space="preserve"> delayed until adjournment of the 1988 Session of the General Assembly pursuant to Iowa Code section </w:t>
      </w:r>
      <w:hyperlink r:id="rId95">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 xml:space="preserve"> by the Administrative Rules Review Committee at its June 1987 meeting.</w:t>
      </w:r>
    </w:p>
    <w:sectPr>
      <w:footerReference r:id="rId96"/>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61.607.pdf" Type="http://schemas.openxmlformats.org/officeDocument/2006/relationships/hyperlink" Id="rId5"/>
    <Relationship TargetMode="External" Target="https://www.legis.iowa.gov/docs/ico/chapter/307.12.pdf" Type="http://schemas.openxmlformats.org/officeDocument/2006/relationships/hyperlink" Id="rId6"/>
    <Relationship TargetMode="External" Target="https://www.legis.iowa.gov/docs/ico/chapter/321.2.pdf" Type="http://schemas.openxmlformats.org/officeDocument/2006/relationships/hyperlink" Id="rId7"/>
    <Relationship TargetMode="External" Target="https://www.legis.iowa.gov/docs/ico/chapter/321.3.pdf" Type="http://schemas.openxmlformats.org/officeDocument/2006/relationships/hyperlink" Id="rId8"/>
    <Relationship TargetMode="External" Target="https://www.legis.iowa.gov/docs/ico/chapter/321.13.pdf" Type="http://schemas.openxmlformats.org/officeDocument/2006/relationships/hyperlink" Id="rId9"/>
    <Relationship TargetMode="External" Target="https://www.legis.iowa.gov/docs/ico/chapter/321.177.pdf" Type="http://schemas.openxmlformats.org/officeDocument/2006/relationships/hyperlink" Id="rId10"/>
    <Relationship TargetMode="External" Target="https://www.legis.iowa.gov/docs/ico/chapter/321.186.pdf" Type="http://schemas.openxmlformats.org/officeDocument/2006/relationships/hyperlink" Id="rId11"/>
    <Relationship TargetMode="External" Target="https://www.legis.iowa.gov/docs/ico/chapter/321.1.pdf" Type="http://schemas.openxmlformats.org/officeDocument/2006/relationships/hyperlink" Id="rId12"/>
    <Relationship TargetMode="External" Target="https://www.legis.iowa.gov/docs/ico/chapter/307.12.pdf" Type="http://schemas.openxmlformats.org/officeDocument/2006/relationships/hyperlink" Id="rId13"/>
    <Relationship TargetMode="External" Target="https://www.legis.iowa.gov/docs/ico/chapter/321.174.pdf" Type="http://schemas.openxmlformats.org/officeDocument/2006/relationships/hyperlink" Id="rId14"/>
    <Relationship TargetMode="External" Target="https://www.legis.iowa.gov/docs/ico/chapter/321.186.pdf" Type="http://schemas.openxmlformats.org/officeDocument/2006/relationships/hyperlink" Id="rId15"/>
    <Relationship TargetMode="External" Target="http://www.iowadot.gov/mvd/driverslicense/driverslicense/descriptions" Type="http://schemas.openxmlformats.org/officeDocument/2006/relationships/hyperlink" Id="rId16"/>
    <Relationship TargetMode="External" Target="https://www.legis.iowa.gov/docs/ico/chapter/307.12.pdf" Type="http://schemas.openxmlformats.org/officeDocument/2006/relationships/hyperlink" Id="rId17"/>
    <Relationship TargetMode="External" Target="https://www.legis.iowa.gov/docs/ico/chapter/307.12.pdf" Type="http://schemas.openxmlformats.org/officeDocument/2006/relationships/hyperlink" Id="rId18"/>
    <Relationship TargetMode="External" Target="https://www.legis.iowa.gov/docs/ico/chapter/321.186.pdf" Type="http://schemas.openxmlformats.org/officeDocument/2006/relationships/hyperlink" Id="rId19"/>
    <Relationship TargetMode="External" Target="https://www.legis.iowa.gov/docs/ico/chapter/321.186A.pdf" Type="http://schemas.openxmlformats.org/officeDocument/2006/relationships/hyperlink" Id="rId20"/>
    <Relationship TargetMode="External" Target="https://www.legis.iowa.gov/docs/iac/rule/761.605.25.pdf" Type="http://schemas.openxmlformats.org/officeDocument/2006/relationships/hyperlink" Id="rId21"/>
    <Relationship TargetMode="External" Target="https://www.legis.iowa.gov/docs/ico/chapter/307.12.pdf" Type="http://schemas.openxmlformats.org/officeDocument/2006/relationships/hyperlink" Id="rId22"/>
    <Relationship TargetMode="External" Target="https://www.legis.iowa.gov/docs/ico/chapter/321.186.pdf" Type="http://schemas.openxmlformats.org/officeDocument/2006/relationships/hyperlink" Id="rId23"/>
    <Relationship TargetMode="External" Target="https://www.legis.iowa.gov/docs/ico/chapter/321.186A.pdf" Type="http://schemas.openxmlformats.org/officeDocument/2006/relationships/hyperlink" Id="rId24"/>
    <Relationship TargetMode="External" Target="https://www.legis.iowa.gov/docs/ico/chapter/321.196.pdf" Type="http://schemas.openxmlformats.org/officeDocument/2006/relationships/hyperlink" Id="rId25"/>
    <Relationship TargetMode="External" Target="https://www.legis.iowa.gov/docs/ico/chapter/307.12.pdf" Type="http://schemas.openxmlformats.org/officeDocument/2006/relationships/hyperlink" Id="rId26"/>
    <Relationship TargetMode="External" Target="https://www.legis.iowa.gov/docs/ico/chapter/321.186.pdf" Type="http://schemas.openxmlformats.org/officeDocument/2006/relationships/hyperlink" Id="rId27"/>
    <Relationship TargetMode="External" Target="https://www.legis.iowa.gov/docs/ico/chapter/321.193.pdf" Type="http://schemas.openxmlformats.org/officeDocument/2006/relationships/hyperlink" Id="rId28"/>
    <Relationship TargetMode="External" Target="https://www.legis.iowa.gov/docs/ico/chapter/321.196.pdf" Type="http://schemas.openxmlformats.org/officeDocument/2006/relationships/hyperlink" Id="rId29"/>
    <Relationship TargetMode="External" Target="https://www.legis.iowa.gov/docs/iac/rule/761.604.5.pdf" Type="http://schemas.openxmlformats.org/officeDocument/2006/relationships/hyperlink" Id="rId30"/>
    <Relationship TargetMode="External" Target="https://www.legis.iowa.gov/docs/ico/chapter/307.12.pdf" Type="http://schemas.openxmlformats.org/officeDocument/2006/relationships/hyperlink" Id="rId31"/>
    <Relationship TargetMode="External" Target="https://www.legis.iowa.gov/docs/ico/chapter/321.181.pdf" Type="http://schemas.openxmlformats.org/officeDocument/2006/relationships/hyperlink" Id="rId32"/>
    <Relationship TargetMode="External" Target="https://www.legis.iowa.gov/docs/ico/chapter/321.186.pdf" Type="http://schemas.openxmlformats.org/officeDocument/2006/relationships/hyperlink" Id="rId33"/>
    <Relationship TargetMode="External" Target="https://www.legis.iowa.gov/docs/ico/chapter/321.186A.pdf" Type="http://schemas.openxmlformats.org/officeDocument/2006/relationships/hyperlink" Id="rId34"/>
    <Relationship TargetMode="External" Target="https://www.legis.iowa.gov/docs/ico/chapter/321.193.pdf" Type="http://schemas.openxmlformats.org/officeDocument/2006/relationships/hyperlink" Id="rId35"/>
    <Relationship TargetMode="External" Target="https://www.legis.iowa.gov/docs/ico/chapter/321.196.pdf" Type="http://schemas.openxmlformats.org/officeDocument/2006/relationships/hyperlink" Id="rId36"/>
    <Relationship TargetMode="External" Target="https://www.legis.iowa.gov/docs/iac/rule/761.604.8.pdf" Type="http://schemas.openxmlformats.org/officeDocument/2006/relationships/hyperlink" Id="rId37"/>
    <Relationship TargetMode="External" Target="https://www.legis.iowa.gov/docs/iac/rule/761.604.8.pdf" Type="http://schemas.openxmlformats.org/officeDocument/2006/relationships/hyperlink" Id="rId38"/>
    <Relationship TargetMode="External" Target="https://www.legis.iowa.gov/docs/iac/rule/761.604.8.pdf" Type="http://schemas.openxmlformats.org/officeDocument/2006/relationships/hyperlink" Id="rId39"/>
    <Relationship TargetMode="External" Target="https://www.legis.iowa.gov/docs/iac/rule/761.604.3.pdf" Type="http://schemas.openxmlformats.org/officeDocument/2006/relationships/hyperlink" Id="rId40"/>
    <Relationship TargetMode="External" Target="https://www.legis.iowa.gov/docs/iac/rule/761.604.6.pdf" Type="http://schemas.openxmlformats.org/officeDocument/2006/relationships/hyperlink" Id="rId41"/>
    <Relationship TargetMode="External" Target="https://www.legis.iowa.gov/docs/iac/rule/761.604.8.pdf" Type="http://schemas.openxmlformats.org/officeDocument/2006/relationships/hyperlink" Id="rId42"/>
    <Relationship TargetMode="External" Target="https://www.legis.iowa.gov/docs/ico/chapter/307.12.pdf" Type="http://schemas.openxmlformats.org/officeDocument/2006/relationships/hyperlink" Id="rId43"/>
    <Relationship TargetMode="External" Target="https://www.legis.iowa.gov/docs/ico/chapter/321.186.pdf" Type="http://schemas.openxmlformats.org/officeDocument/2006/relationships/hyperlink" Id="rId44"/>
    <Relationship TargetMode="External" Target="https://www.legis.iowa.gov/docs/ico/chapter/321.186A.pdf" Type="http://schemas.openxmlformats.org/officeDocument/2006/relationships/hyperlink" Id="rId45"/>
    <Relationship TargetMode="External" Target="https://www.legis.iowa.gov/docs/ico/chapter/321.193.pdf" Type="http://schemas.openxmlformats.org/officeDocument/2006/relationships/hyperlink" Id="rId46"/>
    <Relationship TargetMode="External" Target="https://www.legis.iowa.gov/docs/ico/chapter/321.196.pdf" Type="http://schemas.openxmlformats.org/officeDocument/2006/relationships/hyperlink" Id="rId47"/>
    <Relationship TargetMode="External" Target="https://www.legis.iowa.gov/docs/ico/chapter/307.12.pdf" Type="http://schemas.openxmlformats.org/officeDocument/2006/relationships/hyperlink" Id="rId48"/>
    <Relationship TargetMode="External" Target="https://www.legis.iowa.gov/docs/ico/chapter/321.186.pdf" Type="http://schemas.openxmlformats.org/officeDocument/2006/relationships/hyperlink" Id="rId49"/>
    <Relationship TargetMode="External" Target="https://www.legis.iowa.gov/docs/iac/rule/761.604.10.pdf" Type="http://schemas.openxmlformats.org/officeDocument/2006/relationships/hyperlink" Id="rId50"/>
    <Relationship TargetMode="External" Target="https://www.legis.iowa.gov/docs/ico/chapter/307.12.pdf" Type="http://schemas.openxmlformats.org/officeDocument/2006/relationships/hyperlink" Id="rId51"/>
    <Relationship TargetMode="External" Target="https://www.legis.iowa.gov/docs/ico/chapter/321.1.pdf" Type="http://schemas.openxmlformats.org/officeDocument/2006/relationships/hyperlink" Id="rId52"/>
    <Relationship TargetMode="External" Target="https://www.legis.iowa.gov/docs/ico/chapter/321.180.pdf" Type="http://schemas.openxmlformats.org/officeDocument/2006/relationships/hyperlink" Id="rId53"/>
    <Relationship TargetMode="External" Target="https://www.legis.iowa.gov/docs/ico/chapter/321.180B.pdf" Type="http://schemas.openxmlformats.org/officeDocument/2006/relationships/hyperlink" Id="rId54"/>
    <Relationship TargetMode="External" Target="https://www.legis.iowa.gov/docs/ico/chapter/321.186.pdf" Type="http://schemas.openxmlformats.org/officeDocument/2006/relationships/hyperlink" Id="rId55"/>
    <Relationship TargetMode="External" Target="https://www.legis.iowa.gov/docs/ico/chapter/321.189.pdf" Type="http://schemas.openxmlformats.org/officeDocument/2006/relationships/hyperlink" Id="rId56"/>
    <Relationship TargetMode="External" Target="https://www.legis.iowa.gov/docs/ico/chapter/321.196.pdf" Type="http://schemas.openxmlformats.org/officeDocument/2006/relationships/hyperlink" Id="rId57"/>
    <Relationship TargetMode="External" Target="https://www.legis.iowa.gov/docs/ico/chapter/321.198.pdf" Type="http://schemas.openxmlformats.org/officeDocument/2006/relationships/hyperlink" Id="rId58"/>
    <Relationship TargetMode="External" Target="https://www.legis.iowa.gov/docs/ico/chapter/307.12.pdf" Type="http://schemas.openxmlformats.org/officeDocument/2006/relationships/hyperlink" Id="rId59"/>
    <Relationship TargetMode="External" Target="https://www.legis.iowa.gov/docs/ico/chapter/321.174.pdf" Type="http://schemas.openxmlformats.org/officeDocument/2006/relationships/hyperlink" Id="rId60"/>
    <Relationship TargetMode="External" Target="https://www.legis.iowa.gov/docs/ico/chapter/321.186.pdf" Type="http://schemas.openxmlformats.org/officeDocument/2006/relationships/hyperlink" Id="rId61"/>
    <Relationship TargetMode="External" Target="https://www.legis.iowa.gov/docs/ico/chapter/321.1.pdf" Type="http://schemas.openxmlformats.org/officeDocument/2006/relationships/hyperlink" Id="rId62"/>
    <Relationship TargetMode="External" Target="https://www.legis.iowa.gov/docs/iac/rule/761.605.7.pdf" Type="http://schemas.openxmlformats.org/officeDocument/2006/relationships/hyperlink" Id="rId63"/>
    <Relationship TargetMode="External" Target="https://www.legis.iowa.gov/docs/iac/rule/761.604.12.pdf" Type="http://schemas.openxmlformats.org/officeDocument/2006/relationships/hyperlink" Id="rId64"/>
    <Relationship TargetMode="External" Target="https://www.legis.iowa.gov/docs/iac/rule/761.634.11.pdf" Type="http://schemas.openxmlformats.org/officeDocument/2006/relationships/hyperlink" Id="rId65"/>
    <Relationship TargetMode="External" Target="https://www.legis.iowa.gov/docs/ico/chapter/307.12.pdf" Type="http://schemas.openxmlformats.org/officeDocument/2006/relationships/hyperlink" Id="rId66"/>
    <Relationship TargetMode="External" Target="https://www.legis.iowa.gov/docs/ico/chapter/321.1.pdf" Type="http://schemas.openxmlformats.org/officeDocument/2006/relationships/hyperlink" Id="rId67"/>
    <Relationship TargetMode="External" Target="https://www.legis.iowa.gov/docs/ico/chapter/321.174.pdf" Type="http://schemas.openxmlformats.org/officeDocument/2006/relationships/hyperlink" Id="rId68"/>
    <Relationship TargetMode="External" Target="https://www.legis.iowa.gov/docs/ico/chapter/321.178.pdf" Type="http://schemas.openxmlformats.org/officeDocument/2006/relationships/hyperlink" Id="rId69"/>
    <Relationship TargetMode="External" Target="https://www.legis.iowa.gov/docs/ico/chapter/321.178A.pdf" Type="http://schemas.openxmlformats.org/officeDocument/2006/relationships/hyperlink" Id="rId70"/>
    <Relationship TargetMode="External" Target="https://www.legis.iowa.gov/docs/ico/chapter/321.180.pdf" Type="http://schemas.openxmlformats.org/officeDocument/2006/relationships/hyperlink" Id="rId71"/>
    <Relationship TargetMode="External" Target="https://www.legis.iowa.gov/docs/ico/chapter/321.180B.pdf" Type="http://schemas.openxmlformats.org/officeDocument/2006/relationships/hyperlink" Id="rId72"/>
    <Relationship TargetMode="External" Target="https://www.legis.iowa.gov/docs/ico/chapter/321.186.pdf" Type="http://schemas.openxmlformats.org/officeDocument/2006/relationships/hyperlink" Id="rId73"/>
    <Relationship TargetMode="External" Target="https://www.legis.iowa.gov/docs/ico/chapter/321.189.pdf" Type="http://schemas.openxmlformats.org/officeDocument/2006/relationships/hyperlink" Id="rId74"/>
    <Relationship TargetMode="External" Target="https://www.legis.iowa.gov/docs/ico/chapter/321.193.pdf" Type="http://schemas.openxmlformats.org/officeDocument/2006/relationships/hyperlink" Id="rId75"/>
    <Relationship TargetMode="External" Target="https://www.legis.iowa.gov/docs/ico/chapter/321.196.pdf" Type="http://schemas.openxmlformats.org/officeDocument/2006/relationships/hyperlink" Id="rId76"/>
    <Relationship TargetMode="External" Target="https://www.legis.iowa.gov/docs/ico/chapter/321.198.pdf" Type="http://schemas.openxmlformats.org/officeDocument/2006/relationships/hyperlink" Id="rId77"/>
    <Relationship TargetMode="External" Target="https://www.legis.iowa.gov/docs/iac/rule/761.615.4.pdf" Type="http://schemas.openxmlformats.org/officeDocument/2006/relationships/hyperlink" Id="rId78"/>
    <Relationship TargetMode="External" Target="https://www.legis.iowa.gov/docs/iac/rule/761.615.38.pdf" Type="http://schemas.openxmlformats.org/officeDocument/2006/relationships/hyperlink" Id="rId79"/>
    <Relationship TargetMode="External" Target="https://www.legis.iowa.gov/docs/iac/rule/761.604.3.pdf" Type="http://schemas.openxmlformats.org/officeDocument/2006/relationships/hyperlink" Id="rId80"/>
    <Relationship TargetMode="External" Target="https://www.legis.iowa.gov/docs/iac/rule/761.604.13.pdf" Type="http://schemas.openxmlformats.org/officeDocument/2006/relationships/hyperlink" Id="rId81"/>
    <Relationship TargetMode="External" Target="https://www.legis.iowa.gov/docs/ico/chapter/307.12.pdf" Type="http://schemas.openxmlformats.org/officeDocument/2006/relationships/hyperlink" Id="rId82"/>
    <Relationship TargetMode="External" Target="https://www.legis.iowa.gov/docs/ico/chapter/321.177.pdf" Type="http://schemas.openxmlformats.org/officeDocument/2006/relationships/hyperlink" Id="rId83"/>
    <Relationship TargetMode="External" Target="https://www.legis.iowa.gov/docs/ico/chapter/321.180A.pdf" Type="http://schemas.openxmlformats.org/officeDocument/2006/relationships/hyperlink" Id="rId84"/>
    <Relationship TargetMode="External" Target="https://www.legis.iowa.gov/docs/ico/chapter/321.210.pdf" Type="http://schemas.openxmlformats.org/officeDocument/2006/relationships/hyperlink" Id="rId85"/>
    <Relationship TargetMode="External" Target="https://www.legis.iowa.gov/docs/ico/chapter/307.12.pdf" Type="http://schemas.openxmlformats.org/officeDocument/2006/relationships/hyperlink" Id="rId86"/>
    <Relationship TargetMode="External" Target="https://www.legis.iowa.gov/docs/ico/chapter/321.177.pdf" Type="http://schemas.openxmlformats.org/officeDocument/2006/relationships/hyperlink" Id="rId87"/>
    <Relationship TargetMode="External" Target="https://www.legis.iowa.gov/docs/ico/chapter/321.186.pdf" Type="http://schemas.openxmlformats.org/officeDocument/2006/relationships/hyperlink" Id="rId88"/>
    <Relationship TargetMode="External" Target="https://www.legis.iowa.gov/docs/ico/chapter/321.186.pdf" Type="http://schemas.openxmlformats.org/officeDocument/2006/relationships/hyperlink" Id="rId89"/>
    <Relationship TargetMode="External" Target="https://www.legis.iowa.gov/docs/iac/rule/761.604.15.pdf" Type="http://schemas.openxmlformats.org/officeDocument/2006/relationships/hyperlink" Id="rId90"/>
    <Relationship TargetMode="External" Target="https://www.legis.iowa.gov/docs/ico/chapter/307.12.pdf" Type="http://schemas.openxmlformats.org/officeDocument/2006/relationships/hyperlink" Id="rId91"/>
    <Relationship TargetMode="External" Target="https://www.legis.iowa.gov/docs/ico/chapter/321.177.pdf" Type="http://schemas.openxmlformats.org/officeDocument/2006/relationships/hyperlink" Id="rId92"/>
    <Relationship TargetMode="External" Target="https://www.legis.iowa.gov/docs/ico/chapter/321.186.pdf" Type="http://schemas.openxmlformats.org/officeDocument/2006/relationships/hyperlink" Id="rId93"/>
    <Relationship TargetMode="External" Target="https://www.legis.iowa.gov/docs/ico/chapter/321.210.pdf" Type="http://schemas.openxmlformats.org/officeDocument/2006/relationships/hyperlink" Id="rId94"/>
    <Relationship TargetMode="External" Target="https://www.legis.iowa.gov/docs/ico/chapter/17A.8.pdf" Type="http://schemas.openxmlformats.org/officeDocument/2006/relationships/hyperlink" Id="rId95"/>
    <Relationship Target="footer.xml" Type="http://schemas.openxmlformats.org/officeDocument/2006/relationships/footer" Id="rId9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