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INTERSTATE MOTOR VEHICLE FUEL LICENSES AND PERMITS</w:t>
      </w:r>
    </w:p>
    <w:p>
      <w:pPr>
        <w:spacing w:before="0" w:after="0"/>
        <w:ind w:left="120"/>
        <w:jc w:val="center"/>
      </w:pPr>
      <w:r>
        <w:rPr>
          <w:rFonts w:ascii="Times New Roman" w:hAnsi="Times New Roman"/>
          <w:b w:val="false"/>
          <w:i w:val="false"/>
          <w:color w:val="000000"/>
          <w:sz w:val="14"/>
        </w:rPr>
        <w:t>[Prior to 6/3/87, Transportation Department[820]—(07,F)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761—505.1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Iowa Code sections </w:t>
      </w:r>
      <w:hyperlink r:id="rId5">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where not inconsistent with the definitions below,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“Fuel(s)”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and includes “motor fuel” and “special fuel” as defined in Iowa Code section </w:t>
      </w:r>
      <w:hyperlink r:id="rId8">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“Fuel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IFTA license issued pursuant to Iowa Code section </w:t>
      </w:r>
      <w:hyperlink r:id="rId9">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“Hydrogen gallon”</w:t>
      </w:r>
      <w:r>
        <w:rPr>
          <w:rFonts w:ascii="Times New Roman" w:hAnsi="Times New Roman"/>
          <w:b w:val="false"/>
          <w:i w:val="false"/>
          <w:color w:val="000000"/>
          <w:sz w:val="22"/>
        </w:rPr>
        <w:t> </w:t>
      </w:r>
      <w:r>
        <w:rPr>
          <w:rFonts w:ascii="Times New Roman" w:hAnsi="Times New Roman"/>
          <w:b w:val="false"/>
          <w:i w:val="false"/>
          <w:color w:val="000000"/>
          <w:sz w:val="22"/>
        </w:rPr>
        <w:t>means a diesel gallon equivalent. A diesel gallon equivalent of hydrogen weighs 2.49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“IFTA”</w:t>
      </w:r>
      <w:r>
        <w:rPr>
          <w:rFonts w:ascii="Times New Roman" w:hAnsi="Times New Roman"/>
          <w:b w:val="false"/>
          <w:i w:val="false"/>
          <w:color w:val="000000"/>
          <w:sz w:val="22"/>
        </w:rPr>
        <w:t> </w:t>
      </w:r>
      <w:r>
        <w:rPr>
          <w:rFonts w:ascii="Times New Roman" w:hAnsi="Times New Roman"/>
          <w:b w:val="false"/>
          <w:i w:val="false"/>
          <w:color w:val="000000"/>
          <w:sz w:val="22"/>
        </w:rPr>
        <w:t>means the International Fuel Tax Agreement, which is a multijurisdictional agreement for the administration of motor fuel tax laws for vehicles operated in multiple member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“IFTA member jurisdiction”</w:t>
      </w:r>
      <w:r>
        <w:rPr>
          <w:rFonts w:ascii="Times New Roman" w:hAnsi="Times New Roman"/>
          <w:b w:val="false"/>
          <w:i w:val="false"/>
          <w:color w:val="000000"/>
          <w:sz w:val="22"/>
        </w:rPr>
        <w:t> </w:t>
      </w:r>
      <w:r>
        <w:rPr>
          <w:rFonts w:ascii="Times New Roman" w:hAnsi="Times New Roman"/>
          <w:b w:val="false"/>
          <w:i w:val="false"/>
          <w:color w:val="000000"/>
          <w:sz w:val="22"/>
        </w:rPr>
        <w:t>means a jurisdiction that is a member of the IFTA. A list of jurisdictions and their membership statuses may be obtained by contacting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“Lease”</w:t>
      </w:r>
      <w:r>
        <w:rPr>
          <w:rFonts w:ascii="Times New Roman" w:hAnsi="Times New Roman"/>
          <w:b w:val="false"/>
          <w:i w:val="false"/>
          <w:color w:val="000000"/>
          <w:sz w:val="22"/>
        </w:rPr>
        <w:t> </w:t>
      </w:r>
      <w:r>
        <w:rPr>
          <w:rFonts w:ascii="Times New Roman" w:hAnsi="Times New Roman"/>
          <w:b w:val="false"/>
          <w:i w:val="false"/>
          <w:color w:val="000000"/>
          <w:sz w:val="22"/>
        </w:rPr>
        <w:t>means a contract or agreement by which a vehicle owner (lessor) provides a vehicle to a person or company (lessee) for use during a specified period of time.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“Long-term lease”</w:t>
      </w:r>
      <w:r>
        <w:rPr>
          <w:rFonts w:ascii="Times New Roman" w:hAnsi="Times New Roman"/>
          <w:b w:val="false"/>
          <w:i w:val="false"/>
          <w:color w:val="000000"/>
          <w:sz w:val="22"/>
        </w:rPr>
        <w:t xml:space="preserve"> means a lease for a period of 30 days or more.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“Short-term lease”</w:t>
      </w:r>
      <w:r>
        <w:rPr>
          <w:rFonts w:ascii="Times New Roman" w:hAnsi="Times New Roman"/>
          <w:b w:val="false"/>
          <w:i w:val="false"/>
          <w:color w:val="000000"/>
          <w:sz w:val="22"/>
        </w:rPr>
        <w:t xml:space="preserve"> means a lease for a period of 29 days or less, including trip leases. Back-to-back leases of 29 days or less are considered short-term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who holds a valid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“Non-IFTA member jurisdiction”</w:t>
      </w:r>
      <w:r>
        <w:rPr>
          <w:rFonts w:ascii="Times New Roman" w:hAnsi="Times New Roman"/>
          <w:b w:val="false"/>
          <w:i w:val="false"/>
          <w:color w:val="000000"/>
          <w:sz w:val="22"/>
        </w:rPr>
        <w:t> </w:t>
      </w:r>
      <w:r>
        <w:rPr>
          <w:rFonts w:ascii="Times New Roman" w:hAnsi="Times New Roman"/>
          <w:b w:val="false"/>
          <w:i w:val="false"/>
          <w:color w:val="000000"/>
          <w:sz w:val="22"/>
        </w:rPr>
        <w:t>means a jurisdiction that is not a member of the IFTA. A list of jurisdictions and their membership statuses may be obtained by contacting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“Permittee”</w:t>
      </w:r>
      <w:r>
        <w:rPr>
          <w:rFonts w:ascii="Times New Roman" w:hAnsi="Times New Roman"/>
          <w:b w:val="false"/>
          <w:i w:val="false"/>
          <w:color w:val="000000"/>
          <w:sz w:val="22"/>
        </w:rPr>
        <w:t> </w:t>
      </w:r>
      <w:r>
        <w:rPr>
          <w:rFonts w:ascii="Times New Roman" w:hAnsi="Times New Roman"/>
          <w:b w:val="false"/>
          <w:i w:val="false"/>
          <w:color w:val="000000"/>
          <w:sz w:val="22"/>
        </w:rPr>
        <w:t>means any person who holds a valid temporary fuel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motor vehicle”</w:t>
      </w:r>
      <w:r>
        <w:rPr>
          <w:rFonts w:ascii="Times New Roman" w:hAnsi="Times New Roman"/>
          <w:b w:val="false"/>
          <w:i w:val="false"/>
          <w:color w:val="000000"/>
          <w:sz w:val="22"/>
        </w:rPr>
        <w:t> </w:t>
      </w:r>
      <w:r>
        <w:rPr>
          <w:rFonts w:ascii="Times New Roman" w:hAnsi="Times New Roman"/>
          <w:b w:val="false"/>
          <w:i w:val="false"/>
          <w:color w:val="000000"/>
          <w:sz w:val="22"/>
        </w:rPr>
        <w:t>means a motor vehicle or combination of vehicles used or designed to transport persons or property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vehicle or combination of vehicles weighs more than 26,000 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vehicle or combination of vehicles is registered for more than 26,000 pounds.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power unit has three or more axles.</w:t>
      </w:r>
    </w:p>
    <w:p>
      <w:pPr>
        <w:spacing w:before="0" w:after="0"/>
        <w:ind w:left="120"/>
        <w:jc w:val="both"/>
      </w:pPr>
      <w:r>
        <w:rPr>
          <w:rFonts w:ascii="Times New Roman" w:hAnsi="Times New Roman"/>
          <w:b w:val="false"/>
          <w:i w:val="false"/>
          <w:color w:val="000000"/>
          <w:sz w:val="22"/>
        </w:rPr>
        <w:t>“Qualified motor vehicle” does not include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“Quarter”</w:t>
      </w:r>
      <w:r>
        <w:rPr>
          <w:rFonts w:ascii="Times New Roman" w:hAnsi="Times New Roman"/>
          <w:b w:val="false"/>
          <w:i w:val="false"/>
          <w:color w:val="000000"/>
          <w:sz w:val="22"/>
        </w:rPr>
        <w:t> </w:t>
      </w:r>
      <w:r>
        <w:rPr>
          <w:rFonts w:ascii="Times New Roman" w:hAnsi="Times New Roman"/>
          <w:b w:val="false"/>
          <w:i w:val="false"/>
          <w:color w:val="000000"/>
          <w:sz w:val="22"/>
        </w:rPr>
        <w:t>means calendar quarter, January 1 through March 31, April 1 through June 30, July 1 through September 30 and October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fuel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“temporary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single trip fuel permit issued pursuant to Iowa Code section </w:t>
      </w:r>
      <w:hyperlink r:id="rId10">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761—505.2</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motor vehicle fuel permits and licenses are available on the department’s website at </w:t>
      </w:r>
      <w:hyperlink r:id="rId15">
        <w:r>
          <w:rPr>
            <w:rStyle w:val="Hyperlink"/>
            <w:rFonts w:ascii="Times New Roman" w:hAnsi="Times New Roman"/>
            <w:b w:val="false"/>
            <w:i w:val="false"/>
            <w:color w:val="000000"/>
            <w:sz w:val="22"/>
            <w:u w:val="single"/>
          </w:rPr>
          <w:t>www.iowadot.gov/mvd/motorcarriers/IFTA/File-IFTA</w:t>
        </w:r>
      </w:hyperlink>
      <w:r>
        <w:rPr>
          <w:rFonts w:ascii="Times New Roman" w:hAnsi="Times New Roman"/>
          <w:b w:val="false"/>
          <w:i w:val="false"/>
          <w:color w:val="000000"/>
          <w:sz w:val="22"/>
        </w:rPr>
        <w:t xml:space="preserve">; by mail from the Motor Vehicle Division, Iowa Department of Transportation, P.O. Box 10382, Des Moines, Iowa 50306-0382; in person at 6310 SE Convenience Blvd., Ankeny, Iowa; by telephone at 515.237.3268; by facsimile at 515.237.3225; or by email at </w:t>
      </w:r>
      <w:hyperlink r:id="rId16">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505.2(2)</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motor vehicle division is authorized pursuant to Iowa Code chapter </w:t>
      </w:r>
      <w:hyperlink r:id="rId1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fuel licenses or temporary fuel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Compute and collect interstate motor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 overpayments of interstate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agreements with other jurisdictions for the collection and refund of interstate motor fuel tax. Pursuant to Iowa Code section </w:t>
      </w:r>
      <w:hyperlink r:id="rId18">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 the department has adopted and incorporates into this chapter the IFTA effective January 2025. IFTA governing documents do not create rights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505.2(3)</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19">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452A.51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761—505.3</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stipulations.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IFTA member requirements. </w:t>
      </w:r>
      <w:r>
        <w:rPr>
          <w:rFonts w:ascii="Times New Roman" w:hAnsi="Times New Roman"/>
          <w:b w:val="false"/>
          <w:i w:val="false"/>
          <w:color w:val="000000"/>
          <w:sz w:val="22"/>
        </w:rPr>
        <w:t xml:space="preserve">In order to enter this state and not be in violation of Iowa Code section </w:t>
      </w:r>
      <w:hyperlink r:id="rId23">
        <w:r>
          <w:rPr>
            <w:rStyle w:val="Hyperlink"/>
            <w:rFonts w:ascii="Times New Roman" w:hAnsi="Times New Roman"/>
            <w:b w:val="false"/>
            <w:i w:val="false"/>
            <w:color w:val="000000"/>
            <w:sz w:val="22"/>
          </w:rPr>
          <w:t>452A.52</w:t>
        </w:r>
      </w:hyperlink>
      <w:r>
        <w:rPr>
          <w:rFonts w:ascii="Times New Roman" w:hAnsi="Times New Roman"/>
          <w:b w:val="false"/>
          <w:i w:val="false"/>
          <w:color w:val="000000"/>
          <w:sz w:val="22"/>
        </w:rPr>
        <w:t>, the operator of the qualified motor vehicle based in an IFTA member jurisdiction must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fuel license pursuant to Iowa Code section </w:t>
      </w:r>
      <w:hyperlink r:id="rId24">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 temporary fuel permit pursuant to Iowa Code section </w:t>
      </w:r>
      <w:hyperlink r:id="rId25">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and subrule </w:t>
      </w:r>
      <w:hyperlink r:id="rId26">
        <w:r>
          <w:rPr>
            <w:rStyle w:val="Hyperlink"/>
            <w:rFonts w:ascii="Times New Roman" w:hAnsi="Times New Roman"/>
            <w:b w:val="false"/>
            <w:i w:val="false"/>
            <w:color w:val="000000"/>
            <w:sz w:val="22"/>
          </w:rPr>
          <w:t>505.3(9)</w:t>
        </w:r>
      </w:hyperlink>
      <w:r>
        <w:rPr>
          <w:rFonts w:ascii="Times New Roman" w:hAnsi="Times New Roman"/>
          <w:b w:val="false"/>
          <w:i w:val="false"/>
          <w:color w:val="000000"/>
          <w:sz w:val="22"/>
        </w:rPr>
        <w:t xml:space="preserve"> when entering or before entering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Non-IFTA member requirements. </w:t>
      </w:r>
      <w:r>
        <w:rPr>
          <w:rFonts w:ascii="Times New Roman" w:hAnsi="Times New Roman"/>
          <w:b w:val="false"/>
          <w:i w:val="false"/>
          <w:color w:val="000000"/>
          <w:sz w:val="22"/>
        </w:rPr>
        <w:t>The operator of a qualified motor vehicle based in a non-IFTA member jurisdiction must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fuel license pursuant to Iowa Code section </w:t>
      </w:r>
      <w:hyperlink r:id="rId27">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 temporary fuel permit pursuant to Iowa Code section </w:t>
      </w:r>
      <w:hyperlink r:id="rId28">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and subrule </w:t>
      </w:r>
      <w:hyperlink r:id="rId29">
        <w:r>
          <w:rPr>
            <w:rStyle w:val="Hyperlink"/>
            <w:rFonts w:ascii="Times New Roman" w:hAnsi="Times New Roman"/>
            <w:b w:val="false"/>
            <w:i w:val="false"/>
            <w:color w:val="000000"/>
            <w:sz w:val="22"/>
          </w:rPr>
          <w:t>505.3(9)</w:t>
        </w:r>
      </w:hyperlink>
      <w:r>
        <w:rPr>
          <w:rFonts w:ascii="Times New Roman" w:hAnsi="Times New Roman"/>
          <w:b w:val="false"/>
          <w:i w:val="false"/>
          <w:color w:val="000000"/>
          <w:sz w:val="22"/>
        </w:rPr>
        <w:t xml:space="preserve"> when entering or before entering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state with 30 gallons of fuel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the state with less than 350 kilowatt hours of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Enter the state with only Iowa tax paid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fuel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if a vehicle has entered the state with more than 30 gallons of fuel, the total of all fuel in all tanks that could be used to fuel the power source of the vehicle shall be considered to reach a total gallonage, or diesel gallon equivalent. The fuel tank connected to a “reefer unit,” which can neither be directly nor indirectly connected to the power source of the vehicle, shall not be considered in arriving at the 30-gallon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determine if a vehicle has entered the state with more than 350 kilowatt hours of electric fuel, the total of all electric fuel in the batteries or other energy storage devices of a commercial motor vehicle shall be considered to reach total kilowatt hours, regardless of whether the batteries or storage devices are connected to the motor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505.3(4)</w:t>
      </w:r>
      <w:r>
        <w:rPr>
          <w:rFonts w:ascii="Times New Roman" w:hAnsi="Times New Roman"/>
          <w:b w:val="false"/>
          <w:i w:val="false"/>
          <w:color w:val="000000"/>
          <w:sz w:val="22"/>
        </w:rPr>
        <w:t> </w:t>
      </w:r>
      <w:r>
        <w:rPr>
          <w:rFonts w:ascii="Times New Roman" w:hAnsi="Times New Roman"/>
          <w:b w:val="false"/>
          <w:i/>
          <w:color w:val="000000"/>
          <w:sz w:val="22"/>
        </w:rPr>
        <w:t xml:space="preserve">Fuel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fuel license may be obtained from the motor vehicle division, provided the following information is included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company or corporation or owner who operates or controls the qualified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principal or corporate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Signature and telephone number of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power of attorney if someone other than an officer or employee of the company will be completing quarterly reports or requesting information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fuel license remains valid until canceled or revoked. The reporting and computation procedure for a fuel license allows for the payment of taxes due and a refund of any overpayment. All persons holding a valid fuel license must file quarterly reports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505.3(5)</w:t>
      </w:r>
      <w:r>
        <w:rPr>
          <w:rFonts w:ascii="Times New Roman" w:hAnsi="Times New Roman"/>
          <w:b w:val="false"/>
          <w:i w:val="false"/>
          <w:color w:val="000000"/>
          <w:sz w:val="22"/>
        </w:rPr>
        <w:t> </w:t>
      </w:r>
      <w:r>
        <w:rPr>
          <w:rFonts w:ascii="Times New Roman" w:hAnsi="Times New Roman"/>
          <w:b w:val="false"/>
          <w:i/>
          <w:color w:val="000000"/>
          <w:sz w:val="22"/>
        </w:rPr>
        <w:t xml:space="preserve">Number of temporary permits or licenses required. </w:t>
      </w:r>
      <w:r>
        <w:rPr>
          <w:rFonts w:ascii="Times New Roman" w:hAnsi="Times New Roman"/>
          <w:b w:val="false"/>
          <w:i w:val="false"/>
          <w:color w:val="000000"/>
          <w:sz w:val="22"/>
        </w:rPr>
        <w:t>No vehicle may operate under more than one license or temporary permit at a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505.3(6)</w:t>
      </w:r>
      <w:r>
        <w:rPr>
          <w:rFonts w:ascii="Times New Roman" w:hAnsi="Times New Roman"/>
          <w:b w:val="false"/>
          <w:i w:val="false"/>
          <w:color w:val="000000"/>
          <w:sz w:val="22"/>
        </w:rPr>
        <w:t> </w:t>
      </w:r>
      <w:r>
        <w:rPr>
          <w:rFonts w:ascii="Times New Roman" w:hAnsi="Times New Roman"/>
          <w:b w:val="false"/>
          <w:i/>
          <w:color w:val="000000"/>
          <w:sz w:val="22"/>
        </w:rPr>
        <w:t xml:space="preserve">Possession of the license or temporary permit. </w:t>
      </w:r>
      <w:r>
        <w:rPr>
          <w:rFonts w:ascii="Times New Roman" w:hAnsi="Times New Roman"/>
          <w:b w:val="false"/>
          <w:i w:val="false"/>
          <w:color w:val="000000"/>
          <w:sz w:val="22"/>
        </w:rPr>
        <w:t>A license or temporary permit must be carried in the vehicle. More than one vehicle may be operated and reported under the same license by making a photocopy of the license and carrying it in each vehicle operating under said license. A license, copy of a license or temporary permit is void if altered. A duplicate license may be purchased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505.3(7)</w:t>
      </w:r>
      <w:r>
        <w:rPr>
          <w:rFonts w:ascii="Times New Roman" w:hAnsi="Times New Roman"/>
          <w:b w:val="false"/>
          <w:i w:val="false"/>
          <w:color w:val="000000"/>
          <w:sz w:val="22"/>
        </w:rPr>
        <w:t> </w:t>
      </w:r>
      <w:r>
        <w:rPr>
          <w:rFonts w:ascii="Times New Roman" w:hAnsi="Times New Roman"/>
          <w:b w:val="false"/>
          <w:i/>
          <w:color w:val="000000"/>
          <w:sz w:val="22"/>
        </w:rPr>
        <w:t xml:space="preserve">Cancellation and reissuance.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qualified motor vehicle operating under a license is consistently operated only within the state or only outside the state, the licensee or the department shall request that the license be canceled for nonuse.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fuel license that has been canceled for cause pursuant to Iowa Code section </w:t>
      </w:r>
      <w:hyperlink r:id="rId30">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may be reinstated if a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505.3(8)</w:t>
      </w:r>
      <w:r>
        <w:rPr>
          <w:rFonts w:ascii="Times New Roman" w:hAnsi="Times New Roman"/>
          <w:b w:val="false"/>
          <w:i w:val="false"/>
          <w:color w:val="000000"/>
          <w:sz w:val="22"/>
        </w:rPr>
        <w:t> </w:t>
      </w:r>
      <w:r>
        <w:rPr>
          <w:rFonts w:ascii="Times New Roman" w:hAnsi="Times New Roman"/>
          <w:b w:val="false"/>
          <w:i/>
          <w:color w:val="000000"/>
          <w:sz w:val="22"/>
        </w:rPr>
        <w:t xml:space="preserve">Bond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require a bond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previous fuel licensee is reapplying for a fuel license and has two or more outstanding fuel billings due for periods within the three years prior to date of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previous fuel licensee is reapplying for a new fuel license and has failed to file two or more reports for a calendar year within the three years prior to date of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previous fuel licensee is reapplying for a new license and has filed reports late for two or more reporting periods for a calendar year within the three years prior to date of application for a new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from an audit that a bond is required to protect the interests of member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Bonds are to be made payable to the state of Iowa, in the minimum amount of $500 or the equivalent to at least twice the estimated average tax liability for the reporting period in which the licensee will be required to file a tax return,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will not be issued until a copy of the bond is filed with the motor vehicle division. The motor vehicle division must be notified of bond cancellation 30 days before the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505.3(9)</w:t>
      </w:r>
      <w:r>
        <w:rPr>
          <w:rFonts w:ascii="Times New Roman" w:hAnsi="Times New Roman"/>
          <w:b w:val="false"/>
          <w:i w:val="false"/>
          <w:color w:val="000000"/>
          <w:sz w:val="22"/>
        </w:rPr>
        <w:t> </w:t>
      </w:r>
      <w:r>
        <w:rPr>
          <w:rFonts w:ascii="Times New Roman" w:hAnsi="Times New Roman"/>
          <w:b w:val="false"/>
          <w:i/>
          <w:color w:val="000000"/>
          <w:sz w:val="22"/>
        </w:rPr>
        <w:t xml:space="preserve">Temporary fuel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fuel permit may be obtained by any person operating a qualified motor vehicle that is not otherwise covered by a license. The temporary permit may be obtained from the motor vehicle division. The temporary permit may also be obtained from a permit service or a processing agent. An application for a temporary permit may be made by phone, by facsimile or electronically to the motor vehicle division. Permittees who purchase temporary fuel permits in advance of use may not return unused permits for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temporary fuel permit is valid for 72 consecutive hours from the date and hour appearing on the temporary permit or upon departure from Iowa, whichever occurs first. A new temporary permit is required in order to reenter the state. While a permittee is operating under a temporary permit, unlimited travel is allowed within Iowa. No refund of tax paid on overpurchases of Iowa fuel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fuel permit is to include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owns or controls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make, year, serial number, license number and unit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temporary permit is to be sent,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permit fee shall also accompany the application unless a method of collection upon delivery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temporary permit is not eligible to be transferred and is valid only for the carrier and the vehicle that are described on the permit. Once a temporary permit has been issued to a qualified motor vehicle, the purchase price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completed temporary permit must be carried in the qualified motor vehicle for which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72-hour period for which the temporary permit is valid may be extended for “emergencies,” such as extreme weather conditions when travel is not advisable or other instances, at the discretion of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temporary fuel permit is invalid if the permittee has outstanding IFTA fuel tax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Fees for a temporary permit may be paid by cash, company or personal check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505.3(10)</w:t>
      </w:r>
      <w:r>
        <w:rPr>
          <w:rFonts w:ascii="Times New Roman" w:hAnsi="Times New Roman"/>
          <w:b w:val="false"/>
          <w:i w:val="false"/>
          <w:color w:val="000000"/>
          <w:sz w:val="22"/>
        </w:rPr>
        <w:t> </w:t>
      </w:r>
      <w:r>
        <w:rPr>
          <w:rFonts w:ascii="Times New Roman" w:hAnsi="Times New Roman"/>
          <w:b w:val="false"/>
          <w:i/>
          <w:color w:val="000000"/>
          <w:sz w:val="22"/>
        </w:rPr>
        <w:t xml:space="preserve">Qualified motor vehicles on 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Long-term lease. </w:t>
      </w:r>
      <w:r>
        <w:rPr>
          <w:rFonts w:ascii="Times New Roman" w:hAnsi="Times New Roman"/>
          <w:b w:val="false"/>
          <w:i w:val="false"/>
          <w:color w:val="000000"/>
          <w:sz w:val="22"/>
        </w:rPr>
        <w:t>Under normal circumstances, the lessee is responsible for reporting all mileage and fuel activity unless otherwise specified by the lease. Supporting documentation, including the lease, must be made available to the department to confirm the reporting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Short-term lease. </w:t>
      </w:r>
      <w:r>
        <w:rPr>
          <w:rFonts w:ascii="Times New Roman" w:hAnsi="Times New Roman"/>
          <w:b w:val="false"/>
          <w:i w:val="false"/>
          <w:color w:val="000000"/>
          <w:sz w:val="22"/>
        </w:rPr>
        <w:t>The lessor is responsible for reporting all mileage and fuel activity unless otherwise specified by the lease. Supporting documentation, such as a maintenance agreement or lease, must be made available to the department to confirm the reporting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Purchase receipts. </w:t>
      </w:r>
      <w:r>
        <w:rPr>
          <w:rFonts w:ascii="Times New Roman" w:hAnsi="Times New Roman"/>
          <w:b w:val="false"/>
          <w:i w:val="false"/>
          <w:color w:val="000000"/>
          <w:sz w:val="22"/>
        </w:rPr>
        <w:t>Purchase receipts must be made out in the name of the lessor, in the name of the lessee or to cash and must identify the vehicle for which the purchase is made by showing one of the following: vehicle license number, full vehicle identification number (VIN) or vehicle unit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452A.52</w:t>
        </w:r>
      </w:hyperlink>
      <w:r>
        <w:rPr>
          <w:rFonts w:ascii="Times New Roman" w:hAnsi="Times New Roman"/>
          <w:b w:val="false"/>
          <w:i w:val="false"/>
          <w:color w:val="000000"/>
          <w:sz w:val="22"/>
        </w:rPr>
        <w:t xml:space="preserve"> through </w:t>
      </w:r>
      <w:hyperlink r:id="rId32">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452A.58</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761—505.4</w:t>
      </w:r>
      <w:r>
        <w:rPr>
          <w:rFonts w:ascii="Times New Roman" w:hAnsi="Times New Roman"/>
          <w:b/>
          <w:i w:val="false"/>
          <w:color w:val="000000"/>
          <w:sz w:val="22"/>
        </w:rPr>
        <w:t xml:space="preserve">(452A) </w:t>
      </w:r>
      <w:r>
        <w:rPr>
          <w:rFonts w:ascii="Times New Roman" w:hAnsi="Times New Roman"/>
          <w:b/>
          <w:i w:val="false"/>
          <w:color w:val="000000"/>
          <w:sz w:val="22"/>
        </w:rPr>
        <w:t xml:space="preserve">Quarterly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All valid fuel licensees shall file quarterly reports with the department, even if a licensee has not traveled in Iowa. Failure to file is cause for revocation of the license and assessment of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 xml:space="preserve">All persons holding a valid fuel license, pursuant to the provisions of Iowa Code section </w:t>
      </w:r>
      <w:hyperlink r:id="rId36">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shall file quarterly reports with the department and either remit any tax due no later than the last day of the month following the last day of the quarter covered by the report, or request a refund no later than the last day of the third month following the last day of the quarter covered by the report. If the claim for refund is filed after that date, no refund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Reporting multiple vehicles on single license. </w:t>
      </w:r>
      <w:r>
        <w:rPr>
          <w:rFonts w:ascii="Times New Roman" w:hAnsi="Times New Roman"/>
          <w:b w:val="false"/>
          <w:i w:val="false"/>
          <w:color w:val="000000"/>
          <w:sz w:val="22"/>
        </w:rPr>
        <w:t>The licensee shall select which vehicles may be operated under the license. All miles traveled, interstate and intrastate, and all fuel purchased for those vehicles shall be reported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Tax refund. </w:t>
      </w:r>
      <w:r>
        <w:rPr>
          <w:rFonts w:ascii="Times New Roman" w:hAnsi="Times New Roman"/>
          <w:b w:val="false"/>
          <w:i w:val="false"/>
          <w:color w:val="000000"/>
          <w:sz w:val="22"/>
        </w:rPr>
        <w:t>Refunds will be computed separately for each fuel type. If a refund for a fuel type does not exceed $10, it will not be processed unless there is more than one type of fuel reported on one return and the combined refunds for all fuel types exceed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505.4(5)</w:t>
      </w:r>
      <w:r>
        <w:rPr>
          <w:rFonts w:ascii="Times New Roman" w:hAnsi="Times New Roman"/>
          <w:b w:val="false"/>
          <w:i w:val="false"/>
          <w:color w:val="000000"/>
          <w:sz w:val="22"/>
        </w:rPr>
        <w:t> </w:t>
      </w:r>
      <w:r>
        <w:rPr>
          <w:rFonts w:ascii="Times New Roman" w:hAnsi="Times New Roman"/>
          <w:b w:val="false"/>
          <w:i/>
          <w:color w:val="000000"/>
          <w:sz w:val="22"/>
        </w:rPr>
        <w:t xml:space="preserve">Refunds of tax on fuel purchased in Iowa and consumed out of Iowa. </w:t>
      </w:r>
      <w:r>
        <w:rPr>
          <w:rFonts w:ascii="Times New Roman" w:hAnsi="Times New Roman"/>
          <w:b w:val="false"/>
          <w:i w:val="false"/>
          <w:color w:val="000000"/>
          <w:sz w:val="22"/>
        </w:rPr>
        <w:t xml:space="preserve">Even when fuel is purchased in Iowa, fuel tax is paid in Iowa and the excess fuel tax paid is subject to refund under the provisions of Iowa Code chapter </w:t>
      </w:r>
      <w:hyperlink r:id="rId3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relating to interstate motor vehicle operation, the refund is not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505.4(6)</w:t>
      </w:r>
      <w:r>
        <w:rPr>
          <w:rFonts w:ascii="Times New Roman" w:hAnsi="Times New Roman"/>
          <w:b w:val="false"/>
          <w:i w:val="false"/>
          <w:color w:val="000000"/>
          <w:sz w:val="22"/>
        </w:rPr>
        <w:t> </w:t>
      </w:r>
      <w:r>
        <w:rPr>
          <w:rFonts w:ascii="Times New Roman" w:hAnsi="Times New Roman"/>
          <w:b w:val="false"/>
          <w:i/>
          <w:color w:val="000000"/>
          <w:sz w:val="22"/>
        </w:rPr>
        <w:t xml:space="preserve">Timely filing of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interstate fuel tax report required under Iowa Code section </w:t>
      </w:r>
      <w:hyperlink r:id="rId38">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will be deemed timely filed if received by the motor vehicle division or postpaid, properly addressed and postmarked by the United States Postal Service on or before midnight of the filing deadline. If the filing date falls on a Saturday, Sunday or legal holiday, the next secular or business day is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reports and remittances shall be filed online at the department’s website; mailed to the Motor Vehicle Division, Iowa Department of Transportation, P.O. Box 10382, Des Moines, Iowa 50306-0382; delivered in person to 6310 SE Convenience Blvd., Ankeny, Iowa; sent by facsimile to 515.237.3225 or email to </w:t>
      </w:r>
      <w:hyperlink r:id="rId39">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report or remittance is not received by the department and the taxpayer can prove by competent evidence that the return or remittance was timely filed, the report will be considered timely filed. For the purpose of this rule, “competent evidence” means evidence in addition to the testimony of the sender sufficient or adequate to prove that the document was mailed on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505.4(7)</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file. </w:t>
      </w:r>
      <w:r>
        <w:rPr>
          <w:rFonts w:ascii="Times New Roman" w:hAnsi="Times New Roman"/>
          <w:b w:val="false"/>
          <w:i w:val="false"/>
          <w:color w:val="000000"/>
          <w:sz w:val="22"/>
        </w:rPr>
        <w:t xml:space="preserve">The department may grant an extension for the filing of any required report or tax payment. In order for an extension to be granted, the application requesting such extension must be filed with the department prior to the due date of the report or remittance. In determining whether an application for extension is timely filed, the provisions of subrules </w:t>
      </w:r>
      <w:hyperlink r:id="rId40">
        <w:r>
          <w:rPr>
            <w:rStyle w:val="Hyperlink"/>
            <w:rFonts w:ascii="Times New Roman" w:hAnsi="Times New Roman"/>
            <w:b w:val="false"/>
            <w:i w:val="false"/>
            <w:color w:val="000000"/>
            <w:sz w:val="22"/>
          </w:rPr>
          <w:t>505.4(2)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505.4(6)</w:t>
        </w:r>
      </w:hyperlink>
      <w:r>
        <w:rPr>
          <w:rFonts w:ascii="Times New Roman" w:hAnsi="Times New Roman"/>
          <w:b w:val="false"/>
          <w:i w:val="false"/>
          <w:color w:val="000000"/>
          <w:sz w:val="22"/>
        </w:rPr>
        <w:t xml:space="preserve"> apply. The application for extension shall be accompanied by an explanation of the circumstances justifying an extension. Any extension granted will be documented on a form issued by the department indicating the length of the extension. This form shall be attached to the report when it is filed. If an extension is granted, the penalties under Iowa Code section </w:t>
      </w:r>
      <w:hyperlink r:id="rId42">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applicable to a late-filed report or remittance do not accrue until the expiration of the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505.4(8)</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penalty of $50 or 10 percent of the total tax due, whichever is greater, is assessed against the taxpayer if the report is not filed by the due date in accordance with subrule </w:t>
      </w:r>
      <w:hyperlink r:id="rId43">
        <w:r>
          <w:rPr>
            <w:rStyle w:val="Hyperlink"/>
            <w:rFonts w:ascii="Times New Roman" w:hAnsi="Times New Roman"/>
            <w:b w:val="false"/>
            <w:i w:val="false"/>
            <w:color w:val="000000"/>
            <w:sz w:val="22"/>
          </w:rPr>
          <w:t>505.4(6)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quarterly report shows no taxes owed or a refund due, the penalty for filing a report after the due date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505.4(9)</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 xml:space="preserve">Interest at the rate established pursuant to Iowa Code chapter </w:t>
      </w:r>
      <w:hyperlink r:id="rId44">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will be assessed against the taxpayer for each month the tax remains unpaid. The interest will accrue from the date the return was required to be filed. Interest does not apply to any penalty. Each fraction of a month will be considered a full month for the computation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505.4(10)</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remittance. </w:t>
      </w:r>
      <w:r>
        <w:rPr>
          <w:rFonts w:ascii="Times New Roman" w:hAnsi="Times New Roman"/>
          <w:b w:val="false"/>
          <w:i w:val="false"/>
          <w:color w:val="000000"/>
          <w:sz w:val="22"/>
        </w:rPr>
        <w:t>All payments will be first applied to the interest, then to the penalty and then the balance, if any, on the amount of tax then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taxpayer remits a payment on or before the due date, but the payment is insufficient to discharge the tax liability, the entire amount of such payment will be applied to the tax. Any penalty or interest subsequently assessed will be based on the unpaid portion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there is additional tax due from a taxpayer, interest and penalty will accrue on that amount from the date the tax should have been reported and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505.4(11)</w:t>
      </w:r>
      <w:r>
        <w:rPr>
          <w:rFonts w:ascii="Times New Roman" w:hAnsi="Times New Roman"/>
          <w:b w:val="false"/>
          <w:i w:val="false"/>
          <w:color w:val="000000"/>
          <w:sz w:val="22"/>
        </w:rPr>
        <w:t> </w:t>
      </w:r>
      <w:r>
        <w:rPr>
          <w:rFonts w:ascii="Times New Roman" w:hAnsi="Times New Roman"/>
          <w:b w:val="false"/>
          <w:i/>
          <w:color w:val="000000"/>
          <w:sz w:val="22"/>
        </w:rPr>
        <w:t xml:space="preserve">Reports, records and variations. </w:t>
      </w:r>
      <w:r>
        <w:rPr>
          <w:rFonts w:ascii="Times New Roman" w:hAnsi="Times New Roman"/>
          <w:b w:val="false"/>
          <w:i w:val="false"/>
          <w:color w:val="000000"/>
          <w:sz w:val="22"/>
        </w:rPr>
        <w:t xml:space="preserve">The department will prescribe and furnish all forms upon which reports, claims for refund, temporary permits and license applications are to be made under Iowa Code chapter </w:t>
      </w:r>
      <w:hyperlink r:id="rId4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information required in these documents is presented to the department on forms or in a manner other than on the prescribed form, the report, application or claim will not be deemed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 that the reporting party does not have the prescribed form is not an acceptable reason for failure to file. The motor vehicle division may be contacted to request copies of any necessary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505.4(12)</w:t>
      </w:r>
      <w:r>
        <w:rPr>
          <w:rFonts w:ascii="Times New Roman" w:hAnsi="Times New Roman"/>
          <w:b w:val="false"/>
          <w:i w:val="false"/>
          <w:color w:val="000000"/>
          <w:sz w:val="22"/>
        </w:rPr>
        <w:t> </w:t>
      </w:r>
      <w:r>
        <w:rPr>
          <w:rFonts w:ascii="Times New Roman" w:hAnsi="Times New Roman"/>
          <w:b w:val="false"/>
          <w:i/>
          <w:color w:val="000000"/>
          <w:sz w:val="22"/>
        </w:rPr>
        <w:t xml:space="preserve">Estimating gallonage or kilowatt hours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taxpayer’s records for a specific vehicle, or vehicles, in the fleet are lacking or inadequate to support any report filed or to determine the tax liability, the department is authorized to estimate the gallonage or kilowatt hours used upon which tax is due. This estimation will be based upon such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experience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with similar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vehicles in the fleet with similar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Industry averages.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available from fuel distributors or other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pertinent information the base jurisdiction may obtain or examine.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 taxpayer’s records for the fleet as a whole are lacking or inadequate to support any report filed or to determine the tax liability, the department is authorized to do either of the following when estimating gallonage or kilowatt hours used upon which tax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Reduce the vehicle miles per gallon or kilowatt hours by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Adjust the vehicle miles per gallon to 4.00 or the kilowatt hours to 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findings of the department as to the amount of fuel taxes due from any person are presumed to be the correct amount and in any litigation that may follow, the certificate of the department shall be admitted in evidence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considered to be true and accurate unless shown otherwise by an objecting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upon the other party the burden of showing any error in the department’s finding and the extent thereof or that the finding was contrary to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505.4(13)</w:t>
      </w:r>
      <w:r>
        <w:rPr>
          <w:rFonts w:ascii="Times New Roman" w:hAnsi="Times New Roman"/>
          <w:b w:val="false"/>
          <w:i w:val="false"/>
          <w:color w:val="000000"/>
          <w:sz w:val="22"/>
        </w:rPr>
        <w:t> </w:t>
      </w:r>
      <w:r>
        <w:rPr>
          <w:rFonts w:ascii="Times New Roman" w:hAnsi="Times New Roman"/>
          <w:b w:val="false"/>
          <w:i/>
          <w:color w:val="000000"/>
          <w:sz w:val="22"/>
        </w:rPr>
        <w:t xml:space="preserve">Information confidential. </w:t>
      </w:r>
      <w:r>
        <w:rPr>
          <w:rFonts w:ascii="Times New Roman" w:hAnsi="Times New Roman"/>
          <w:b w:val="false"/>
          <w:i w:val="false"/>
          <w:color w:val="000000"/>
          <w:sz w:val="22"/>
        </w:rPr>
        <w:t xml:space="preserve">Iowa Code section </w:t>
      </w:r>
      <w:hyperlink r:id="rId4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which makes all information obtained from reports or records required to be filed or kept under Iowa Code chapter </w:t>
      </w:r>
      <w:hyperlink r:id="rId4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confidential, applies generally to the director, auditors, agents, officers, or other employees of the department. However, any person having acquired information disclosed in a taxpayer’s filed report is bound by the same rules of confidentiality. The information may only be divulged to the appropriate public officials enumerated in Iowa Code section </w:t>
      </w:r>
      <w:hyperlink r:id="rId48">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505.4(14)</w:t>
      </w:r>
      <w:r>
        <w:rPr>
          <w:rFonts w:ascii="Times New Roman" w:hAnsi="Times New Roman"/>
          <w:b w:val="false"/>
          <w:i w:val="false"/>
          <w:color w:val="000000"/>
          <w:sz w:val="22"/>
        </w:rPr>
        <w:t> </w:t>
      </w:r>
      <w:r>
        <w:rPr>
          <w:rFonts w:ascii="Times New Roman" w:hAnsi="Times New Roman"/>
          <w:b w:val="false"/>
          <w:i/>
          <w:color w:val="000000"/>
          <w:sz w:val="22"/>
        </w:rPr>
        <w:t xml:space="preserve">Taxes erroneously or illegally collected. </w:t>
      </w:r>
      <w:r>
        <w:rPr>
          <w:rFonts w:ascii="Times New Roman" w:hAnsi="Times New Roman"/>
          <w:b w:val="false"/>
          <w:i w:val="false"/>
          <w:color w:val="000000"/>
          <w:sz w:val="22"/>
        </w:rPr>
        <w:t>Any licensee is entitled to a refund of taxes, penalties or interest erroneously or illegally collected by the department or as a result of a computation error. The claim must be filed within a year of payment and accompanied by evidence to support the claim. If the request for refund includes the return of penalties or interest, the interest or penalties will be refunded in the same proportion as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505.4(15)</w:t>
      </w:r>
      <w:r>
        <w:rPr>
          <w:rFonts w:ascii="Times New Roman" w:hAnsi="Times New Roman"/>
          <w:b w:val="false"/>
          <w:i w:val="false"/>
          <w:color w:val="000000"/>
          <w:sz w:val="22"/>
        </w:rPr>
        <w:t> </w:t>
      </w:r>
      <w:r>
        <w:rPr>
          <w:rFonts w:ascii="Times New Roman" w:hAnsi="Times New Roman"/>
          <w:b w:val="false"/>
          <w:i/>
          <w:color w:val="000000"/>
          <w:sz w:val="22"/>
        </w:rPr>
        <w:t xml:space="preserve">Supplemental billings. </w:t>
      </w:r>
      <w:r>
        <w:rPr>
          <w:rFonts w:ascii="Times New Roman" w:hAnsi="Times New Roman"/>
          <w:b w:val="false"/>
          <w:i w:val="false"/>
          <w:color w:val="000000"/>
          <w:sz w:val="22"/>
        </w:rPr>
        <w:t>The amount due is payable upon being billed by the motor vehicle division. Billings will be generated by the department for the collection of additional amounts due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Penalties are assessed under the provisions of subrule </w:t>
      </w:r>
      <w:hyperlink r:id="rId49">
        <w:r>
          <w:rPr>
            <w:rStyle w:val="Hyperlink"/>
            <w:rFonts w:ascii="Times New Roman" w:hAnsi="Times New Roman"/>
            <w:b w:val="false"/>
            <w:i w:val="false"/>
            <w:color w:val="000000"/>
            <w:sz w:val="22"/>
          </w:rPr>
          <w:t>505.4(8)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is assessed under the provisions of subrule </w:t>
      </w:r>
      <w:hyperlink r:id="rId50">
        <w:r>
          <w:rPr>
            <w:rStyle w:val="Hyperlink"/>
            <w:rFonts w:ascii="Times New Roman" w:hAnsi="Times New Roman"/>
            <w:b w:val="false"/>
            <w:i w:val="false"/>
            <w:color w:val="000000"/>
            <w:sz w:val="22"/>
          </w:rPr>
          <w:t>505.4(9)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error in the computation on the front of the report results in additional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failure to remit payment for part or all of the tax due with the filed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is remitted and subsequently not honored.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Taxes, penalties or interest are assessed as the result of an audit.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761—505.5</w:t>
      </w:r>
      <w:r>
        <w:rPr>
          <w:rFonts w:ascii="Times New Roman" w:hAnsi="Times New Roman"/>
          <w:b/>
          <w:i w:val="false"/>
          <w:color w:val="000000"/>
          <w:sz w:val="22"/>
        </w:rPr>
        <w:t xml:space="preserve">(452A) </w:t>
      </w:r>
      <w:r>
        <w:rPr>
          <w:rFonts w:ascii="Times New Roman" w:hAnsi="Times New Roman"/>
          <w:b/>
          <w:i w:val="false"/>
          <w:color w:val="000000"/>
          <w:sz w:val="22"/>
        </w:rPr>
        <w:t xml:space="preserve">Audits—required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Delegation to audit and examine. </w:t>
      </w:r>
      <w:r>
        <w:rPr>
          <w:rFonts w:ascii="Times New Roman" w:hAnsi="Times New Roman"/>
          <w:b w:val="false"/>
          <w:i w:val="false"/>
          <w:color w:val="000000"/>
          <w:sz w:val="22"/>
        </w:rPr>
        <w:t xml:space="preserve">Pursuant to Iowa Code sections </w:t>
      </w:r>
      <w:hyperlink r:id="rId58">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the department reserves the right to examine returns and records, perform audits and determine the correct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Statute of limitations. </w:t>
      </w:r>
      <w:r>
        <w:rPr>
          <w:rFonts w:ascii="Times New Roman" w:hAnsi="Times New Roman"/>
          <w:b w:val="false"/>
          <w:i w:val="false"/>
          <w:color w:val="000000"/>
          <w:sz w:val="22"/>
        </w:rPr>
        <w:t>Within three years after a return is filed, the department may audit the return to determine the accuracy of taxes paid. There is no time limitation on collection activities for any tax, penalty or interest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Outstanding tax, penalty or interest for canceled and inactive licenses. </w:t>
      </w:r>
      <w:r>
        <w:rPr>
          <w:rFonts w:ascii="Times New Roman" w:hAnsi="Times New Roman"/>
          <w:b w:val="false"/>
          <w:i w:val="false"/>
          <w:color w:val="000000"/>
          <w:sz w:val="22"/>
        </w:rPr>
        <w:t>Any outstanding taxes, penalties or interest must be paid before reapplying for a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Audit period—records—costs. </w:t>
      </w:r>
      <w:r>
        <w:rPr>
          <w:rFonts w:ascii="Times New Roman" w:hAnsi="Times New Roman"/>
          <w:b w:val="false"/>
          <w:i w:val="false"/>
          <w:color w:val="000000"/>
          <w:sz w:val="22"/>
        </w:rPr>
        <w:t>The statute of limitations on the determination of any additional tax liability shall be three years after a return is filed; therefore, all records must be kept for four years after a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verifying the correctness of a return filed or for estimating the tax liability of any taxpayer, the department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right and duty to examine or cause to be examined the books, papers, records, memoranda or documents of a taxpayer that relate in any manner to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authority to require, at a hearing, the attendance of the taxpayer and other witnesses and the production of books, papers, records, memoranda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 audit shall be at the taxpayer’s expense when the records are maintained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505.5(5)</w:t>
      </w:r>
      <w:r>
        <w:rPr>
          <w:rFonts w:ascii="Times New Roman" w:hAnsi="Times New Roman"/>
          <w:b w:val="false"/>
          <w:i w:val="false"/>
          <w:color w:val="000000"/>
          <w:sz w:val="22"/>
        </w:rPr>
        <w:t> </w:t>
      </w:r>
      <w:r>
        <w:rPr>
          <w:rFonts w:ascii="Times New Roman" w:hAnsi="Times New Roman"/>
          <w:b w:val="false"/>
          <w:i/>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records required to be kept by this rule, including invoices or other proofs of purchase,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preserved for a period of four years after a return is filed unless otherwise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open for examination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 that the tax has been paid shall appear on the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505.5(6)</w:t>
      </w:r>
      <w:r>
        <w:rPr>
          <w:rFonts w:ascii="Times New Roman" w:hAnsi="Times New Roman"/>
          <w:b w:val="false"/>
          <w:i w:val="false"/>
          <w:color w:val="000000"/>
          <w:sz w:val="22"/>
        </w:rPr>
        <w:t> </w:t>
      </w:r>
      <w:r>
        <w:rPr>
          <w:rFonts w:ascii="Times New Roman" w:hAnsi="Times New Roman"/>
          <w:b w:val="false"/>
          <w:i/>
          <w:color w:val="000000"/>
          <w:sz w:val="22"/>
        </w:rPr>
        <w:t xml:space="preserve">Records to be kept and preserved. </w:t>
      </w:r>
      <w:r>
        <w:rPr>
          <w:rFonts w:ascii="Times New Roman" w:hAnsi="Times New Roman"/>
          <w:b w:val="false"/>
          <w:i w:val="false"/>
          <w:color w:val="000000"/>
          <w:sz w:val="22"/>
        </w:rPr>
        <w:t xml:space="preserve">Every person required to file a quarterly report under Iowa Code section </w:t>
      </w:r>
      <w:hyperlink r:id="rId61">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shall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 purchase invoices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fuel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seller of the fuel (a vendor code, properly identified, is acceptable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quantity of fuel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of fuel purchased, the price of the fuel per gallon or per liter or the total price of the fuel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qualified motor vehicle into which the fuel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purchaser of the fuel. When the qualified motor vehicle being fueled is subject to a lease, the name of either the lessor or lessee is acceptable for this purpose, provided a legal connection can be made between the purchaser named and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for bulk fuel storage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Receipts for all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Quarterly inventory reconciliations for each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capacity of each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Bulk withdrawal records for every bulk tank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purchase price of the fuel delivered into the bulk storage, including tax paid to the member jurisdiction where the bulk storage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Proof the licensee has paid fuel tax to the member jurisdiction where the bulk storage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 of the bulk storage from which the withdrawal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of each withdrawal, including non-IFTA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quantity of fuel withdrawn, including non-IFTA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type of fuel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vehicle or equipment into which the fuel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Distance records (manual records)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trip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 and destination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reading from the odometer, hubodometer, engine control module (ECM) or any similar device for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distance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 during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VIN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tracking device record created and maintained at a minimum every ten minutes when the vehicle’s engine is on, containing the following data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latitude and longitude to include a minimum of four decimal places (0.0001)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odometer reading from the ECM of each system reading. If no ECM odometer is available, a beginning and ending dashboard odometer or hubodometer for the trip will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VIN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Data required under paragraph </w:t>
      </w:r>
      <w:hyperlink r:id="rId62">
        <w:r>
          <w:rPr>
            <w:rStyle w:val="Hyperlink"/>
            <w:rFonts w:ascii="Times New Roman" w:hAnsi="Times New Roman"/>
            <w:b w:val="false"/>
            <w:i w:val="false"/>
            <w:color w:val="000000"/>
            <w:sz w:val="22"/>
          </w:rPr>
          <w:t>505.5(6)</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accessible in an electronic spreadsheet format, such as XLS, XLSX, CSV or delimited text file. Formats from a vehicle tracking system that provides a static image, such as PDF, JPEG, PNG or Word,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505.5(7)</w:t>
      </w:r>
      <w:r>
        <w:rPr>
          <w:rFonts w:ascii="Times New Roman" w:hAnsi="Times New Roman"/>
          <w:b w:val="false"/>
          <w:i w:val="false"/>
          <w:color w:val="000000"/>
          <w:sz w:val="22"/>
        </w:rPr>
        <w:t> </w:t>
      </w:r>
      <w:r>
        <w:rPr>
          <w:rFonts w:ascii="Times New Roman" w:hAnsi="Times New Roman"/>
          <w:b w:val="false"/>
          <w:i/>
          <w:color w:val="000000"/>
          <w:sz w:val="22"/>
        </w:rPr>
        <w:t xml:space="preserve">New licensees. </w:t>
      </w:r>
      <w:r>
        <w:rPr>
          <w:rFonts w:ascii="Times New Roman" w:hAnsi="Times New Roman"/>
          <w:b w:val="false"/>
          <w:i w:val="false"/>
          <w:color w:val="000000"/>
          <w:sz w:val="22"/>
        </w:rPr>
        <w:t>When a person is issued a new license, the department may, within one year of issuance of the license, audit the records of the new licensee for a period going back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505.5(8)</w:t>
      </w:r>
      <w:r>
        <w:rPr>
          <w:rFonts w:ascii="Times New Roman" w:hAnsi="Times New Roman"/>
          <w:b w:val="false"/>
          <w:i w:val="false"/>
          <w:color w:val="000000"/>
          <w:sz w:val="22"/>
        </w:rPr>
        <w:t> </w:t>
      </w:r>
      <w:r>
        <w:rPr>
          <w:rFonts w:ascii="Times New Roman" w:hAnsi="Times New Roman"/>
          <w:b w:val="false"/>
          <w:i/>
          <w:color w:val="000000"/>
          <w:sz w:val="22"/>
        </w:rPr>
        <w:t xml:space="preserve">Nonlicense and nonpermit holders. </w:t>
      </w:r>
      <w:r>
        <w:rPr>
          <w:rFonts w:ascii="Times New Roman" w:hAnsi="Times New Roman"/>
          <w:b w:val="false"/>
          <w:i w:val="false"/>
          <w:color w:val="000000"/>
          <w:sz w:val="22"/>
        </w:rPr>
        <w:t xml:space="preserve">All persons who bring into the state a qualified motor vehicle, upon which the Iowa tax on said fuel has not been paid, are operating within the purview of these rules as stated in Iowa Code section </w:t>
      </w:r>
      <w:hyperlink r:id="rId63">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Such persons are therefore subject to audit and must keep the same records required of a fuel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505.5(9)</w:t>
      </w:r>
      <w:r>
        <w:rPr>
          <w:rFonts w:ascii="Times New Roman" w:hAnsi="Times New Roman"/>
          <w:b w:val="false"/>
          <w:i w:val="false"/>
          <w:color w:val="000000"/>
          <w:sz w:val="22"/>
        </w:rPr>
        <w:t> </w:t>
      </w:r>
      <w:r>
        <w:rPr>
          <w:rFonts w:ascii="Times New Roman" w:hAnsi="Times New Roman"/>
          <w:b w:val="false"/>
          <w:i/>
          <w:color w:val="000000"/>
          <w:sz w:val="22"/>
        </w:rPr>
        <w:t xml:space="preserve">Interstate—intrastate operators—motor vehicle special fuel holding tanks. </w:t>
      </w:r>
      <w:r>
        <w:rPr>
          <w:rFonts w:ascii="Times New Roman" w:hAnsi="Times New Roman"/>
          <w:b w:val="false"/>
          <w:i w:val="false"/>
          <w:color w:val="000000"/>
          <w:sz w:val="22"/>
        </w:rPr>
        <w:t>If a person operates one or more qualified motor vehicles under a fuel license and also operates one or more qualified motor vehicles that are not operated under the fuel license, recordkeeping regarding the fuel consumed from the special holding tank may be performed in either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interstate vehicles shall be given an invoice that meets the standards set forth in Iowa Code section </w:t>
      </w:r>
      <w:hyperlink r:id="rId6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for each tank fill, and the vehicle operator must then log the mileage.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report total miles driven and total fuel used from the bulk tank, including both interstate and intrastate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761—505.6</w:t>
      </w:r>
      <w:r>
        <w:rPr>
          <w:rFonts w:ascii="Times New Roman" w:hAnsi="Times New Roman"/>
          <w:b/>
          <w:i w:val="false"/>
          <w:color w:val="000000"/>
          <w:sz w:val="22"/>
        </w:rPr>
        <w:t xml:space="preserve">(452A)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hearings. </w:t>
      </w:r>
      <w:r>
        <w:rPr>
          <w:rFonts w:ascii="Times New Roman" w:hAnsi="Times New Roman"/>
          <w:b w:val="false"/>
          <w:i w:val="false"/>
          <w:color w:val="000000"/>
          <w:sz w:val="22"/>
        </w:rPr>
        <w:t xml:space="preserve">Hearings are conducted in accordance with Iowa Code section </w:t>
      </w:r>
      <w:hyperlink r:id="rId71">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color w:val="000000"/>
          <w:sz w:val="22"/>
        </w:rPr>
        <w:t xml:space="preserve">Circumstances for holding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reasonable cause to believe that there is an evasion of fuel taxes, the department may cause a hearing to be held to determine the amount of fuel taxes due, if any. The person who is suspected of evading fuel taxes will be sent at least ten days’ notice of the hearing. The provisions of Iowa Code section </w:t>
      </w:r>
      <w:hyperlink r:id="rId72">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paragraph </w:t>
      </w:r>
      <w:hyperlink r:id="rId73">
        <w:r>
          <w:rPr>
            <w:rStyle w:val="Hyperlink"/>
            <w:rFonts w:ascii="Times New Roman" w:hAnsi="Times New Roman"/>
            <w:b w:val="false"/>
            <w:i w:val="false"/>
            <w:color w:val="000000"/>
            <w:sz w:val="22"/>
          </w:rPr>
          <w:t>505.4(12)</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licensee disputes the findings of an investigation or audit by the department, the licensee may request a hearing to present further evidence, information or records to support the claim. The hearing request shall be submitted in writing to the director of the motor vehicle division within 30 days of the date of notice of audit results issued by the department. A copy of the hearing request must be sent to: Iowa Attorney General’s Office, Transportation Section, Attn: Audit Appeals, 800 Lincoln Way, Ames, Iowa 50010.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4/21/80, Notice 3/5/80—published 5/14/80, effective 6/18/80]</w:t>
      </w:r>
    </w:p>
    <w:p>
      <w:pPr>
        <w:spacing w:before="0" w:after="0"/>
        <w:ind w:left="120"/>
        <w:jc w:val="center"/>
      </w:pPr>
      <w:r>
        <w:rPr>
          <w:rFonts w:ascii="Times New Roman" w:hAnsi="Times New Roman"/>
          <w:b w:val="false"/>
          <w:i w:val="false"/>
          <w:color w:val="000000"/>
          <w:sz w:val="21"/>
        </w:rPr>
        <w:t>[Filed 1/23/81, Notices 11/12/80, 12/24/80—published 2/18/81, effective 3/25/81]</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emergency 4/24/84—published 5/23/84, effective 4/24/84]</w:t>
      </w:r>
    </w:p>
    <w:p>
      <w:pPr>
        <w:spacing w:before="0" w:after="0"/>
        <w:ind w:left="120"/>
        <w:jc w:val="center"/>
      </w:pPr>
      <w:r>
        <w:rPr>
          <w:rFonts w:ascii="Times New Roman" w:hAnsi="Times New Roman"/>
          <w:b w:val="false"/>
          <w:i w:val="false"/>
          <w:color w:val="000000"/>
          <w:sz w:val="21"/>
        </w:rPr>
        <w:t>[Filed 7/6/84, Notice 5/23/84—published 8/1/84, effective 9/5/84]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5178C</w:t>
      </w:r>
      <w:r>
        <w:rPr>
          <w:rFonts w:ascii="Times New Roman" w:hAnsi="Times New Roman"/>
          <w:b w:val="false"/>
          <w:i w:val="false"/>
          <w:color w:val="000000"/>
          <w:sz w:val="21"/>
        </w:rPr>
        <w:t xml:space="preserve"> (Notice ARC 5080C, IAB 7/15/20)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9576C</w:t>
      </w:r>
      <w:r>
        <w:rPr>
          <w:rFonts w:ascii="Times New Roman" w:hAnsi="Times New Roman"/>
          <w:b w:val="false"/>
          <w:i w:val="false"/>
          <w:color w:val="000000"/>
          <w:sz w:val="21"/>
        </w:rPr>
        <w:t xml:space="preserve"> (Notice ARC 9334C, IAB 6/11/25)</w:t>
      </w:r>
      <w:r>
        <w:rPr>
          <w:rFonts w:ascii="Times New Roman" w:hAnsi="Times New Roman"/>
          <w:b w:val="false"/>
          <w:i w:val="false"/>
          <w:color w:val="000000"/>
          <w:sz w:val="21"/>
        </w:rPr>
        <w:t>, IAB 10/1/25, effective 11/5/25]</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Effective date of 505.2, 505.3(2)</w:t>
      </w:r>
      <w:r>
        <w:rPr>
          <w:rFonts w:ascii="Times New Roman" w:hAnsi="Times New Roman"/>
          <w:b w:val="false"/>
          <w:i/>
          <w:color w:val="000000"/>
          <w:sz w:val="22"/>
        </w:rPr>
        <w:t>“a,”</w:t>
      </w:r>
      <w:r>
        <w:rPr>
          <w:rFonts w:ascii="Times New Roman" w:hAnsi="Times New Roman"/>
          <w:b w:val="false"/>
          <w:i w:val="false"/>
          <w:color w:val="000000"/>
          <w:sz w:val="22"/>
        </w:rPr>
        <w:t xml:space="preserve"> 505.3(4)</w:t>
      </w:r>
      <w:r>
        <w:rPr>
          <w:rFonts w:ascii="Times New Roman" w:hAnsi="Times New Roman"/>
          <w:b w:val="false"/>
          <w:i/>
          <w:color w:val="000000"/>
          <w:sz w:val="22"/>
        </w:rPr>
        <w:t>“b,”</w:t>
      </w:r>
      <w:r>
        <w:rPr>
          <w:rFonts w:ascii="Times New Roman" w:hAnsi="Times New Roman"/>
          <w:b w:val="false"/>
          <w:i w:val="false"/>
          <w:color w:val="000000"/>
          <w:sz w:val="22"/>
        </w:rPr>
        <w:t xml:space="preserve"> 505.3(5)</w:t>
      </w:r>
      <w:r>
        <w:rPr>
          <w:rFonts w:ascii="Times New Roman" w:hAnsi="Times New Roman"/>
          <w:b w:val="false"/>
          <w:i/>
          <w:color w:val="000000"/>
          <w:sz w:val="22"/>
        </w:rPr>
        <w:t>“b,”</w:t>
      </w:r>
      <w:r>
        <w:rPr>
          <w:rFonts w:ascii="Times New Roman" w:hAnsi="Times New Roman"/>
          <w:b w:val="false"/>
          <w:i w:val="false"/>
          <w:color w:val="000000"/>
          <w:sz w:val="22"/>
        </w:rPr>
        <w:t xml:space="preserve"> 505.3(6)</w:t>
      </w:r>
      <w:r>
        <w:rPr>
          <w:rFonts w:ascii="Times New Roman" w:hAnsi="Times New Roman"/>
          <w:b w:val="false"/>
          <w:i/>
          <w:color w:val="000000"/>
          <w:sz w:val="22"/>
        </w:rPr>
        <w:t xml:space="preserve">“c,” </w:t>
      </w:r>
      <w:r>
        <w:rPr>
          <w:rFonts w:ascii="Times New Roman" w:hAnsi="Times New Roman"/>
          <w:b w:val="false"/>
          <w:i w:val="false"/>
          <w:color w:val="000000"/>
          <w:sz w:val="22"/>
        </w:rPr>
        <w:t>505.3(7)</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505.4(12)</w:t>
      </w:r>
      <w:r>
        <w:rPr>
          <w:rFonts w:ascii="Times New Roman" w:hAnsi="Times New Roman"/>
          <w:b w:val="false"/>
          <w:i/>
          <w:color w:val="000000"/>
          <w:sz w:val="22"/>
        </w:rPr>
        <w:t>“b,”</w:t>
      </w:r>
      <w:r>
        <w:rPr>
          <w:rFonts w:ascii="Times New Roman" w:hAnsi="Times New Roman"/>
          <w:b w:val="false"/>
          <w:i w:val="false"/>
          <w:color w:val="000000"/>
          <w:sz w:val="22"/>
        </w:rPr>
        <w:t xml:space="preserve"> 505.6(2)</w:t>
      </w:r>
      <w:r>
        <w:rPr>
          <w:rFonts w:ascii="Times New Roman" w:hAnsi="Times New Roman"/>
          <w:b w:val="false"/>
          <w:i/>
          <w:color w:val="000000"/>
          <w:sz w:val="22"/>
        </w:rPr>
        <w:t>“b,”</w:t>
      </w:r>
      <w:r>
        <w:rPr>
          <w:rFonts w:ascii="Times New Roman" w:hAnsi="Times New Roman"/>
          <w:b w:val="false"/>
          <w:i w:val="false"/>
          <w:color w:val="000000"/>
          <w:sz w:val="22"/>
        </w:rPr>
        <w:t xml:space="preserve"> June 2, 1993, delayed 70 days by the Administrative Rules Review Committee at its meeting held May 12, 1993; delay lifted by this Committee June 8, 1993, effective June 9, 1993.</w:t>
      </w:r>
    </w:p>
    <w:sectPr>
      <w:footerReference r:id="rId7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2.pdf" Type="http://schemas.openxmlformats.org/officeDocument/2006/relationships/hyperlink" Id="rId5"/>
    <Relationship TargetMode="External" Target="https://www.legis.iowa.gov/docs/ico/chapter/452A.40.pdf" Type="http://schemas.openxmlformats.org/officeDocument/2006/relationships/hyperlink" Id="rId6"/>
    <Relationship TargetMode="External" Target="https://www.legis.iowa.gov/docs/ico/chapter/452A.57.pdf" Type="http://schemas.openxmlformats.org/officeDocument/2006/relationships/hyperlink" Id="rId7"/>
    <Relationship TargetMode="External" Target="https://www.legis.iowa.gov/docs/ico/chapter/452A.2.pdf" Type="http://schemas.openxmlformats.org/officeDocument/2006/relationships/hyperlink" Id="rId8"/>
    <Relationship TargetMode="External" Target="https://www.legis.iowa.gov/docs/ico/chapter/452A.53.pdf" Type="http://schemas.openxmlformats.org/officeDocument/2006/relationships/hyperlink" Id="rId9"/>
    <Relationship TargetMode="External" Target="https://www.legis.iowa.gov/docs/ico/chapter/452A.53.pdf" Type="http://schemas.openxmlformats.org/officeDocument/2006/relationships/hyperlink" Id="rId10"/>
    <Relationship TargetMode="External" Target="https://www.legis.iowa.gov/docs/ico/chapter/452A.2.pdf" Type="http://schemas.openxmlformats.org/officeDocument/2006/relationships/hyperlink" Id="rId11"/>
    <Relationship TargetMode="External" Target="https://www.legis.iowa.gov/docs/ico/chapter/452A.40.pdf" Type="http://schemas.openxmlformats.org/officeDocument/2006/relationships/hyperlink" Id="rId12"/>
    <Relationship TargetMode="External" Target="https://www.legis.iowa.gov/docs/ico/chapter/452A.57.pdf" Type="http://schemas.openxmlformats.org/officeDocument/2006/relationships/hyperlink" Id="rId13"/>
    <Relationship TargetMode="External" Target="https://www.legis.iowa.gov/docs/ico/chapter/452A.59.pdf" Type="http://schemas.openxmlformats.org/officeDocument/2006/relationships/hyperlink" Id="rId14"/>
    <Relationship TargetMode="External" Target="http://www.iowadot.gov/mvd/motorcarriers/IFTA/File-IFTA" Type="http://schemas.openxmlformats.org/officeDocument/2006/relationships/hyperlink" Id="rId15"/>
    <Relationship TargetMode="External" Target="mailto:omcs@iowadot.us" Type="http://schemas.openxmlformats.org/officeDocument/2006/relationships/hyperlink" Id="rId16"/>
    <Relationship TargetMode="External" Target="https://www.legis.iowa.gov/docs/ico/chapter/452A.pdf" Type="http://schemas.openxmlformats.org/officeDocument/2006/relationships/hyperlink" Id="rId17"/>
    <Relationship TargetMode="External" Target="https://www.legis.iowa.gov/docs/ico/chapter/452A.56.pdf" Type="http://schemas.openxmlformats.org/officeDocument/2006/relationships/hyperlink" Id="rId18"/>
    <Relationship TargetMode="External" Target="https://www.legis.iowa.gov/docs/iac/chapter/761.2504.pdf" Type="http://schemas.openxmlformats.org/officeDocument/2006/relationships/hyperlink" Id="rId19"/>
    <Relationship TargetMode="External" Target="https://www.legis.iowa.gov/docs/ico/chapter/452A.51.pdf" Type="http://schemas.openxmlformats.org/officeDocument/2006/relationships/hyperlink" Id="rId20"/>
    <Relationship TargetMode="External" Target="https://www.legis.iowa.gov/docs/ico/chapter/452A.56.pdf" Type="http://schemas.openxmlformats.org/officeDocument/2006/relationships/hyperlink" Id="rId21"/>
    <Relationship TargetMode="External" Target="https://www.legis.iowa.gov/docs/ico/chapter/452A.59.pdf" Type="http://schemas.openxmlformats.org/officeDocument/2006/relationships/hyperlink" Id="rId22"/>
    <Relationship TargetMode="External" Target="https://www.legis.iowa.gov/docs/ico/chapter/452A.52.pdf" Type="http://schemas.openxmlformats.org/officeDocument/2006/relationships/hyperlink" Id="rId23"/>
    <Relationship TargetMode="External" Target="https://www.legis.iowa.gov/docs/ico/chapter/452A.53.pdf" Type="http://schemas.openxmlformats.org/officeDocument/2006/relationships/hyperlink" Id="rId24"/>
    <Relationship TargetMode="External" Target="https://www.legis.iowa.gov/docs/ico/chapter/452A.53.pdf" Type="http://schemas.openxmlformats.org/officeDocument/2006/relationships/hyperlink" Id="rId25"/>
    <Relationship TargetMode="External" Target="https://www.legis.iowa.gov/docs/iac/rule/761.505.3.pdf" Type="http://schemas.openxmlformats.org/officeDocument/2006/relationships/hyperlink" Id="rId26"/>
    <Relationship TargetMode="External" Target="https://www.legis.iowa.gov/docs/ico/chapter/452A.53.pdf" Type="http://schemas.openxmlformats.org/officeDocument/2006/relationships/hyperlink" Id="rId27"/>
    <Relationship TargetMode="External" Target="https://www.legis.iowa.gov/docs/ico/chapter/452A.53.pdf" Type="http://schemas.openxmlformats.org/officeDocument/2006/relationships/hyperlink" Id="rId28"/>
    <Relationship TargetMode="External" Target="https://www.legis.iowa.gov/docs/iac/rule/761.505.3.pdf" Type="http://schemas.openxmlformats.org/officeDocument/2006/relationships/hyperlink" Id="rId29"/>
    <Relationship TargetMode="External" Target="https://www.legis.iowa.gov/docs/ico/chapter/452A.68.pdf" Type="http://schemas.openxmlformats.org/officeDocument/2006/relationships/hyperlink" Id="rId30"/>
    <Relationship TargetMode="External" Target="https://www.legis.iowa.gov/docs/ico/chapter/452A.52.pdf" Type="http://schemas.openxmlformats.org/officeDocument/2006/relationships/hyperlink" Id="rId31"/>
    <Relationship TargetMode="External" Target="https://www.legis.iowa.gov/docs/ico/chapter/452A.54.pdf" Type="http://schemas.openxmlformats.org/officeDocument/2006/relationships/hyperlink" Id="rId32"/>
    <Relationship TargetMode="External" Target="https://www.legis.iowa.gov/docs/ico/chapter/452A.58.pdf" Type="http://schemas.openxmlformats.org/officeDocument/2006/relationships/hyperlink" Id="rId33"/>
    <Relationship TargetMode="External" Target="https://www.legis.iowa.gov/docs/ico/chapter/452A.59.pdf" Type="http://schemas.openxmlformats.org/officeDocument/2006/relationships/hyperlink" Id="rId34"/>
    <Relationship TargetMode="External" Target="https://www.legis.iowa.gov/docs/ico/chapter/452A.68.pdf" Type="http://schemas.openxmlformats.org/officeDocument/2006/relationships/hyperlink" Id="rId35"/>
    <Relationship TargetMode="External" Target="https://www.legis.iowa.gov/docs/ico/chapter/452A.53.pdf" Type="http://schemas.openxmlformats.org/officeDocument/2006/relationships/hyperlink" Id="rId36"/>
    <Relationship TargetMode="External" Target="https://www.legis.iowa.gov/docs/ico/chapter/452A.pdf" Type="http://schemas.openxmlformats.org/officeDocument/2006/relationships/hyperlink" Id="rId37"/>
    <Relationship TargetMode="External" Target="https://www.legis.iowa.gov/docs/ico/chapter/452A.54.pdf" Type="http://schemas.openxmlformats.org/officeDocument/2006/relationships/hyperlink" Id="rId38"/>
    <Relationship TargetMode="External" Target="mailto:omcs@iowadot.us" Type="http://schemas.openxmlformats.org/officeDocument/2006/relationships/hyperlink" Id="rId39"/>
    <Relationship TargetMode="External" Target="https://www.legis.iowa.gov/docs/iac/rule/761.505.4.pdf" Type="http://schemas.openxmlformats.org/officeDocument/2006/relationships/hyperlink" Id="rId40"/>
    <Relationship TargetMode="External" Target="https://www.legis.iowa.gov/docs/iac/rule/761.505.4.pdf" Type="http://schemas.openxmlformats.org/officeDocument/2006/relationships/hyperlink" Id="rId41"/>
    <Relationship TargetMode="External" Target="https://www.legis.iowa.gov/docs/ico/chapter/452A.65.pdf" Type="http://schemas.openxmlformats.org/officeDocument/2006/relationships/hyperlink" Id="rId42"/>
    <Relationship TargetMode="External" Target="https://www.legis.iowa.gov/docs/iac/rule/761.505.4.pdf" Type="http://schemas.openxmlformats.org/officeDocument/2006/relationships/hyperlink" Id="rId43"/>
    <Relationship TargetMode="External" Target="https://www.legis.iowa.gov/docs/ico/chapter/421.pdf" Type="http://schemas.openxmlformats.org/officeDocument/2006/relationships/hyperlink" Id="rId44"/>
    <Relationship TargetMode="External" Target="https://www.legis.iowa.gov/docs/ico/chapter/452A.pdf" Type="http://schemas.openxmlformats.org/officeDocument/2006/relationships/hyperlink" Id="rId45"/>
    <Relationship TargetMode="External" Target="https://www.legis.iowa.gov/docs/ico/chapter/452A.63.pdf" Type="http://schemas.openxmlformats.org/officeDocument/2006/relationships/hyperlink" Id="rId46"/>
    <Relationship TargetMode="External" Target="https://www.legis.iowa.gov/docs/ico/chapter/452A.pdf" Type="http://schemas.openxmlformats.org/officeDocument/2006/relationships/hyperlink" Id="rId47"/>
    <Relationship TargetMode="External" Target="https://www.legis.iowa.gov/docs/ico/chapter/452A.63.pdf" Type="http://schemas.openxmlformats.org/officeDocument/2006/relationships/hyperlink" Id="rId48"/>
    <Relationship TargetMode="External" Target="https://www.legis.iowa.gov/docs/iac/rule/761.505.4.pdf" Type="http://schemas.openxmlformats.org/officeDocument/2006/relationships/hyperlink" Id="rId49"/>
    <Relationship TargetMode="External" Target="https://www.legis.iowa.gov/docs/iac/rule/761.505.4.pdf" Type="http://schemas.openxmlformats.org/officeDocument/2006/relationships/hyperlink" Id="rId50"/>
    <Relationship TargetMode="External" Target="https://www.legis.iowa.gov/docs/ico/chapter/452A.54.pdf" Type="http://schemas.openxmlformats.org/officeDocument/2006/relationships/hyperlink" Id="rId51"/>
    <Relationship TargetMode="External" Target="https://www.legis.iowa.gov/docs/ico/chapter/452A.55.pdf" Type="http://schemas.openxmlformats.org/officeDocument/2006/relationships/hyperlink" Id="rId52"/>
    <Relationship TargetMode="External" Target="https://www.legis.iowa.gov/docs/ico/chapter/452A.59.pdf" Type="http://schemas.openxmlformats.org/officeDocument/2006/relationships/hyperlink" Id="rId53"/>
    <Relationship TargetMode="External" Target="https://www.legis.iowa.gov/docs/ico/chapter/452A.60.pdf" Type="http://schemas.openxmlformats.org/officeDocument/2006/relationships/hyperlink" Id="rId54"/>
    <Relationship TargetMode="External" Target="https://www.legis.iowa.gov/docs/ico/chapter/452A.61.pdf" Type="http://schemas.openxmlformats.org/officeDocument/2006/relationships/hyperlink" Id="rId55"/>
    <Relationship TargetMode="External" Target="https://www.legis.iowa.gov/docs/ico/chapter/452A.63.pdf" Type="http://schemas.openxmlformats.org/officeDocument/2006/relationships/hyperlink" Id="rId56"/>
    <Relationship TargetMode="External" Target="https://www.legis.iowa.gov/docs/ico/chapter/452A.65.pdf" Type="http://schemas.openxmlformats.org/officeDocument/2006/relationships/hyperlink" Id="rId57"/>
    <Relationship TargetMode="External" Target="https://www.legis.iowa.gov/docs/ico/chapter/452A.53.pdf" Type="http://schemas.openxmlformats.org/officeDocument/2006/relationships/hyperlink" Id="rId58"/>
    <Relationship TargetMode="External" Target="https://www.legis.iowa.gov/docs/ico/chapter/452A.55.pdf" Type="http://schemas.openxmlformats.org/officeDocument/2006/relationships/hyperlink" Id="rId59"/>
    <Relationship TargetMode="External" Target="https://www.legis.iowa.gov/docs/ico/chapter/452A.62.pdf" Type="http://schemas.openxmlformats.org/officeDocument/2006/relationships/hyperlink" Id="rId60"/>
    <Relationship TargetMode="External" Target="https://www.legis.iowa.gov/docs/ico/chapter/452A.54.pdf" Type="http://schemas.openxmlformats.org/officeDocument/2006/relationships/hyperlink" Id="rId61"/>
    <Relationship TargetMode="External" Target="https://www.legis.iowa.gov/docs/iac/rule/761.505.5.pdf" Type="http://schemas.openxmlformats.org/officeDocument/2006/relationships/hyperlink" Id="rId62"/>
    <Relationship TargetMode="External" Target="https://www.legis.iowa.gov/docs/ico/chapter/452A.55.pdf" Type="http://schemas.openxmlformats.org/officeDocument/2006/relationships/hyperlink" Id="rId63"/>
    <Relationship TargetMode="External" Target="https://www.legis.iowa.gov/docs/ico/chapter/452A.17.pdf" Type="http://schemas.openxmlformats.org/officeDocument/2006/relationships/hyperlink" Id="rId64"/>
    <Relationship TargetMode="External" Target="https://www.legis.iowa.gov/docs/ico/chapter/452A.53.pdf" Type="http://schemas.openxmlformats.org/officeDocument/2006/relationships/hyperlink" Id="rId65"/>
    <Relationship TargetMode="External" Target="https://www.legis.iowa.gov/docs/ico/chapter/452A.55.pdf" Type="http://schemas.openxmlformats.org/officeDocument/2006/relationships/hyperlink" Id="rId66"/>
    <Relationship TargetMode="External" Target="https://www.legis.iowa.gov/docs/ico/chapter/452A.59.pdf" Type="http://schemas.openxmlformats.org/officeDocument/2006/relationships/hyperlink" Id="rId67"/>
    <Relationship TargetMode="External" Target="https://www.legis.iowa.gov/docs/ico/chapter/452A.60.pdf" Type="http://schemas.openxmlformats.org/officeDocument/2006/relationships/hyperlink" Id="rId68"/>
    <Relationship TargetMode="External" Target="https://www.legis.iowa.gov/docs/ico/chapter/452A.62.pdf" Type="http://schemas.openxmlformats.org/officeDocument/2006/relationships/hyperlink" Id="rId69"/>
    <Relationship TargetMode="External" Target="https://www.legis.iowa.gov/docs/ico/chapter/452A.69.pdf" Type="http://schemas.openxmlformats.org/officeDocument/2006/relationships/hyperlink" Id="rId70"/>
    <Relationship TargetMode="External" Target="https://www.legis.iowa.gov/docs/ico/chapter/452A.69.pdf" Type="http://schemas.openxmlformats.org/officeDocument/2006/relationships/hyperlink" Id="rId71"/>
    <Relationship TargetMode="External" Target="https://www.legis.iowa.gov/docs/ico/chapter/452A.64.pdf" Type="http://schemas.openxmlformats.org/officeDocument/2006/relationships/hyperlink" Id="rId72"/>
    <Relationship TargetMode="External" Target="https://www.legis.iowa.gov/docs/iac/rule/761.505.4.pdf" Type="http://schemas.openxmlformats.org/officeDocument/2006/relationships/hyperlink" Id="rId73"/>
    <Relationship TargetMode="External" Target="https://www.legis.iowa.gov/docs/ico/chapter/452A.59.pdf" Type="http://schemas.openxmlformats.org/officeDocument/2006/relationships/hyperlink" Id="rId74"/>
    <Relationship TargetMode="External" Target="https://www.legis.iowa.gov/docs/ico/chapter/452A.64.pdf" Type="http://schemas.openxmlformats.org/officeDocument/2006/relationships/hyperlink" Id="rId75"/>
    <Relationship TargetMode="External" Target="https://www.legis.iowa.gov/docs/ico/chapter/452A.69.pdf" Type="http://schemas.openxmlformats.org/officeDocument/2006/relationships/hyperlink" Id="rId76"/>
    <Relationship Target="footer.xml" Type="http://schemas.openxmlformats.org/officeDocument/2006/relationships/footer"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