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45.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450</w:t>
      </w:r>
    </w:p>
    <w:p>
      <w:pPr>
        <w:spacing w:before="0" w:after="0"/>
        <w:ind w:left="120"/>
        <w:jc w:val="center"/>
      </w:pPr>
      <w:r>
        <w:rPr>
          <w:rFonts w:ascii="Times New Roman" w:hAnsi="Times New Roman"/>
          <w:b w:val="false"/>
          <w:i w:val="false"/>
          <w:color w:val="000000"/>
          <w:sz w:val="21"/>
        </w:rPr>
        <w:t>EQUIPMENT AND INSPECTION REQUIREMENTS FOR CERTAIN MOTOR VEHICLES</w:t>
      </w:r>
    </w:p>
    <w:p>
      <w:pPr>
        <w:spacing w:before="0" w:after="0"/>
        <w:ind w:left="120"/>
        <w:jc w:val="center"/>
      </w:pPr>
      <w:r>
        <w:rPr>
          <w:rFonts w:ascii="Times New Roman" w:hAnsi="Times New Roman"/>
          <w:b w:val="false"/>
          <w:i w:val="false"/>
          <w:color w:val="000000"/>
          <w:sz w:val="14"/>
        </w:rPr>
        <w:t>[Appeared as Ch 1, Department of Public Safety, 1973 IDR; amended January 1975 IDR Supplement]</w:t>
      </w:r>
    </w:p>
    <w:p>
      <w:pPr>
        <w:spacing w:before="0" w:after="0"/>
        <w:ind w:left="120"/>
        <w:jc w:val="center"/>
      </w:pPr>
      <w:r>
        <w:rPr>
          <w:rFonts w:ascii="Times New Roman" w:hAnsi="Times New Roman"/>
          <w:b w:val="false"/>
          <w:i w:val="false"/>
          <w:color w:val="000000"/>
          <w:sz w:val="14"/>
        </w:rPr>
        <w:t>[Prior to 6/3/87, Transportation Department[820]—(07,E)Ch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761—450.1</w:t>
      </w:r>
      <w:r>
        <w:rPr>
          <w:rFonts w:ascii="Times New Roman" w:hAnsi="Times New Roman"/>
          <w:b/>
          <w:i w:val="false"/>
          <w:color w:val="000000"/>
          <w:sz w:val="22"/>
        </w:rPr>
        <w:t xml:space="preserve">(307,321) </w:t>
      </w:r>
      <w:r>
        <w:rPr>
          <w:rFonts w:ascii="Times New Roman" w:hAnsi="Times New Roman"/>
          <w:b/>
          <w:i w:val="false"/>
          <w:color w:val="000000"/>
          <w:sz w:val="22"/>
        </w:rPr>
        <w:t xml:space="preserve">Addresses information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for inspections may be obtained from the Bureau of Investigation and Identity Protection, Iowa Department of Transportation, 6310 SE Convenience Boulevard, Ankeny, Iowa; by email at </w:t>
      </w:r>
      <w:hyperlink r:id="rId5">
        <w:r>
          <w:rPr>
            <w:rStyle w:val="Hyperlink"/>
            <w:rFonts w:ascii="Times New Roman" w:hAnsi="Times New Roman"/>
            <w:b w:val="false"/>
            <w:i w:val="false"/>
            <w:color w:val="000000"/>
            <w:sz w:val="22"/>
            <w:u w:val="single"/>
          </w:rPr>
          <w:t>www.iowadot.gov/biip/contact-us</w:t>
        </w:r>
      </w:hyperlink>
      <w:r>
        <w:rPr>
          <w:rFonts w:ascii="Times New Roman" w:hAnsi="Times New Roman"/>
          <w:b w:val="false"/>
          <w:i w:val="false"/>
          <w:color w:val="000000"/>
          <w:sz w:val="22"/>
        </w:rPr>
        <w:t xml:space="preserve">; or on the department’s website at </w:t>
      </w:r>
      <w:hyperlink r:id="rId6">
        <w:r>
          <w:rPr>
            <w:rStyle w:val="Hyperlink"/>
            <w:rFonts w:ascii="Times New Roman" w:hAnsi="Times New Roman"/>
            <w:b w:val="false"/>
            <w:i w:val="false"/>
            <w:color w:val="000000"/>
            <w:sz w:val="22"/>
            <w:u w:val="single"/>
          </w:rPr>
          <w:t>www.iowadot.gov/mvd/vehicleregistration/vehicle-inspections-for-titling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 are hereby made part of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exchange of compatible body parts does not meet the definition of a specially constructed, reconstructed, street rod, or replica motor vehicle; or of a specially constructed or reconstructed motorcycle or motorized bicycle; or of a specially constructed, reconstructed, street rod, or replica autocycle.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removal, addition, or substitution of reconstructed motor vehicle parts that modifies the vehicle’s external appearance so that it does not reflect the original make or manufacturer model for that model does meet the definition of a specially constructed, reconstructed, street rod, or replica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removal, addition, or substitution of a reconstructed motorcycle or motorized bicycle part that modifies the vehicle’s external appearance so that it does not reflect the original make or manufacturer model does meet the definition of a specially constructed, reconstructed, street rod, or replica motorcycle or motorized bicycle.</w:t>
      </w:r>
    </w:p>
    <w:p>
      <w:pPr>
        <w:spacing w:before="0" w:after="0"/>
        <w:ind w:left="120"/>
        <w:jc w:val="both"/>
      </w:pPr>
      <w:r>
        <w:rPr>
          <w:rFonts w:ascii="Times New Roman" w:hAnsi="Times New Roman"/>
          <w:b w:val="false"/>
          <w:i w:val="false"/>
          <w:color w:val="000000"/>
          <w:sz w:val="22"/>
        </w:rPr>
        <w:t>EXEMPTION:</w:t>
      </w:r>
      <w:r>
        <w:rPr>
          <w:rFonts w:ascii="Times New Roman" w:hAnsi="Times New Roman"/>
          <w:b w:val="false"/>
          <w:i w:val="false"/>
          <w:color w:val="000000"/>
          <w:sz w:val="22"/>
        </w:rPr>
        <w:t xml:space="preserve"> The conversion of a manufactured motorcycle from two-wheel to three-wheel operation by the addition or substitution of a bolt-on conversion kit does not meet the definition of a reconstructed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removal, addition, or substitution of reconstructed autocycle parts that modifies the autocycle’s external appearance so that it does not reflect the original make or manufacturer model for that model does constitute a specially constructed, reconstructed, street rod, or replica autocycle.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receiving the application forms and exhibits outlined in rule </w:t>
      </w:r>
      <w:hyperlink r:id="rId9">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Examine the vehicle and ownership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if the motor vehicle complies with this rule, that the integral parts and components have been identified as to ownership, and that the application forms have been completed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provisions of paragraph </w:t>
      </w:r>
      <w:hyperlink r:id="rId10">
        <w:r>
          <w:rPr>
            <w:rStyle w:val="Hyperlink"/>
            <w:rFonts w:ascii="Times New Roman" w:hAnsi="Times New Roman"/>
            <w:b w:val="false"/>
            <w:i w:val="false"/>
            <w:color w:val="000000"/>
            <w:sz w:val="22"/>
          </w:rPr>
          <w:t>450.1(3)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met, assign an identification number to the vehicle and certify that the motor vehicle is eligible for titling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frame or unibody specified on an application for a specially constructed, reconstructed, street rod, or replica motor vehicle; a specially constructed or reconstructed motorcycle or motorized bicycle; or a specially constructed, reconstructed street rod or replica autocycle is manufactured or designated “not for highway use,” the application shall not be approved.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761—450.2</w:t>
      </w:r>
      <w:r>
        <w:rPr>
          <w:rFonts w:ascii="Times New Roman" w:hAnsi="Times New Roman"/>
          <w:b/>
          <w:i w:val="false"/>
          <w:color w:val="000000"/>
          <w:sz w:val="22"/>
        </w:rPr>
        <w:t xml:space="preserve">(307,321) </w:t>
      </w:r>
      <w:r>
        <w:rPr>
          <w:rFonts w:ascii="Times New Roman" w:hAnsi="Times New Roman"/>
          <w:b/>
          <w:i w:val="false"/>
          <w:color w:val="000000"/>
          <w:sz w:val="22"/>
        </w:rPr>
        <w:t xml:space="preserve">Equipment requirements for specially constructed, reconstructed, street rod, and replica motor vehicles other than autocycles, motorcycles and motorized bicycles. </w:t>
      </w:r>
      <w:r>
        <w:rPr>
          <w:rFonts w:ascii="Times New Roman" w:hAnsi="Times New Roman"/>
          <w:b w:val="false"/>
          <w:i w:val="false"/>
          <w:color w:val="000000"/>
          <w:sz w:val="22"/>
        </w:rPr>
        <w:t>The following standards are minimum requirements to meet the definition of a specially constructed, reconstructed, street rod, and replica motor vehicle other than autocycles, motorcycles and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w:t>
      </w:r>
      <w:r>
        <w:rPr>
          <w:rFonts w:ascii="Times New Roman" w:hAnsi="Times New Roman"/>
          <w:b w:val="false"/>
          <w:i w:val="false"/>
          <w:color w:val="000000"/>
          <w:sz w:val="22"/>
        </w:rPr>
        <w:t> </w:t>
      </w:r>
      <w:r>
        <w:rPr>
          <w:rFonts w:ascii="Times New Roman" w:hAnsi="Times New Roman"/>
          <w:b w:val="false"/>
          <w:i/>
          <w:color w:val="000000"/>
          <w:sz w:val="22"/>
        </w:rPr>
        <w:t xml:space="preserve">Defroster and defogging device. </w:t>
      </w:r>
      <w:r>
        <w:rPr>
          <w:rFonts w:ascii="Times New Roman" w:hAnsi="Times New Roman"/>
          <w:b w:val="false"/>
          <w:i w:val="false"/>
          <w:color w:val="000000"/>
          <w:sz w:val="22"/>
        </w:rPr>
        <w:t>If the motor vehicle is a closed motor vehicle, it is equipped with a device capable of defogging or defrosting the windshield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w:t>
      </w:r>
      <w:r>
        <w:rPr>
          <w:rFonts w:ascii="Times New Roman" w:hAnsi="Times New Roman"/>
          <w:b w:val="false"/>
          <w:i w:val="false"/>
          <w:color w:val="000000"/>
          <w:sz w:val="22"/>
        </w:rPr>
        <w:t> </w:t>
      </w:r>
      <w:r>
        <w:rPr>
          <w:rFonts w:ascii="Times New Roman" w:hAnsi="Times New Roman"/>
          <w:b w:val="false"/>
          <w:i/>
          <w:color w:val="000000"/>
          <w:sz w:val="22"/>
        </w:rPr>
        <w:t xml:space="preserve">Door latches. </w:t>
      </w:r>
      <w:r>
        <w:rPr>
          <w:rFonts w:ascii="Times New Roman" w:hAnsi="Times New Roman"/>
          <w:b w:val="false"/>
          <w:i w:val="false"/>
          <w:color w:val="000000"/>
          <w:sz w:val="22"/>
        </w:rPr>
        <w:t>The motor vehicle that is equipped with doors leading directly into a compartment that contains one or more seating accommodations is equipped with mechanically actuated door latches that firmly and automatically secure the door when pushed closed and that allow each door to be opened from the inside by the actuation of a convenient lever, handle or other nonelectric device. Interior handles must be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450.2(3)</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The motor vehicle is equipped with a floor pan under the entire passenger-carrying compartment that supports the weight of the number of occupants that the vehicle is designed to carry. The floor pan shall be so constructed that it prevents the entry of exhaust fumes.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450.2(4)</w:t>
      </w:r>
      <w:r>
        <w:rPr>
          <w:rFonts w:ascii="Times New Roman" w:hAnsi="Times New Roman"/>
          <w:b w:val="false"/>
          <w:i w:val="false"/>
          <w:color w:val="000000"/>
          <w:sz w:val="22"/>
        </w:rPr>
        <w:t> </w:t>
      </w:r>
      <w:r>
        <w:rPr>
          <w:rFonts w:ascii="Times New Roman" w:hAnsi="Times New Roman"/>
          <w:b w:val="false"/>
          <w:i/>
          <w:color w:val="000000"/>
          <w:sz w:val="22"/>
        </w:rPr>
        <w:t xml:space="preserve">Glazing.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Windshields. </w:t>
      </w:r>
      <w:r>
        <w:rPr>
          <w:rFonts w:ascii="Times New Roman" w:hAnsi="Times New Roman"/>
          <w:b w:val="false"/>
          <w:i w:val="false"/>
          <w:color w:val="000000"/>
          <w:sz w:val="22"/>
        </w:rPr>
        <w:t>The motor vehicle is equipped with a laminated safety glass windshield that complies with and bears the approval marking of the American National Standards Institute (ANSI) Z 26.1-1996 Standard as set forth in 49 CFR Section 571.205 effective October 1, 2024. The windshield shall be in such a position that it affords continuous horizontal frontal protection to the driver and front seat occupants. The minimum vertical height of the unobstructed windshield glass shall be six inches. This paragraph does not preclude the use of a windshield that can be folded down to a horizontal position, provided that the windshield can be firmly fastened in both the vertical and horizontal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Side and rear glass. </w:t>
      </w:r>
      <w:r>
        <w:rPr>
          <w:rFonts w:ascii="Times New Roman" w:hAnsi="Times New Roman"/>
          <w:b w:val="false"/>
          <w:i w:val="false"/>
          <w:color w:val="000000"/>
          <w:sz w:val="22"/>
        </w:rPr>
        <w:t>Side and rear glass is not required in motor vehicles. If present, however, this glass must be either laminated or tempered safety glass bearing the approval of the ANSI Z 26.1-1996 Standard as set forth in 49 CFR Section 571.205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450.2(5)</w:t>
      </w:r>
      <w:r>
        <w:rPr>
          <w:rFonts w:ascii="Times New Roman" w:hAnsi="Times New Roman"/>
          <w:b w:val="false"/>
          <w:i w:val="false"/>
          <w:color w:val="000000"/>
          <w:sz w:val="22"/>
        </w:rPr>
        <w:t> </w:t>
      </w:r>
      <w:r>
        <w:rPr>
          <w:rFonts w:ascii="Times New Roman" w:hAnsi="Times New Roman"/>
          <w:b w:val="false"/>
          <w:i/>
          <w:color w:val="000000"/>
          <w:sz w:val="22"/>
        </w:rPr>
        <w:t xml:space="preserve">Driver visibility. </w:t>
      </w:r>
      <w:r>
        <w:rPr>
          <w:rFonts w:ascii="Times New Roman" w:hAnsi="Times New Roman"/>
          <w:b w:val="false"/>
          <w:i w:val="false"/>
          <w:color w:val="000000"/>
          <w:sz w:val="22"/>
        </w:rPr>
        <w:t>The motor vehicle provides the driver with a minimum outward horizontal vision capability of 90 degrees each side of a vertical plane passing through the fore and aft centerline of the vehicle. This plane of vision may be interrupted by window framing and windshield door support posts not exceeding four inches in width at each side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450.2(6)</w:t>
      </w:r>
      <w:r>
        <w:rPr>
          <w:rFonts w:ascii="Times New Roman" w:hAnsi="Times New Roman"/>
          <w:b w:val="false"/>
          <w:i w:val="false"/>
          <w:color w:val="000000"/>
          <w:sz w:val="22"/>
        </w:rPr>
        <w:t> </w:t>
      </w:r>
      <w:r>
        <w:rPr>
          <w:rFonts w:ascii="Times New Roman" w:hAnsi="Times New Roman"/>
          <w:b w:val="false"/>
          <w:i/>
          <w:color w:val="000000"/>
          <w:sz w:val="22"/>
        </w:rPr>
        <w:t xml:space="preserve">Hood latches. </w:t>
      </w:r>
      <w:r>
        <w:rPr>
          <w:rFonts w:ascii="Times New Roman" w:hAnsi="Times New Roman"/>
          <w:b w:val="false"/>
          <w:i w:val="false"/>
          <w:color w:val="000000"/>
          <w:sz w:val="22"/>
        </w:rPr>
        <w:t>If a motor vehicle is equipped with a front-opening hood, that hood is equipped with a primary and secondary latching system to hold the hood in a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450.2(7)</w:t>
      </w:r>
      <w:r>
        <w:rPr>
          <w:rFonts w:ascii="Times New Roman" w:hAnsi="Times New Roman"/>
          <w:b w:val="false"/>
          <w:i w:val="false"/>
          <w:color w:val="000000"/>
          <w:sz w:val="22"/>
        </w:rPr>
        <w:t> </w:t>
      </w:r>
      <w:r>
        <w:rPr>
          <w:rFonts w:ascii="Times New Roman" w:hAnsi="Times New Roman"/>
          <w:b w:val="false"/>
          <w:i/>
          <w:color w:val="000000"/>
          <w:sz w:val="22"/>
        </w:rPr>
        <w:t xml:space="preserve">Instruments and controls. </w:t>
      </w:r>
      <w:r>
        <w:rPr>
          <w:rFonts w:ascii="Times New Roman" w:hAnsi="Times New Roman"/>
          <w:b w:val="false"/>
          <w:i w:val="false"/>
          <w:color w:val="000000"/>
          <w:sz w:val="22"/>
        </w:rPr>
        <w:t>The motor vehicle is equipped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operating speedometer calibrated to indicate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operating odometer calibrated to indicate “total miles driven.”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steering wheel circular or nearly circular in shape, having an outside diameter of not less than 13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accelerator control system that returns the engine throttle to an idle position automatically when the driver removes the actuating force from the accelerator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450.2(8)</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 xml:space="preserve">The motor vehicle is equipped with brakes acting upon all wheels, service brakes, and parking brakes that comply with Iowa Code sections </w:t>
      </w:r>
      <w:hyperlink r:id="rId14">
        <w:r>
          <w:rPr>
            <w:rStyle w:val="Hyperlink"/>
            <w:rFonts w:ascii="Times New Roman" w:hAnsi="Times New Roman"/>
            <w:b w:val="false"/>
            <w:i w:val="false"/>
            <w:color w:val="000000"/>
            <w:sz w:val="22"/>
          </w:rPr>
          <w:t>321.430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450.2(9)</w:t>
      </w:r>
      <w:r>
        <w:rPr>
          <w:rFonts w:ascii="Times New Roman" w:hAnsi="Times New Roman"/>
          <w:b w:val="false"/>
          <w:i w:val="false"/>
          <w:color w:val="000000"/>
          <w:sz w:val="22"/>
        </w:rPr>
        <w:t> </w:t>
      </w:r>
      <w:r>
        <w:rPr>
          <w:rFonts w:ascii="Times New Roman" w:hAnsi="Times New Roman"/>
          <w:b w:val="false"/>
          <w:i/>
          <w:color w:val="000000"/>
          <w:sz w:val="22"/>
        </w:rPr>
        <w:t xml:space="preserve">Rearview mirror. </w:t>
      </w:r>
      <w:r>
        <w:rPr>
          <w:rFonts w:ascii="Times New Roman" w:hAnsi="Times New Roman"/>
          <w:b w:val="false"/>
          <w:i w:val="false"/>
          <w:color w:val="000000"/>
          <w:sz w:val="22"/>
        </w:rPr>
        <w:t>The motor vehicle is equipped with two rearview mirrors, each having substantial unit magnification. One is mounted on the inside of the vehicle in such a position that it affords the driver a clear view to the rear. The other is mounted on the outside of the vehicle on the driver’s side in such a position that it affords the driver a clear view to the rear. When an inside mirror does not give a clear view to the rear, a right-hand outside mirror is required in lieu thereof. The mirror mounting provides a stable support for the mirror and  provides for mirror adjustment by tilting in both horizontal and vertical directions. Each mirror has a minimum of ten square inches of reflective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450.2(10)</w:t>
      </w:r>
      <w:r>
        <w:rPr>
          <w:rFonts w:ascii="Times New Roman" w:hAnsi="Times New Roman"/>
          <w:b w:val="false"/>
          <w:i w:val="false"/>
          <w:color w:val="000000"/>
          <w:sz w:val="22"/>
        </w:rPr>
        <w:t> </w:t>
      </w:r>
      <w:r>
        <w:rPr>
          <w:rFonts w:ascii="Times New Roman" w:hAnsi="Times New Roman"/>
          <w:b w:val="false"/>
          <w:i/>
          <w:color w:val="000000"/>
          <w:sz w:val="22"/>
        </w:rPr>
        <w:t xml:space="preserve">Seat belts. </w:t>
      </w:r>
      <w:r>
        <w:rPr>
          <w:rFonts w:ascii="Times New Roman" w:hAnsi="Times New Roman"/>
          <w:b w:val="false"/>
          <w:i w:val="false"/>
          <w:color w:val="000000"/>
          <w:sz w:val="22"/>
        </w:rPr>
        <w:t xml:space="preserve">The motor vehicle complies with Iowa Code section </w:t>
      </w:r>
      <w:hyperlink r:id="rId16">
        <w:r>
          <w:rPr>
            <w:rStyle w:val="Hyperlink"/>
            <w:rFonts w:ascii="Times New Roman" w:hAnsi="Times New Roman"/>
            <w:b w:val="false"/>
            <w:i w:val="false"/>
            <w:color w:val="000000"/>
            <w:sz w:val="22"/>
          </w:rPr>
          <w:t>321.445(1)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450.2(11)</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All bench-type and individual seats in motor vehicles are firmly anchored to structural components or body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450.2(12)</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The motor vehicle has an exhaust system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is free of leaks, including the exhaust manifold (or headers), piping forward of the muffler, the muffler(s), and tail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Exhaust fumes are emitted to the extremity of the vehicle, behind the rear wheels, or to the extremity of the vehicle within six inches in front of the rear wheels. Exhaust fumes from trucks, other than enclosed vans, may be emitted to the rear of that part of the vehicle designed for and normally used for carrying the driver and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exhaust system is equipped with a muffler that prevents excessive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part of the exhaust system passes through any area of the vehicle that is used as a passenger-carrying compartment, and is constructed that persons entering the vehicle cannot make contact with the exhaust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exterior side exhaust pipes are fully shielded and any vertical truck exhaust stacks are shielded to the top of the cab.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450.2(13)</w:t>
      </w:r>
      <w:r>
        <w:rPr>
          <w:rFonts w:ascii="Times New Roman" w:hAnsi="Times New Roman"/>
          <w:b w:val="false"/>
          <w:i w:val="false"/>
          <w:color w:val="000000"/>
          <w:sz w:val="22"/>
        </w:rPr>
        <w:t> </w:t>
      </w:r>
      <w:r>
        <w:rPr>
          <w:rFonts w:ascii="Times New Roman" w:hAnsi="Times New Roman"/>
          <w:b w:val="false"/>
          <w:i/>
          <w:color w:val="000000"/>
          <w:sz w:val="22"/>
        </w:rPr>
        <w:t xml:space="preserve">Frame. </w:t>
      </w:r>
      <w:r>
        <w:rPr>
          <w:rFonts w:ascii="Times New Roman" w:hAnsi="Times New Roman"/>
          <w:b w:val="false"/>
          <w:i w:val="false"/>
          <w:color w:val="000000"/>
          <w:sz w:val="22"/>
        </w:rPr>
        <w:t>The motor vehicle is equipped with a frame consisting of wall box tubing, round tubing, wall channel or unitized construction capable of supporting the vehicle, its load and the torque produced by the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450.2(14)</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The motor vehicle has a fuel system in which all components are securely fastened with fasteners designed for this purpose, including the tank, tubing, hoses, clamps, etc. The filler from the system is located in a position not within the passenger-carrying compartment and is capped. The system is leakproof, and fuel lines are positioned so as not to come in contact with high temperature surfaces or moving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450.2(15)</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motor vehicle does not have any parts extending below the wheel rims in their lowest position, except for tires and electrical grounding devices designed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steering system remains unobstructed when turned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steering wheel has no less than two turns and no more than six turns when turning the road wheels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in a sharp turn at a speed between 5 and 15 MPH, release of the steering wheel results in a distinct tendency for the vehicle to increase its turning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motor vehicle is not constructed so that the weight on any axle is less than 20 percent of the gross weight of the vehicle and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motor vehicle is equipped with a damping device at each wheel location providing a minimum relative motion between the unsprung axle and the chassis of plus or minus two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each corner of the vehicle is depressed and released, the damping device stops vertical body motion within two 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is no heating or welding on coil springs, leaf springs, or torsion bars.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450.2(16)</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Tires  comply with Iowa Code section </w:t>
      </w:r>
      <w:hyperlink r:id="rId17">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 Each tire has a load-bearing capacity in keeping with the size and weight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450.2(17)</w:t>
      </w:r>
      <w:r>
        <w:rPr>
          <w:rFonts w:ascii="Times New Roman" w:hAnsi="Times New Roman"/>
          <w:b w:val="false"/>
          <w:i w:val="false"/>
          <w:color w:val="000000"/>
          <w:sz w:val="22"/>
        </w:rPr>
        <w:t> </w:t>
      </w:r>
      <w:r>
        <w:rPr>
          <w:rFonts w:ascii="Times New Roman" w:hAnsi="Times New Roman"/>
          <w:b w:val="false"/>
          <w:i/>
          <w:color w:val="000000"/>
          <w:sz w:val="22"/>
        </w:rPr>
        <w:t xml:space="preserve">Lighting and electrical system. </w:t>
      </w:r>
      <w:r>
        <w:rPr>
          <w:rFonts w:ascii="Times New Roman" w:hAnsi="Times New Roman"/>
          <w:b w:val="false"/>
          <w:i w:val="false"/>
          <w:color w:val="000000"/>
          <w:sz w:val="22"/>
        </w:rPr>
        <w:t xml:space="preserve">The motor vehicle is equipped with approved lighting devices in sufficient number, type, and locations to meet the requirements of Iowa Code sections </w:t>
      </w:r>
      <w:hyperlink r:id="rId18">
        <w:r>
          <w:rPr>
            <w:rStyle w:val="Hyperlink"/>
            <w:rFonts w:ascii="Times New Roman" w:hAnsi="Times New Roman"/>
            <w:b w:val="false"/>
            <w:i w:val="false"/>
            <w:color w:val="000000"/>
            <w:sz w:val="22"/>
          </w:rPr>
          <w:t>321.384</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321.423</w:t>
        </w:r>
      </w:hyperlink>
      <w:r>
        <w:rPr>
          <w:rFonts w:ascii="Times New Roman" w:hAnsi="Times New Roman"/>
          <w:b w:val="false"/>
          <w:i w:val="false"/>
          <w:color w:val="000000"/>
          <w:sz w:val="22"/>
        </w:rPr>
        <w:t>, including headlamps, rear lamps, license plate lamp, rear reflectors, parking lamps, stop lamps, turn signals, and high-low beam indicator. In addition, the motor vehicle is equipped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driver-controlled switch capable of selecting high and low beams (dimmer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more than 40 inches in width is equipped with turn signal lamps and have a manually operated switch controlled by the driver that causes the turn signal lamps to function. This switch is self-canceling.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horn that complies with Iowa Code section </w:t>
      </w:r>
      <w:hyperlink r:id="rId20">
        <w:r>
          <w:rPr>
            <w:rStyle w:val="Hyperlink"/>
            <w:rFonts w:ascii="Times New Roman" w:hAnsi="Times New Roman"/>
            <w:b w:val="false"/>
            <w:i w:val="false"/>
            <w:color w:val="000000"/>
            <w:sz w:val="22"/>
          </w:rPr>
          <w:t>321.433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wiring is done in an orderly and workmanlike fashion, with no wiring in contact with high temperature surfaces or moving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Headlamps are in a plane that is perpendicular to a vertical plane through the longitudinal centerline of the vehicle. The headlamps are mounted not less than 24 inches, nor more than 54 inches, above the road surface when measured to the headlamp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tail lamp or lamps are mounted on the rear of the motor vehicle or vehicle, exhibiting a red light plainly visible from a distance of 500 feet to the rear. The tail lamp or lamps are mounted not less than 15 inches, nor more than 72 inches, above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original lamps and lighting equipment provided on the motor vehicle by the manufacturer are maintained in working condition or shall be replaced with equivalent equipment.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761—450.3</w:t>
      </w:r>
      <w:r>
        <w:rPr>
          <w:rFonts w:ascii="Times New Roman" w:hAnsi="Times New Roman"/>
          <w:b/>
          <w:i w:val="false"/>
          <w:color w:val="000000"/>
          <w:sz w:val="22"/>
        </w:rPr>
        <w:t xml:space="preserve">(307,321) </w:t>
      </w:r>
      <w:r>
        <w:rPr>
          <w:rFonts w:ascii="Times New Roman" w:hAnsi="Times New Roman"/>
          <w:b/>
          <w:i w:val="false"/>
          <w:color w:val="000000"/>
          <w:sz w:val="22"/>
        </w:rPr>
        <w:t xml:space="preserve">Minimum requirements for constructing and equipping specially constructed or reconstructed motorcycles or motorized bicycles. </w:t>
      </w:r>
      <w:r>
        <w:rPr>
          <w:rFonts w:ascii="Times New Roman" w:hAnsi="Times New Roman"/>
          <w:b w:val="false"/>
          <w:i w:val="false"/>
          <w:color w:val="000000"/>
          <w:sz w:val="22"/>
        </w:rPr>
        <w:t xml:space="preserve">The following standards are minimum requirements to meet the definition of a specially constructed or reconstructed motorcycle or motorized bicycle as defined in Iowa Code section </w:t>
      </w:r>
      <w:hyperlink r:id="rId2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w:t>
      </w:r>
      <w:r>
        <w:rPr>
          <w:rFonts w:ascii="Times New Roman" w:hAnsi="Times New Roman"/>
          <w:b w:val="false"/>
          <w:i w:val="false"/>
          <w:color w:val="000000"/>
          <w:sz w:val="22"/>
        </w:rPr>
        <w:t> </w:t>
      </w:r>
      <w:r>
        <w:rPr>
          <w:rFonts w:ascii="Times New Roman" w:hAnsi="Times New Roman"/>
          <w:b w:val="false"/>
          <w:i/>
          <w:color w:val="000000"/>
          <w:sz w:val="22"/>
        </w:rPr>
        <w:t xml:space="preserve">Upgrade pulls—minimum speed. </w:t>
      </w:r>
      <w:r>
        <w:rPr>
          <w:rFonts w:ascii="Times New Roman" w:hAnsi="Times New Roman"/>
          <w:b w:val="false"/>
          <w:i w:val="false"/>
          <w:color w:val="000000"/>
          <w:sz w:val="22"/>
        </w:rPr>
        <w:t xml:space="preserve">Iowa Code section </w:t>
      </w:r>
      <w:hyperlink r:id="rId24">
        <w:r>
          <w:rPr>
            <w:rStyle w:val="Hyperlink"/>
            <w:rFonts w:ascii="Times New Roman" w:hAnsi="Times New Roman"/>
            <w:b w:val="false"/>
            <w:i w:val="false"/>
            <w:color w:val="000000"/>
            <w:sz w:val="22"/>
          </w:rPr>
          <w:t>321.382</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450.3(2)</w:t>
      </w:r>
      <w:r>
        <w:rPr>
          <w:rFonts w:ascii="Times New Roman" w:hAnsi="Times New Roman"/>
          <w:b w:val="false"/>
          <w:i w:val="false"/>
          <w:color w:val="000000"/>
          <w:sz w:val="22"/>
        </w:rPr>
        <w:t> </w:t>
      </w:r>
      <w:r>
        <w:rPr>
          <w:rFonts w:ascii="Times New Roman" w:hAnsi="Times New Roman"/>
          <w:b w:val="false"/>
          <w:i/>
          <w:color w:val="000000"/>
          <w:sz w:val="22"/>
        </w:rPr>
        <w:t xml:space="preserve">Frame/chassis. </w:t>
      </w:r>
      <w:r>
        <w:rPr>
          <w:rFonts w:ascii="Times New Roman" w:hAnsi="Times New Roman"/>
          <w:b w:val="false"/>
          <w:i w:val="false"/>
          <w:color w:val="000000"/>
          <w:sz w:val="22"/>
        </w:rPr>
        <w:t>The motorcycle or motorized bicycle frame/chassis, including the suspension components and engine mountings, is of sufficient strength, capable of supporting the combined weight of all vehicle components and riders for which the vehicle was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450.3(3)</w:t>
      </w:r>
      <w:r>
        <w:rPr>
          <w:rFonts w:ascii="Times New Roman" w:hAnsi="Times New Roman"/>
          <w:b w:val="false"/>
          <w:i w:val="false"/>
          <w:color w:val="000000"/>
          <w:sz w:val="22"/>
        </w:rPr>
        <w:t> </w:t>
      </w:r>
      <w:r>
        <w:rPr>
          <w:rFonts w:ascii="Times New Roman" w:hAnsi="Times New Roman"/>
          <w:b w:val="false"/>
          <w:i/>
          <w:color w:val="000000"/>
          <w:sz w:val="22"/>
        </w:rPr>
        <w:t xml:space="preserve">Front end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Trail (extended fork measured in inches). </w:t>
      </w:r>
      <w:r>
        <w:rPr>
          <w:rFonts w:ascii="Times New Roman" w:hAnsi="Times New Roman"/>
          <w:b w:val="false"/>
          <w:i w:val="false"/>
          <w:color w:val="000000"/>
          <w:sz w:val="22"/>
        </w:rPr>
        <w:t>The reconstructed or specially constructed motorcycle or motorized bicycle does not have the front fork so extended as to place the center of the front wheel axle farther than 36 inches from a vertical plane through the steering axis.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Rake (extended fork measured in degrees). </w:t>
      </w:r>
      <w:r>
        <w:rPr>
          <w:rFonts w:ascii="Times New Roman" w:hAnsi="Times New Roman"/>
          <w:b w:val="false"/>
          <w:i w:val="false"/>
          <w:color w:val="000000"/>
          <w:sz w:val="22"/>
        </w:rPr>
        <w:t>The reconstructed or specially constructed motorcycle or motorized bicycle does not have the front fork so extended as to exceed a 45-degree angle between the fork assembly and a vertical plane through the steering axis.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The reconstructed or specially constructed motorcycle or motorized bicycle is not equipped with extension slugs. However, one-piece extension tubes and springer units, if approved,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Wheelbase. </w:t>
      </w:r>
      <w:r>
        <w:rPr>
          <w:rFonts w:ascii="Times New Roman" w:hAnsi="Times New Roman"/>
          <w:b w:val="false"/>
          <w:i w:val="false"/>
          <w:color w:val="000000"/>
          <w:sz w:val="22"/>
        </w:rPr>
        <w:t>The reconstructed or specially constructed motorcycle or motorized bicycle does not have an overall wheelbase, measured from the center of the front axle to the center of the rear axle, of less than 40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Motorcycle front end geometry. </w:t>
      </w:r>
      <w:r>
        <w:rPr>
          <w:rFonts w:ascii="Times New Roman" w:hAnsi="Times New Roman"/>
          <w:b w:val="false"/>
          <w:i w:val="false"/>
          <w:color w:val="000000"/>
          <w:sz w:val="22"/>
        </w:rPr>
        <w:t>A representation of the front end geometry of a motorcycle is depicted in the Appendix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450.3(4)</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The motorcycle and motorized bicycle is equipped with at least a rear brake. If the vehicle is also equipped with a front brake, all control cables, lines and hoses are located and secured so as not to become pinched between the fork and frame members when the wheel is turned completely to the left or right. Brake-actuating devices are in a readily accessible location, unencumbered by vehicle components. A suitable mechanism is provided for the purpose of automatically returning the actuating devices to a normal position upon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450.3(5)</w:t>
      </w:r>
      <w:r>
        <w:rPr>
          <w:rFonts w:ascii="Times New Roman" w:hAnsi="Times New Roman"/>
          <w:b w:val="false"/>
          <w:i w:val="false"/>
          <w:color w:val="000000"/>
          <w:sz w:val="22"/>
        </w:rPr>
        <w:t> </w:t>
      </w:r>
      <w:r>
        <w:rPr>
          <w:rFonts w:ascii="Times New Roman" w:hAnsi="Times New Roman"/>
          <w:b w:val="false"/>
          <w:i/>
          <w:color w:val="000000"/>
          <w:sz w:val="22"/>
        </w:rPr>
        <w:t xml:space="preserve">Tires, wheels, rims. </w:t>
      </w:r>
      <w:r>
        <w:rPr>
          <w:rFonts w:ascii="Times New Roman" w:hAnsi="Times New Roman"/>
          <w:b w:val="false"/>
          <w:i w:val="false"/>
          <w:color w:val="000000"/>
          <w:sz w:val="22"/>
        </w:rPr>
        <w:t>The motorcycle tires are of pneumatic design with a minimum width of two and twenty-five hundredths inches and designed for highway use. Wheel rim diameters are not less than 10 inches and rims otherwise comply with applicable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450.3(6)</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Stability. </w:t>
      </w:r>
      <w:r>
        <w:rPr>
          <w:rFonts w:ascii="Times New Roman" w:hAnsi="Times New Roman"/>
          <w:b w:val="false"/>
          <w:i w:val="false"/>
          <w:color w:val="000000"/>
          <w:sz w:val="22"/>
        </w:rPr>
        <w:t>The motorcycle or motorized bicycle steering and suspension provides the operator with the means of safely controlling vehicle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Wheel alignment. </w:t>
      </w:r>
      <w:r>
        <w:rPr>
          <w:rFonts w:ascii="Times New Roman" w:hAnsi="Times New Roman"/>
          <w:b w:val="false"/>
          <w:i w:val="false"/>
          <w:color w:val="000000"/>
          <w:sz w:val="22"/>
        </w:rPr>
        <w:t>The rear wheel of a two-wheel motorcycle or motorized bicycle tracks behind the front wheel within one inch with both wheels in a vertical plane when the vehicle is operating on a straight course. On a three-wheel motorcycle or motorized bicycle, the two wheels mounted on the rear axle have a wheel track distance not less than 30 inches and the midpoint of the rear wheel track distance is within 1 inch of the front wheel track when the vehicle is proceeding on a straight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Steering.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steering head is provided with a bearing or similar device that will allow the steering shaft to turn freely in rotational motion only. All handlebar-mounted control cables, wires, lines and hoses are located and secured so as not to become pinched between the fork and frame members when the wheel is turned completely to the right or the left.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steering wheel may be used on a three-wheel reconstructed or specially constructed motorcycle or motorized bicycle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steering wheel is circular or nearly circular in shape, having an outside diameter of not less than 13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steering wheel has no less than two turns and no more than six turns when the road wheels are turned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Handlebars. </w:t>
      </w:r>
      <w:r>
        <w:rPr>
          <w:rFonts w:ascii="Times New Roman" w:hAnsi="Times New Roman"/>
          <w:b w:val="false"/>
          <w:i w:val="false"/>
          <w:color w:val="000000"/>
          <w:sz w:val="22"/>
        </w:rPr>
        <w:t>Handlebars are of sturdy construction, adequate in size (length) to provide proper leverage for steering, and capable of withstanding a minimum force of 100 pounds applied to each hand grip in any direction. The handlebars provide a minimum distance of 18 inches between grips after final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Hand grips. </w:t>
      </w:r>
      <w:r>
        <w:rPr>
          <w:rFonts w:ascii="Times New Roman" w:hAnsi="Times New Roman"/>
          <w:b w:val="false"/>
          <w:i w:val="false"/>
          <w:color w:val="000000"/>
          <w:sz w:val="22"/>
        </w:rPr>
        <w:t>The motorcycle or motorized bicycle has handlebars equipped with hand grips of nonslip design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The motorcycle or motorized bicycle is equipped with a suspension system, and the suspension system applies to at least the front wheel. The suspension system(s) is designed for the purpose of maximum vehicle stability.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450.3(7)</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All fuel system components, including the tank, pump, tubing, hoses, clamps, etc., are securely fastened to the motorcycle or motorized bicycle so as not to interfere with vehicle operation and are leakproof when the vehicle is in its normal operating attitude. Fuel lines and tank are positioned in a manner so as to prevent their contact with the engine head, manifold, exhaust system, or other high temperature surfaces or moving components. The fuel system is adequately vented and provided with a fuel shutoff valve located between the fuel supply and the engine.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450.3(8)</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The motorcycle or motorized bicycle with an internal combustion engine is equipped with an exhaust system incorporating a muffler or other mechanical device for the purpose of reducing engine noise. Cutouts and bypasses in the exhaust system are prohibited. The system is leakproof and all components are securely attached to the vehicle and located so as not to interfere with the operation of the motorcycle or motorized bicycle. Shielding is provided to prevent inadvertent contact with the exhaust system by the operator and/or passenger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450.3(9)</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The motorcycle and motorized bicycle is equipped with at least one mirror of unit magnification, securely affixed to the handlebar and capable of adjustment within a range that will reflect an image that includes at least the horizon and the road surface to the rear of the motorcycle or motorized bicycle. The mirror consists of a minimum reflective surface of ten square inches. All mirrors are regular in shape (circular, oval, rectangular, or square) and do not contain sharp edges or projections capable of producing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450.3(10)</w:t>
      </w:r>
      <w:r>
        <w:rPr>
          <w:rFonts w:ascii="Times New Roman" w:hAnsi="Times New Roman"/>
          <w:b w:val="false"/>
          <w:i w:val="false"/>
          <w:color w:val="000000"/>
          <w:sz w:val="22"/>
        </w:rPr>
        <w:t> </w:t>
      </w:r>
      <w:r>
        <w:rPr>
          <w:rFonts w:ascii="Times New Roman" w:hAnsi="Times New Roman"/>
          <w:b w:val="false"/>
          <w:i/>
          <w:color w:val="000000"/>
          <w:sz w:val="22"/>
        </w:rPr>
        <w:t xml:space="preserve">Seat or saddle. </w:t>
      </w:r>
      <w:r>
        <w:rPr>
          <w:rFonts w:ascii="Times New Roman" w:hAnsi="Times New Roman"/>
          <w:b w:val="false"/>
          <w:i w:val="false"/>
          <w:color w:val="000000"/>
          <w:sz w:val="22"/>
        </w:rPr>
        <w:t>A seat or saddle securely attached to the vehicle is provided for the use of the operator. The seat or saddle is not less than 20 inches above a level road surface when measured to the lowest point on top of the seat or saddle cushion with the driver seated in a driving position. The seat or saddle adjustment locking device prevents relative movement of the seat from its selected and secured position under all normal vehicle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450.3(11)</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 xml:space="preserve">The motorcycle or motorized bicycle complies with Iowa Code sections </w:t>
      </w:r>
      <w:hyperlink r:id="rId25">
        <w:r>
          <w:rPr>
            <w:rStyle w:val="Hyperlink"/>
            <w:rFonts w:ascii="Times New Roman" w:hAnsi="Times New Roman"/>
            <w:b w:val="false"/>
            <w:i w:val="false"/>
            <w:color w:val="000000"/>
            <w:sz w:val="22"/>
          </w:rPr>
          <w:t>321.432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450.3(12)</w:t>
      </w:r>
      <w:r>
        <w:rPr>
          <w:rFonts w:ascii="Times New Roman" w:hAnsi="Times New Roman"/>
          <w:b w:val="false"/>
          <w:i w:val="false"/>
          <w:color w:val="000000"/>
          <w:sz w:val="22"/>
        </w:rPr>
        <w:t> </w:t>
      </w:r>
      <w:r>
        <w:rPr>
          <w:rFonts w:ascii="Times New Roman" w:hAnsi="Times New Roman"/>
          <w:b w:val="false"/>
          <w:i/>
          <w:color w:val="000000"/>
          <w:sz w:val="22"/>
        </w:rPr>
        <w:t xml:space="preserve">Speedometer and odometer. </w:t>
      </w:r>
      <w:r>
        <w:rPr>
          <w:rFonts w:ascii="Times New Roman" w:hAnsi="Times New Roman"/>
          <w:b w:val="false"/>
          <w:i w:val="false"/>
          <w:color w:val="000000"/>
          <w:sz w:val="22"/>
        </w:rPr>
        <w:t>The motorcycle or motorized bicycle is equipped with a properly operating speedometer and odometer calibrated in miles per hour and miles respectively and is fully illuminated when the headlamp(s)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450.3(13)</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The motorcycle or motorized bicycle is equipped with at least one headlamp but not more than two, mounted securely. Headlamp(s) are mounted not less than 24 inches, nor more than 54 inches, above the level road surface. A headlight beam indicator light is located within the operator’s field of vision and illuminated automatically when the high beam of the headlamp is actuated. The motorcycle or motorized bicycle is equipped with a tail and brake light assembly and a license plate light. All original lamps and lighting equipment provided on the motor vehicle by the manufacturer are maintained in working condition or are replaced with equivalent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450.3(14)</w:t>
      </w:r>
      <w:r>
        <w:rPr>
          <w:rFonts w:ascii="Times New Roman" w:hAnsi="Times New Roman"/>
          <w:b w:val="false"/>
          <w:i w:val="false"/>
          <w:color w:val="000000"/>
          <w:sz w:val="22"/>
        </w:rPr>
        <w:t> </w:t>
      </w:r>
      <w:r>
        <w:rPr>
          <w:rFonts w:ascii="Times New Roman" w:hAnsi="Times New Roman"/>
          <w:b w:val="false"/>
          <w:i/>
          <w:color w:val="000000"/>
          <w:sz w:val="22"/>
        </w:rPr>
        <w:t xml:space="preserve">Footrest. </w:t>
      </w:r>
      <w:r>
        <w:rPr>
          <w:rFonts w:ascii="Times New Roman" w:hAnsi="Times New Roman"/>
          <w:b w:val="false"/>
          <w:i w:val="false"/>
          <w:color w:val="000000"/>
          <w:sz w:val="22"/>
        </w:rPr>
        <w:t>The motorcycle is equipped with two footrests, one on each side of the vehicle and footrests are provided for each designated seating position. Footrests are located so as to provide reasonable accessibility. Footrests are able to fold upward if they protrude beyond the side of the motorcycle’s fixed items. The motorized bicycle is equipped with either two footrests or two pedals, one on each side of the vehicle, to provide reasonable accessibility.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450.3(15)</w:t>
      </w:r>
      <w:r>
        <w:rPr>
          <w:rFonts w:ascii="Times New Roman" w:hAnsi="Times New Roman"/>
          <w:b w:val="false"/>
          <w:i w:val="false"/>
          <w:color w:val="000000"/>
          <w:sz w:val="22"/>
        </w:rPr>
        <w:t> </w:t>
      </w:r>
      <w:r>
        <w:rPr>
          <w:rFonts w:ascii="Times New Roman" w:hAnsi="Times New Roman"/>
          <w:b w:val="false"/>
          <w:i/>
          <w:color w:val="000000"/>
          <w:sz w:val="22"/>
        </w:rPr>
        <w:t xml:space="preserve">Highway bars. </w:t>
      </w:r>
      <w:r>
        <w:rPr>
          <w:rFonts w:ascii="Times New Roman" w:hAnsi="Times New Roman"/>
          <w:b w:val="false"/>
          <w:i w:val="false"/>
          <w:color w:val="000000"/>
          <w:sz w:val="22"/>
        </w:rPr>
        <w:t>If a motorcycle or motorized bicycle is so equipped, highway bars (alternate footrests) are located at a maximum distance of 26 inches from the foot controls and do not interfere with the operation of the foot controls.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761—450.4</w:t>
      </w:r>
      <w:r>
        <w:rPr>
          <w:rFonts w:ascii="Times New Roman" w:hAnsi="Times New Roman"/>
          <w:b/>
          <w:i w:val="false"/>
          <w:color w:val="000000"/>
          <w:sz w:val="22"/>
        </w:rPr>
        <w:t xml:space="preserve">(307,321) </w:t>
      </w:r>
      <w:r>
        <w:rPr>
          <w:rFonts w:ascii="Times New Roman" w:hAnsi="Times New Roman"/>
          <w:b/>
          <w:i w:val="false"/>
          <w:color w:val="000000"/>
          <w:sz w:val="22"/>
        </w:rPr>
        <w:t xml:space="preserve">Minimum requirements for constructing and equipping specially constructed or reconstructed autocycles. </w:t>
      </w:r>
      <w:r>
        <w:rPr>
          <w:rFonts w:ascii="Times New Roman" w:hAnsi="Times New Roman"/>
          <w:b w:val="false"/>
          <w:i w:val="false"/>
          <w:color w:val="000000"/>
          <w:sz w:val="22"/>
        </w:rPr>
        <w:t xml:space="preserve">Minimum requirements to meet the definition of a specially constructed or reconstructed autocycle as defined in Iowa Code section </w:t>
      </w:r>
      <w:hyperlink r:id="rId2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w:t>
      </w:r>
      <w:r>
        <w:rPr>
          <w:rFonts w:ascii="Times New Roman" w:hAnsi="Times New Roman"/>
          <w:b w:val="false"/>
          <w:i w:val="false"/>
          <w:color w:val="000000"/>
          <w:sz w:val="22"/>
        </w:rPr>
        <w:t> </w:t>
      </w:r>
      <w:r>
        <w:rPr>
          <w:rFonts w:ascii="Times New Roman" w:hAnsi="Times New Roman"/>
          <w:b w:val="false"/>
          <w:i/>
          <w:color w:val="000000"/>
          <w:sz w:val="22"/>
        </w:rPr>
        <w:t xml:space="preserve">Seat belt. </w:t>
      </w:r>
      <w:r>
        <w:rPr>
          <w:rFonts w:ascii="Times New Roman" w:hAnsi="Times New Roman"/>
          <w:b w:val="false"/>
          <w:i w:val="false"/>
          <w:color w:val="000000"/>
          <w:sz w:val="22"/>
        </w:rPr>
        <w:t xml:space="preserve">The autocycle complies with Iowa Code section </w:t>
      </w:r>
      <w:hyperlink r:id="rId30">
        <w:r>
          <w:rPr>
            <w:rStyle w:val="Hyperlink"/>
            <w:rFonts w:ascii="Times New Roman" w:hAnsi="Times New Roman"/>
            <w:b w:val="false"/>
            <w:i w:val="false"/>
            <w:color w:val="000000"/>
            <w:sz w:val="22"/>
          </w:rPr>
          <w:t>321.445(1)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450.4(2)</w:t>
      </w:r>
      <w:r>
        <w:rPr>
          <w:rFonts w:ascii="Times New Roman" w:hAnsi="Times New Roman"/>
          <w:b w:val="false"/>
          <w:i w:val="false"/>
          <w:color w:val="000000"/>
          <w:sz w:val="22"/>
        </w:rPr>
        <w:t> </w:t>
      </w:r>
      <w:r>
        <w:rPr>
          <w:rFonts w:ascii="Times New Roman" w:hAnsi="Times New Roman"/>
          <w:b w:val="false"/>
          <w:i/>
          <w:color w:val="000000"/>
          <w:sz w:val="22"/>
        </w:rPr>
        <w:t xml:space="preserve">Seat. </w:t>
      </w:r>
      <w:r>
        <w:rPr>
          <w:rFonts w:ascii="Times New Roman" w:hAnsi="Times New Roman"/>
          <w:b w:val="false"/>
          <w:i w:val="false"/>
          <w:color w:val="000000"/>
          <w:sz w:val="22"/>
        </w:rPr>
        <w:t>A seat that is firmly attached to the autocycle and does not require the operator to straddle or sit astride is provided for the use of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450.4(3)</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The autocycle is equipped with at least one headlamp, at least one taillight, and either a taillight or a separate white light that illuminates the license plate if a taillight does not. All original lamps and lighting equipment provided on the autocycle by the manufacturer are maintained in working condition or are replaced with equivalent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450.4(4)</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The autocycle is equipped with at least one red reflector, either separate or as part of the taillight or taillights.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450.4(5)</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 xml:space="preserve">The autocycle is equipped with a braking system, other than a parking brake, in accordance with Iowa Code section </w:t>
      </w:r>
      <w:hyperlink r:id="rId31">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450.4(6)</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 xml:space="preserve">The autocycle is equipped with a horn that complies with Iowa Code section </w:t>
      </w:r>
      <w:hyperlink r:id="rId32">
        <w:r>
          <w:rPr>
            <w:rStyle w:val="Hyperlink"/>
            <w:rFonts w:ascii="Times New Roman" w:hAnsi="Times New Roman"/>
            <w:b w:val="false"/>
            <w:i w:val="false"/>
            <w:color w:val="000000"/>
            <w:sz w:val="22"/>
          </w:rPr>
          <w:t>321.433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450.4(7)</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The autocycle with an internal combustion engine is equipped with a muffler and emission control system in accordance with 49 CFR Section 393.83 as amended through October 1, 2024. When a muffler and emission control system are factory equipped, neither may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450.4(8)</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The autocycle is equipped with a mirror that shall consist of a minimum reflective surface of ten square inches. All mirrors are regular in shape (circular, oval, rectangular, or square) and do not contain sharp edges or projections capable of producing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450.4(9)</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The autocycle is equipped with tires that comply with the requirements of Iowa Code section </w:t>
      </w:r>
      <w:hyperlink r:id="rId33">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450.4(10)</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The autocycle is equipped with a floor pan under the entire passenger-carrying compartment. The floor pan supports the weight of the number of occupants that the autocycle is designed to carry. The floor pan is so constructed that it prevents the entry of exhaust fumes.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761—450.5</w:t>
      </w:r>
      <w:r>
        <w:rPr>
          <w:rFonts w:ascii="Times New Roman" w:hAnsi="Times New Roman"/>
          <w:b/>
          <w:i w:val="false"/>
          <w:color w:val="000000"/>
          <w:sz w:val="22"/>
        </w:rPr>
        <w:t xml:space="preserve">(321) </w:t>
      </w:r>
      <w:r>
        <w:rPr>
          <w:rFonts w:ascii="Times New Roman" w:hAnsi="Times New Roman"/>
          <w:b/>
          <w:i w:val="false"/>
          <w:color w:val="000000"/>
          <w:sz w:val="22"/>
        </w:rPr>
        <w:t xml:space="preserve">Front windshields, windows or sidewings.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w:t>
      </w:r>
      <w:r>
        <w:rPr>
          <w:rFonts w:ascii="Times New Roman" w:hAnsi="Times New Roman"/>
          <w:b w:val="false"/>
          <w:i w:val="false"/>
          <w:color w:val="000000"/>
          <w:sz w:val="22"/>
        </w:rPr>
        <w:t> </w:t>
      </w:r>
      <w:r>
        <w:rPr>
          <w:rFonts w:ascii="Times New Roman" w:hAnsi="Times New Roman"/>
          <w:b w:val="false"/>
          <w:i w:val="false"/>
          <w:color w:val="000000"/>
          <w:sz w:val="22"/>
        </w:rPr>
        <w:t>“Excessively dark or reflective” means that the windshield, front side window or front sidewing does not meet a minimum standard of transparency of 70 percent light transmittance.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450.5(2)</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vehicles operating with a dark window exemption issued prior to July 4, 2012, are subject to the provisions of rule </w:t>
      </w:r>
      <w:hyperlink r:id="rId36">
        <w:r>
          <w:rPr>
            <w:rStyle w:val="Hyperlink"/>
            <w:rFonts w:ascii="Times New Roman" w:hAnsi="Times New Roman"/>
            <w:b w:val="false"/>
            <w:i w:val="false"/>
            <w:color w:val="000000"/>
            <w:sz w:val="22"/>
          </w:rPr>
          <w:t>761—450.7</w:t>
        </w:r>
      </w:hyperlink>
      <w:r>
        <w:rPr>
          <w:rFonts w:ascii="Times New Roman" w:hAnsi="Times New Roman"/>
          <w:b w:val="false"/>
          <w:i w:val="false"/>
          <w:color w:val="000000"/>
          <w:sz w:val="22"/>
        </w:rPr>
        <w:t>(3) in effect April 13, 2022.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321.438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761—450.6</w:t>
      </w:r>
      <w:r>
        <w:rPr>
          <w:rFonts w:ascii="Times New Roman" w:hAnsi="Times New Roman"/>
          <w:b/>
          <w:i w:val="false"/>
          <w:color w:val="000000"/>
          <w:sz w:val="22"/>
        </w:rPr>
        <w:t xml:space="preserve">(307,321) </w:t>
      </w:r>
      <w:r>
        <w:rPr>
          <w:rFonts w:ascii="Times New Roman" w:hAnsi="Times New Roman"/>
          <w:b/>
          <w:i w:val="false"/>
          <w:color w:val="000000"/>
          <w:sz w:val="22"/>
        </w:rPr>
        <w:t xml:space="preserve">Seat belt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450.6(1)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unable to wear a safety belt or safety harness for physical or medical reasons may obtain a form to be signed by the person’s health care provider licensed under Iowa Code chapter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3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Form No. 432017, “Iowa Medical Safety Belt Exemption,” is available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450.6(2)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40">
        <w:r>
          <w:rPr>
            <w:rStyle w:val="Hyperlink"/>
            <w:rFonts w:ascii="Times New Roman" w:hAnsi="Times New Roman"/>
            <w:b w:val="false"/>
            <w:i w:val="false"/>
            <w:color w:val="000000"/>
            <w:sz w:val="22"/>
          </w:rPr>
          <w:t>321.445(1)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321.445(2)</w:t>
        </w:r>
      </w:hyperlink>
      <w:r>
        <w:rPr>
          <w:rFonts w:ascii="Times New Roman" w:hAnsi="Times New Roman"/>
          <w:b w:val="false"/>
          <w:i w:val="false"/>
          <w:color w:val="000000"/>
          <w:sz w:val="22"/>
        </w:rPr>
        <w:t xml:space="preserve"> shall not apply to the front seats and front seat passengers of motor vehicles owned, leased, rented or primarily used by a person with a physical disability who uses a collapsible wheelchair.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 xml:space="preserve">APPENDIX TO RULE </w:t>
      </w:r>
      <w:r>
        <w:br/>
      </w:r>
      <w:hyperlink r:id="rId44">
        <w:r>
          <w:rPr>
            <w:rStyle w:val="Hyperlink"/>
            <w:rFonts w:ascii="Times New Roman" w:hAnsi="Times New Roman"/>
            <w:b w:val="false"/>
            <w:i w:val="false"/>
            <w:color w:val="000000"/>
            <w:sz w:val="22"/>
          </w:rPr>
          <w:t>761—450.3</w:t>
        </w:r>
      </w:hyperlink>
      <w:r>
        <w:rPr>
          <w:rFonts w:ascii="Times New Roman" w:hAnsi="Times New Roman"/>
          <w:b w:val="false"/>
          <w:i w:val="false"/>
          <w:color w:val="000000"/>
          <w:sz w:val="22"/>
        </w:rPr>
        <w:t>(321)</w:t>
      </w:r>
    </w:p>
    <w:p>
      <w:pPr>
        <w:spacing w:before="0" w:after="0"/>
        <w:ind w:left="120"/>
        <w:jc w:val="both"/>
      </w:pPr>
      <w:r>
        <w:drawing>
          <wp:inline distT="0" distB="0" distL="0" distR="0">
            <wp:extent cx="5486400" cy="45720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5"/>
                    <a:stretch>
                      <a:fillRect/>
                    </a:stretch>
                  </pic:blipFill>
                  <pic:spPr>
                    <a:xfrm>
                      <a:off x="0" y="0"/>
                      <a:ext cx="5486400" cy="457200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6/30/61; amended 6/14/72, 12/9/74;</w:t>
      </w:r>
    </w:p>
    <w:p>
      <w:pPr>
        <w:spacing w:before="0" w:after="0"/>
        <w:ind w:left="120"/>
        <w:jc w:val="center"/>
      </w:pPr>
      <w:r>
        <w:rPr>
          <w:rFonts w:ascii="Times New Roman" w:hAnsi="Times New Roman"/>
          <w:b w:val="false"/>
          <w:i w:val="false"/>
          <w:color w:val="000000"/>
          <w:sz w:val="21"/>
        </w:rPr>
        <w:t>Transferred to Department of Transportation 7/1/75]</w:t>
      </w:r>
    </w:p>
    <w:p>
      <w:pPr>
        <w:spacing w:before="0" w:after="0"/>
        <w:ind w:left="120"/>
        <w:jc w:val="center"/>
      </w:pPr>
      <w:r>
        <w:rPr>
          <w:rFonts w:ascii="Times New Roman" w:hAnsi="Times New Roman"/>
          <w:b w:val="false"/>
          <w:i w:val="false"/>
          <w:color w:val="000000"/>
          <w:sz w:val="21"/>
        </w:rPr>
        <w:t>[Emergency amendment filed 10/10/75—published 10/20/75, effective 11/1/75]</w:t>
      </w:r>
    </w:p>
    <w:p>
      <w:pPr>
        <w:spacing w:before="0" w:after="0"/>
        <w:ind w:left="120"/>
        <w:jc w:val="center"/>
      </w:pPr>
      <w:r>
        <w:rPr>
          <w:rFonts w:ascii="Times New Roman" w:hAnsi="Times New Roman"/>
          <w:b w:val="false"/>
          <w:i w:val="false"/>
          <w:color w:val="000000"/>
          <w:sz w:val="21"/>
        </w:rPr>
        <w:t>[Filed 3/17/76, Notice 1/26/76—published 4/5/76, effective 5/10/76]</w:t>
      </w:r>
    </w:p>
    <w:p>
      <w:pPr>
        <w:spacing w:before="0" w:after="0"/>
        <w:ind w:left="120"/>
        <w:jc w:val="center"/>
      </w:pPr>
      <w:r>
        <w:rPr>
          <w:rFonts w:ascii="Times New Roman" w:hAnsi="Times New Roman"/>
          <w:b w:val="false"/>
          <w:i w:val="false"/>
          <w:color w:val="000000"/>
          <w:sz w:val="21"/>
        </w:rPr>
        <w:t>[Filed 10/26/79, Notice 9/5/79—published 11/14/79, effective 12/19/79]</w:t>
      </w:r>
    </w:p>
    <w:p>
      <w:pPr>
        <w:spacing w:before="0" w:after="0"/>
        <w:ind w:left="120"/>
        <w:jc w:val="center"/>
      </w:pPr>
      <w:r>
        <w:rPr>
          <w:rFonts w:ascii="Times New Roman" w:hAnsi="Times New Roman"/>
          <w:b w:val="false"/>
          <w:i w:val="false"/>
          <w:color w:val="000000"/>
          <w:sz w:val="21"/>
        </w:rPr>
        <w:t>[Filed 1/28/82, Notice 12/9/81—published 2/17/82, effective 3/24/82]</w:t>
      </w:r>
    </w:p>
    <w:p>
      <w:pPr>
        <w:spacing w:before="0" w:after="0"/>
        <w:ind w:left="120"/>
        <w:jc w:val="center"/>
      </w:pPr>
      <w:r>
        <w:rPr>
          <w:rFonts w:ascii="Times New Roman" w:hAnsi="Times New Roman"/>
          <w:b w:val="false"/>
          <w:i w:val="false"/>
          <w:color w:val="000000"/>
          <w:sz w:val="21"/>
        </w:rPr>
        <w:t>[Filed 9/8/83, Notice 7/20/83—published 9/28/83, effective 11/2/83]</w:t>
      </w:r>
    </w:p>
    <w:p>
      <w:pPr>
        <w:spacing w:before="0" w:after="0"/>
        <w:ind w:left="120"/>
        <w:jc w:val="center"/>
      </w:pPr>
      <w:r>
        <w:rPr>
          <w:rFonts w:ascii="Times New Roman" w:hAnsi="Times New Roman"/>
          <w:b w:val="false"/>
          <w:i w:val="false"/>
          <w:color w:val="000000"/>
          <w:sz w:val="21"/>
        </w:rPr>
        <w:t>[Filed 12/23/83, Notice 11/9/83—published 1/18/84, effective 2/22/84]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8/29/86, Notice 7/16/86—published 9/24/86, effective 10/29/86]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3/30/88—published 4/20/88, effective 4/1/88]</w:t>
      </w:r>
    </w:p>
    <w:p>
      <w:pPr>
        <w:spacing w:before="0" w:after="0"/>
        <w:ind w:left="120"/>
        <w:jc w:val="center"/>
      </w:pPr>
      <w:r>
        <w:rPr>
          <w:rFonts w:ascii="Times New Roman" w:hAnsi="Times New Roman"/>
          <w:b w:val="false"/>
          <w:i w:val="false"/>
          <w:color w:val="000000"/>
          <w:sz w:val="21"/>
        </w:rPr>
        <w:t>[Filed 6/22/88, Notice 4/20/88—published 7/13/88, effective 8/17/88]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11/7/90, Notice 9/5/90—published 11/28/90, effective 1/2/91]</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3108C</w:t>
      </w:r>
      <w:r>
        <w:rPr>
          <w:rFonts w:ascii="Times New Roman" w:hAnsi="Times New Roman"/>
          <w:b w:val="false"/>
          <w:i w:val="false"/>
          <w:color w:val="000000"/>
          <w:sz w:val="21"/>
        </w:rPr>
        <w:t xml:space="preserve"> (Notice ARC 2989C,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5203C</w:t>
      </w:r>
      <w:r>
        <w:rPr>
          <w:rFonts w:ascii="Times New Roman" w:hAnsi="Times New Roman"/>
          <w:b w:val="false"/>
          <w:i w:val="false"/>
          <w:color w:val="000000"/>
          <w:sz w:val="21"/>
        </w:rPr>
        <w:t xml:space="preserve"> (Notice ARC 5101C,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6219C</w:t>
      </w:r>
      <w:r>
        <w:rPr>
          <w:rFonts w:ascii="Times New Roman" w:hAnsi="Times New Roman"/>
          <w:b w:val="false"/>
          <w:i w:val="false"/>
          <w:color w:val="000000"/>
          <w:sz w:val="21"/>
        </w:rPr>
        <w:t xml:space="preserve"> (Notice ARC 6118C, IAB 12/29/21)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[Editorial change: IAC Supplement 8/7/24]</w:t>
      </w:r>
    </w:p>
    <w:p>
      <w:pPr>
        <w:spacing w:before="0" w:after="0"/>
        <w:ind w:left="120"/>
        <w:jc w:val="center"/>
      </w:pPr>
      <w:r>
        <w:rPr>
          <w:rFonts w:ascii="Times New Roman" w:hAnsi="Times New Roman"/>
          <w:b w:val="false"/>
          <w:i w:val="false"/>
          <w:color w:val="000000"/>
          <w:sz w:val="21"/>
        </w:rPr>
        <w:t>[Filed ARC 9133C</w:t>
      </w:r>
      <w:r>
        <w:rPr>
          <w:rFonts w:ascii="Times New Roman" w:hAnsi="Times New Roman"/>
          <w:b w:val="false"/>
          <w:i w:val="false"/>
          <w:color w:val="000000"/>
          <w:sz w:val="21"/>
        </w:rPr>
        <w:t xml:space="preserve"> (Notice ARC 8474C,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biip/contact-us" Type="http://schemas.openxmlformats.org/officeDocument/2006/relationships/hyperlink" Id="rId5"/>
    <Relationship TargetMode="External" Target="http://www.iowadot.gov/mvd/vehicleregistration/vehicle-inspections-for-titling"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ac/rule/761.400.16.pdf" Type="http://schemas.openxmlformats.org/officeDocument/2006/relationships/hyperlink" Id="rId8"/>
    <Relationship TargetMode="External" Target="https://www.legis.iowa.gov/docs/iac/rule/761.400.16.pdf" Type="http://schemas.openxmlformats.org/officeDocument/2006/relationships/hyperlink" Id="rId9"/>
    <Relationship TargetMode="External" Target="https://www.legis.iowa.gov/docs/iac/rule/761.450.1.pdf" Type="http://schemas.openxmlformats.org/officeDocument/2006/relationships/hyperlink" Id="rId10"/>
    <Relationship TargetMode="External" Target="https://www.legis.iowa.gov/docs/ico/chapter/307.12.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23.pdf" Type="http://schemas.openxmlformats.org/officeDocument/2006/relationships/hyperlink" Id="rId13"/>
    <Relationship TargetMode="External" Target="https://www.legis.iowa.gov/docs/ico/chapter/321.430.pdf" Type="http://schemas.openxmlformats.org/officeDocument/2006/relationships/hyperlink" Id="rId14"/>
    <Relationship TargetMode="External" Target="https://www.legis.iowa.gov/docs/ico/chapter/321.431.pdf" Type="http://schemas.openxmlformats.org/officeDocument/2006/relationships/hyperlink" Id="rId15"/>
    <Relationship TargetMode="External" Target="https://www.legis.iowa.gov/docs/ico/chapter/321.445.pdf" Type="http://schemas.openxmlformats.org/officeDocument/2006/relationships/hyperlink" Id="rId16"/>
    <Relationship TargetMode="External" Target="https://www.legis.iowa.gov/docs/ico/chapter/321.440.pdf" Type="http://schemas.openxmlformats.org/officeDocument/2006/relationships/hyperlink" Id="rId17"/>
    <Relationship TargetMode="External" Target="https://www.legis.iowa.gov/docs/ico/chapter/321.384.pdf" Type="http://schemas.openxmlformats.org/officeDocument/2006/relationships/hyperlink" Id="rId18"/>
    <Relationship TargetMode="External" Target="https://www.legis.iowa.gov/docs/ico/chapter/321.423.pdf" Type="http://schemas.openxmlformats.org/officeDocument/2006/relationships/hyperlink" Id="rId19"/>
    <Relationship TargetMode="External" Target="https://www.legis.iowa.gov/docs/ico/chapter/321.433.pdf" Type="http://schemas.openxmlformats.org/officeDocument/2006/relationships/hyperlink" Id="rId20"/>
    <Relationship TargetMode="External" Target="https://www.legis.iowa.gov/docs/ico/chapter/307.12.pdf" Type="http://schemas.openxmlformats.org/officeDocument/2006/relationships/hyperlink" Id="rId21"/>
    <Relationship TargetMode="External" Target="https://www.legis.iowa.gov/docs/ico/chapter/321.23.pdf" Type="http://schemas.openxmlformats.org/officeDocument/2006/relationships/hyperlink" Id="rId22"/>
    <Relationship TargetMode="External" Target="https://www.legis.iowa.gov/docs/ico/chapter/321.1.pdf" Type="http://schemas.openxmlformats.org/officeDocument/2006/relationships/hyperlink" Id="rId23"/>
    <Relationship TargetMode="External" Target="https://www.legis.iowa.gov/docs/ico/chapter/321.382.pdf" Type="http://schemas.openxmlformats.org/officeDocument/2006/relationships/hyperlink" Id="rId24"/>
    <Relationship TargetMode="External" Target="https://www.legis.iowa.gov/docs/ico/chapter/321.432.pdf" Type="http://schemas.openxmlformats.org/officeDocument/2006/relationships/hyperlink" Id="rId25"/>
    <Relationship TargetMode="External" Target="https://www.legis.iowa.gov/docs/ico/chapter/321.433.pdf" Type="http://schemas.openxmlformats.org/officeDocument/2006/relationships/hyperlink" Id="rId26"/>
    <Relationship TargetMode="External" Target="https://www.legis.iowa.gov/docs/ico/chapter/307.12.pdf" Type="http://schemas.openxmlformats.org/officeDocument/2006/relationships/hyperlink" Id="rId27"/>
    <Relationship TargetMode="External" Target="https://www.legis.iowa.gov/docs/ico/chapter/321.23.pdf" Type="http://schemas.openxmlformats.org/officeDocument/2006/relationships/hyperlink" Id="rId28"/>
    <Relationship TargetMode="External" Target="https://www.legis.iowa.gov/docs/ico/chapter/321.1.pdf" Type="http://schemas.openxmlformats.org/officeDocument/2006/relationships/hyperlink" Id="rId29"/>
    <Relationship TargetMode="External" Target="https://www.legis.iowa.gov/docs/ico/chapter/321.445.pdf" Type="http://schemas.openxmlformats.org/officeDocument/2006/relationships/hyperlink" Id="rId30"/>
    <Relationship TargetMode="External" Target="https://www.legis.iowa.gov/docs/ico/chapter/321.431.pdf" Type="http://schemas.openxmlformats.org/officeDocument/2006/relationships/hyperlink" Id="rId31"/>
    <Relationship TargetMode="External" Target="https://www.legis.iowa.gov/docs/ico/chapter/321.433.pdf" Type="http://schemas.openxmlformats.org/officeDocument/2006/relationships/hyperlink" Id="rId32"/>
    <Relationship TargetMode="External" Target="https://www.legis.iowa.gov/docs/ico/chapter/321.440.pdf" Type="http://schemas.openxmlformats.org/officeDocument/2006/relationships/hyperlink" Id="rId33"/>
    <Relationship TargetMode="External" Target="https://www.legis.iowa.gov/docs/ico/chapter/307.12.pdf" Type="http://schemas.openxmlformats.org/officeDocument/2006/relationships/hyperlink" Id="rId34"/>
    <Relationship TargetMode="External" Target="https://www.legis.iowa.gov/docs/ico/chapter/321.23.pdf" Type="http://schemas.openxmlformats.org/officeDocument/2006/relationships/hyperlink" Id="rId35"/>
    <Relationship TargetMode="External" Target="https://www.legis.iowa.gov/docs/iac/rule/761.450.7.pdf" Type="http://schemas.openxmlformats.org/officeDocument/2006/relationships/hyperlink" Id="rId36"/>
    <Relationship TargetMode="External" Target="https://www.legis.iowa.gov/docs/ico/chapter/321.438.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151.pdf" Type="http://schemas.openxmlformats.org/officeDocument/2006/relationships/hyperlink" Id="rId39"/>
    <Relationship TargetMode="External" Target="https://www.legis.iowa.gov/docs/ico/chapter/321.445.pdf" Type="http://schemas.openxmlformats.org/officeDocument/2006/relationships/hyperlink" Id="rId40"/>
    <Relationship TargetMode="External" Target="https://www.legis.iowa.gov/docs/ico/chapter/321.445.pdf" Type="http://schemas.openxmlformats.org/officeDocument/2006/relationships/hyperlink" Id="rId41"/>
    <Relationship TargetMode="External" Target="https://www.legis.iowa.gov/docs/ico/chapter/307.12.pdf" Type="http://schemas.openxmlformats.org/officeDocument/2006/relationships/hyperlink" Id="rId42"/>
    <Relationship TargetMode="External" Target="https://www.legis.iowa.gov/docs/ico/chapter/321.445.pdf" Type="http://schemas.openxmlformats.org/officeDocument/2006/relationships/hyperlink" Id="rId43"/>
    <Relationship TargetMode="External" Target="https://www.legis.iowa.gov/docs/iac/rule/761.450.3.pdf" Type="http://schemas.openxmlformats.org/officeDocument/2006/relationships/hyperlink" Id="rId44"/>
    <Relationship Target="media/document_image_rId45.png" Type="http://schemas.openxmlformats.org/officeDocument/2006/relationships/image"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