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178</w:t>
      </w:r>
    </w:p>
    <w:p>
      <w:pPr>
        <w:spacing w:before="0" w:after="0"/>
        <w:ind w:left="120"/>
        <w:jc w:val="center"/>
      </w:pPr>
      <w:r>
        <w:rPr>
          <w:rFonts w:ascii="Times New Roman" w:hAnsi="Times New Roman"/>
          <w:b w:val="false"/>
          <w:i w:val="false"/>
          <w:color w:val="000000"/>
          <w:sz w:val="21"/>
        </w:rPr>
        <w:t>PROJECT COST REPORTING REQUIREMENTS</w:t>
      </w:r>
      <w:r>
        <w:br/>
      </w:r>
      <w:r>
        <w:rPr>
          <w:rFonts w:ascii="Times New Roman" w:hAnsi="Times New Roman"/>
          <w:b w:val="false"/>
          <w:i w:val="false"/>
          <w:color w:val="000000"/>
          <w:sz w:val="21"/>
        </w:rPr>
        <w:t xml:space="preserve"> FOR CITIES AND COUNTIES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761—178.1</w:t>
      </w:r>
      <w:r>
        <w:rPr>
          <w:rFonts w:ascii="Times New Roman" w:hAnsi="Times New Roman"/>
          <w:b/>
          <w:i w:val="false"/>
          <w:color w:val="000000"/>
          <w:sz w:val="22"/>
        </w:rPr>
        <w:t xml:space="preserve">(314) </w:t>
      </w:r>
      <w:r>
        <w:rPr>
          <w:rFonts w:ascii="Times New Roman" w:hAnsi="Times New Roman"/>
          <w:b/>
          <w:i w:val="false"/>
          <w:color w:val="000000"/>
          <w:sz w:val="22"/>
        </w:rPr>
        <w:t xml:space="preserve">Purpose and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these rules is to establish requirements for the reporting by cities and counties of project cost information to the department, in accordance with Iowa Code section </w:t>
      </w:r>
      <w:hyperlink r:id="rId5">
        <w:r>
          <w:rPr>
            <w:rStyle w:val="Hyperlink"/>
            <w:rFonts w:ascii="Times New Roman" w:hAnsi="Times New Roman"/>
            <w:b w:val="false"/>
            <w:i w:val="false"/>
            <w:color w:val="000000"/>
            <w:sz w:val="22"/>
          </w:rPr>
          <w:t>314.1A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178.1(2)</w:t>
      </w:r>
      <w:r>
        <w:rPr>
          <w:rFonts w:ascii="Times New Roman" w:hAnsi="Times New Roman"/>
          <w:b w:val="false"/>
          <w:i w:val="false"/>
          <w:color w:val="000000"/>
          <w:sz w:val="22"/>
        </w:rPr>
        <w:t> </w:t>
      </w:r>
      <w:r>
        <w:rPr>
          <w:rFonts w:ascii="Times New Roman" w:hAnsi="Times New Roman"/>
          <w:b w:val="false"/>
          <w:i w:val="false"/>
          <w:color w:val="000000"/>
          <w:sz w:val="22"/>
        </w:rPr>
        <w:t xml:space="preserve">Questions regarding this chapter may be directed to the Local Systems Bureau, Iowa Department of Transportation, 800 Lincoln Way, Ames, Iowa 50010 or </w:t>
      </w:r>
      <w:hyperlink r:id="rId6">
        <w:r>
          <w:rPr>
            <w:rStyle w:val="Hyperlink"/>
            <w:rFonts w:ascii="Times New Roman" w:hAnsi="Times New Roman"/>
            <w:b w:val="false"/>
            <w:i w:val="false"/>
            <w:color w:val="000000"/>
            <w:sz w:val="22"/>
            <w:u w:val="single"/>
          </w:rPr>
          <w:t>www.iowadot.gov/local_systems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761—178.2</w:t>
      </w:r>
      <w:r>
        <w:rPr>
          <w:rFonts w:ascii="Times New Roman" w:hAnsi="Times New Roman"/>
          <w:b/>
          <w:i w:val="false"/>
          <w:color w:val="000000"/>
          <w:sz w:val="22"/>
        </w:rPr>
        <w:t xml:space="preserve">(309,314)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“Bridge”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“City” </w:t>
      </w:r>
      <w:r>
        <w:rPr>
          <w:rFonts w:ascii="Times New Roman" w:hAnsi="Times New Roman"/>
          <w:b w:val="false"/>
          <w:i w:val="false"/>
          <w:color w:val="000000"/>
          <w:sz w:val="22"/>
        </w:rPr>
        <w:t xml:space="preserve">means a municipal corporation as defined in Iowa Code section </w:t>
      </w:r>
      <w:hyperlink r:id="rId8">
        <w:r>
          <w:rPr>
            <w:rStyle w:val="Hyperlink"/>
            <w:rFonts w:ascii="Times New Roman" w:hAnsi="Times New Roman"/>
            <w:b w:val="false"/>
            <w:i w:val="false"/>
            <w:color w:val="000000"/>
            <w:sz w:val="22"/>
          </w:rPr>
          <w:t>312.8</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the building or development of a road, street, bridge, or culvert in a new location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new location deviates substantially from the existing alignment,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result is an entirely new road or street for the greater part of the length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“Culvert”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labor” </w:t>
      </w:r>
      <w:r>
        <w:rPr>
          <w:rFonts w:ascii="Times New Roman" w:hAnsi="Times New Roman"/>
          <w:b w:val="false"/>
          <w:i w:val="false"/>
          <w:color w:val="000000"/>
          <w:sz w:val="22"/>
        </w:rPr>
        <w:t>means road, street, bridge, or culvert work, or materials that have not been subjected to bids. This includes work performed by permanent or temporary city or county employees, materials purchased by a city or county without taking formal bids, or contractor services that were not formally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“Improvement” </w:t>
      </w:r>
      <w:r>
        <w:rPr>
          <w:rFonts w:ascii="Times New Roman" w:hAnsi="Times New Roman"/>
          <w:b w:val="false"/>
          <w:i w:val="false"/>
          <w:color w:val="000000"/>
          <w:sz w:val="22"/>
        </w:rPr>
        <w:t>means a betterment to a road, street, bridge, or culvert. The work increases the value of the facility and enhances the facility, its traffic operations, or its safety beyond the original design. The work would not be so extensive as to be classified as construction or reconstruction, but it could involve rehabilitation, restoration, or resurfacing (3R)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means a significant change to the existing type of road, street, bridge, or culvert or its geometric or structural features. Some realignment and the use of current design criteria may be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761—178.3</w:t>
      </w:r>
      <w:r>
        <w:rPr>
          <w:rFonts w:ascii="Times New Roman" w:hAnsi="Times New Roman"/>
          <w:b/>
          <w:i w:val="false"/>
          <w:color w:val="000000"/>
          <w:sz w:val="22"/>
        </w:rPr>
        <w:t xml:space="preserve">(309,312,314) </w:t>
      </w:r>
      <w:r>
        <w:rPr>
          <w:rFonts w:ascii="Times New Roman" w:hAnsi="Times New Roman"/>
          <w:b/>
          <w:i w:val="false"/>
          <w:color w:val="000000"/>
          <w:sz w:val="22"/>
        </w:rPr>
        <w:t xml:space="preserve">Detailed instructions furnished to cities and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178.3(1)</w:t>
      </w:r>
      <w:r>
        <w:rPr>
          <w:rFonts w:ascii="Times New Roman" w:hAnsi="Times New Roman"/>
          <w:b w:val="false"/>
          <w:i w:val="false"/>
          <w:color w:val="000000"/>
          <w:sz w:val="22"/>
        </w:rPr>
        <w:t> </w:t>
      </w:r>
      <w:r>
        <w:rPr>
          <w:rFonts w:ascii="Times New Roman" w:hAnsi="Times New Roman"/>
          <w:b w:val="false"/>
          <w:i w:val="false"/>
          <w:color w:val="000000"/>
          <w:sz w:val="22"/>
        </w:rPr>
        <w:t>Each year, the department provides cities and counties a set of detailed instructions for reporting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of day labor and contracts for construction, reconstruction, and improvement projects on the farm-to-market, secondary road, and municipal street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purchasing, leasing, and renting construction and maintenance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this equipment for construction, reconstruction, and improvement projects on the farm-to-market, secondary road, and municipal street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instructions constitute the form, content, and method of preparation acceptable to the department. Cities and counties include this information in the annual reports they submit to the department under Iowa Code sections </w:t>
      </w:r>
      <w:hyperlink r:id="rId11">
        <w:r>
          <w:rPr>
            <w:rStyle w:val="Hyperlink"/>
            <w:rFonts w:ascii="Times New Roman" w:hAnsi="Times New Roman"/>
            <w:b w:val="false"/>
            <w:i w:val="false"/>
            <w:color w:val="000000"/>
            <w:sz w:val="22"/>
          </w:rPr>
          <w:t>309.22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312.14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761—178.4</w:t>
      </w:r>
      <w:r>
        <w:rPr>
          <w:rFonts w:ascii="Times New Roman" w:hAnsi="Times New Roman"/>
          <w:b/>
          <w:i w:val="false"/>
          <w:color w:val="000000"/>
          <w:sz w:val="22"/>
        </w:rPr>
        <w:t xml:space="preserve">(314) </w:t>
      </w:r>
      <w:r>
        <w:rPr>
          <w:rFonts w:ascii="Times New Roman" w:hAnsi="Times New Roman"/>
          <w:b/>
          <w:i w:val="false"/>
          <w:color w:val="000000"/>
          <w:sz w:val="22"/>
        </w:rPr>
        <w:t xml:space="preserve">Project reporting. </w:t>
      </w:r>
      <w:r>
        <w:rPr>
          <w:rFonts w:ascii="Times New Roman" w:hAnsi="Times New Roman"/>
          <w:b w:val="false"/>
          <w:i w:val="false"/>
          <w:color w:val="000000"/>
          <w:sz w:val="22"/>
        </w:rPr>
        <w:t>Reporting of projects accomplished by day labor or contract is required for any construction, reconstruction, or improvement project that has a total cost of 90 percent or more of the applicable bid threshold. Other reporting requirements set out in the Iowa Code still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178.4(1)</w:t>
      </w:r>
      <w:r>
        <w:rPr>
          <w:rFonts w:ascii="Times New Roman" w:hAnsi="Times New Roman"/>
          <w:b w:val="false"/>
          <w:i w:val="false"/>
          <w:color w:val="000000"/>
          <w:sz w:val="22"/>
        </w:rPr>
        <w:t> </w:t>
      </w:r>
      <w:r>
        <w:rPr>
          <w:rFonts w:ascii="Times New Roman" w:hAnsi="Times New Roman"/>
          <w:b w:val="false"/>
          <w:i/>
          <w:color w:val="000000"/>
          <w:sz w:val="22"/>
        </w:rPr>
        <w:t xml:space="preserve">Types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Bridge. </w:t>
      </w:r>
      <w:r>
        <w:rPr>
          <w:rFonts w:ascii="Times New Roman" w:hAnsi="Times New Roman"/>
          <w:b w:val="false"/>
          <w:i w:val="false"/>
          <w:color w:val="000000"/>
          <w:sz w:val="22"/>
        </w:rPr>
        <w:t>Bridge project types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Bridge. This project type includes removal of existing structures and all new construction, reconstruction, and improvement of bridges.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Culvert. This project type includes new construction or installation of an individual box or pipe culvert with a span or diameter that is greater than 4 feet but no greater than 20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Road. </w:t>
      </w:r>
      <w:r>
        <w:rPr>
          <w:rFonts w:ascii="Times New Roman" w:hAnsi="Times New Roman"/>
          <w:b w:val="false"/>
          <w:i w:val="false"/>
          <w:color w:val="000000"/>
          <w:sz w:val="22"/>
        </w:rPr>
        <w:t>Road project types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Roadway construction. This project type includes but is not limited to all types of excavation, overhaul, clearing and grubbing, removal of pavement, and culverts included with 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Surfaces. This project type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Hot mix asphalt and Portland cement concrete pavements and overlays on roads, streets and shoulders.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Stabilized bases and granular surfacing on new 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Roadside construction. This project type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Erosion control structures, such as check dams and letdown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Landscape treatments, such as seedbed preparation, seeding, sodding, mulching, fertilizing, and planting of shrubs and trees on newly graded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of shoulders on paved roads and rebuilding or raising entrances due to shoulder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Traffic control. This project type includes but is not limited to installation of major signs, traffic signals, railroad crossing signals, guardrail, roadway lighting, construction signing, and pavement markings on newly paved roads and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Miscellaneous. This project type includes but is not limited to construction, reconstruction, or installation of storm sewers, subdrains, retaining walls, noise barriers, and sidewalks.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178.4(2)</w:t>
      </w:r>
      <w:r>
        <w:rPr>
          <w:rFonts w:ascii="Times New Roman" w:hAnsi="Times New Roman"/>
          <w:b w:val="false"/>
          <w:i w:val="false"/>
          <w:color w:val="000000"/>
          <w:sz w:val="22"/>
        </w:rPr>
        <w:t> </w:t>
      </w:r>
      <w:r>
        <w:rPr>
          <w:rFonts w:ascii="Times New Roman" w:hAnsi="Times New Roman"/>
          <w:b w:val="false"/>
          <w:i/>
          <w:color w:val="000000"/>
          <w:sz w:val="22"/>
        </w:rPr>
        <w:t xml:space="preserve">Contract work. </w:t>
      </w:r>
      <w:r>
        <w:rPr>
          <w:rFonts w:ascii="Times New Roman" w:hAnsi="Times New Roman"/>
          <w:b w:val="false"/>
          <w:i w:val="false"/>
          <w:color w:val="000000"/>
          <w:sz w:val="22"/>
        </w:rPr>
        <w:t>The cost of contract work on a project is the contract price plus additions and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178.4(3)</w:t>
      </w:r>
      <w:r>
        <w:rPr>
          <w:rFonts w:ascii="Times New Roman" w:hAnsi="Times New Roman"/>
          <w:b w:val="false"/>
          <w:i w:val="false"/>
          <w:color w:val="000000"/>
          <w:sz w:val="22"/>
        </w:rPr>
        <w:t> </w:t>
      </w:r>
      <w:r>
        <w:rPr>
          <w:rFonts w:ascii="Times New Roman" w:hAnsi="Times New Roman"/>
          <w:b w:val="false"/>
          <w:i/>
          <w:color w:val="000000"/>
          <w:sz w:val="22"/>
        </w:rPr>
        <w:t xml:space="preserve">Day labor. </w:t>
      </w:r>
      <w:r>
        <w:rPr>
          <w:rFonts w:ascii="Times New Roman" w:hAnsi="Times New Roman"/>
          <w:b w:val="false"/>
          <w:i w:val="false"/>
          <w:color w:val="000000"/>
          <w:sz w:val="22"/>
        </w:rPr>
        <w:t>The cost of day labor on a project includes the following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 </w:t>
      </w:r>
      <w:r>
        <w:rPr>
          <w:rFonts w:ascii="Times New Roman" w:hAnsi="Times New Roman"/>
          <w:b w:val="false"/>
          <w:i w:val="false"/>
          <w:color w:val="000000"/>
          <w:sz w:val="22"/>
        </w:rPr>
        <w:t>Labor cost includes the wages of city or county employees for their time devoted to the project, plus corresponding fringe benefits, such as but not limited to IPERS, FICA,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Equipment cost is calculated based on the equipment used on the project and the time the equipment is used. If an item of equipment is rented or leased, its rental or lease rate may be used to calculate cost. If an item of equipment is not rented or leased, its cost is to be calculated using the standard rate established by the department for that type of equipment or using a city- or county-established rate based on actual expense data. The department establishes equipment rates each year based on the latest “Rental Rate Blue Book for Construction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Materials cost is the cost of materials and supplies consumed or expended on the project. The materials and supplies may be procured directly for the project or charged to the project from stock on hand. The cost of used material is its salvage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Overhead. </w:t>
      </w:r>
      <w:r>
        <w:rPr>
          <w:rFonts w:ascii="Times New Roman" w:hAnsi="Times New Roman"/>
          <w:b w:val="false"/>
          <w:i w:val="false"/>
          <w:color w:val="000000"/>
          <w:sz w:val="22"/>
        </w:rPr>
        <w:t>Overhead cost is the pro rata share of indirect costs to be allocated to day labor projects. Indirect costs are the city’s or county’s road- or street-related costs that cannot be charged directly to any project. The city or county may use its records to calculate the cost of overhead, or it may use a standard overhead rate of 10 percent of the labor cost, excluding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309.22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309.93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312.14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314.1A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2/15/02, Notice 12/26/01—published 3/20/02, effective 7/1/02]</w:t>
      </w:r>
    </w:p>
    <w:p>
      <w:pPr>
        <w:spacing w:before="0" w:after="0"/>
        <w:ind w:left="120"/>
        <w:jc w:val="center"/>
      </w:pPr>
      <w:r>
        <w:rPr>
          <w:rFonts w:ascii="Times New Roman" w:hAnsi="Times New Roman"/>
          <w:b w:val="false"/>
          <w:i w:val="false"/>
          <w:color w:val="000000"/>
          <w:sz w:val="21"/>
        </w:rPr>
        <w:t>[Filed ARC 2425C</w:t>
      </w:r>
      <w:r>
        <w:rPr>
          <w:rFonts w:ascii="Times New Roman" w:hAnsi="Times New Roman"/>
          <w:b w:val="false"/>
          <w:i w:val="false"/>
          <w:color w:val="000000"/>
          <w:sz w:val="21"/>
        </w:rPr>
        <w:t xml:space="preserve"> (Notice ARC 2319C, IAB 12/23/15)</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ARC 9010C</w:t>
      </w:r>
      <w:r>
        <w:rPr>
          <w:rFonts w:ascii="Times New Roman" w:hAnsi="Times New Roman"/>
          <w:b w:val="false"/>
          <w:i w:val="false"/>
          <w:color w:val="000000"/>
          <w:sz w:val="21"/>
        </w:rPr>
        <w:t xml:space="preserve"> (Notice ARC 8388C,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14.1A.pdf" Type="http://schemas.openxmlformats.org/officeDocument/2006/relationships/hyperlink" Id="rId5"/>
    <Relationship TargetMode="External" Target="http://www.iowadot.gov/local_systems" Type="http://schemas.openxmlformats.org/officeDocument/2006/relationships/hyperlink" Id="rId6"/>
    <Relationship TargetMode="External" Target="https://www.legis.iowa.gov/docs/ico/chapter/309.1.pdf" Type="http://schemas.openxmlformats.org/officeDocument/2006/relationships/hyperlink" Id="rId7"/>
    <Relationship TargetMode="External" Target="https://www.legis.iowa.gov/docs/ico/chapter/312.8.pdf" Type="http://schemas.openxmlformats.org/officeDocument/2006/relationships/hyperlink" Id="rId8"/>
    <Relationship TargetMode="External" Target="https://www.legis.iowa.gov/docs/ico/chapter/362.2.pdf" Type="http://schemas.openxmlformats.org/officeDocument/2006/relationships/hyperlink" Id="rId9"/>
    <Relationship TargetMode="External" Target="https://www.legis.iowa.gov/docs/ico/chapter/309.1.pdf" Type="http://schemas.openxmlformats.org/officeDocument/2006/relationships/hyperlink" Id="rId10"/>
    <Relationship TargetMode="External" Target="https://www.legis.iowa.gov/docs/ico/chapter/309.22.pdf" Type="http://schemas.openxmlformats.org/officeDocument/2006/relationships/hyperlink" Id="rId11"/>
    <Relationship TargetMode="External" Target="https://www.legis.iowa.gov/docs/ico/chapter/312.14.pdf" Type="http://schemas.openxmlformats.org/officeDocument/2006/relationships/hyperlink" Id="rId12"/>
    <Relationship TargetMode="External" Target="https://www.legis.iowa.gov/docs/ico/chapter/309.1.pdf" Type="http://schemas.openxmlformats.org/officeDocument/2006/relationships/hyperlink" Id="rId13"/>
    <Relationship TargetMode="External" Target="https://www.legis.iowa.gov/docs/ico/chapter/309.22.pdf" Type="http://schemas.openxmlformats.org/officeDocument/2006/relationships/hyperlink" Id="rId14"/>
    <Relationship TargetMode="External" Target="https://www.legis.iowa.gov/docs/ico/chapter/309.93.pdf" Type="http://schemas.openxmlformats.org/officeDocument/2006/relationships/hyperlink" Id="rId15"/>
    <Relationship TargetMode="External" Target="https://www.legis.iowa.gov/docs/ico/chapter/312.14.pdf" Type="http://schemas.openxmlformats.org/officeDocument/2006/relationships/hyperlink" Id="rId16"/>
    <Relationship TargetMode="External" Target="https://www.legis.iowa.gov/docs/ico/chapter/314.1.pdf" Type="http://schemas.openxmlformats.org/officeDocument/2006/relationships/hyperlink" Id="rId17"/>
    <Relationship TargetMode="External" Target="https://www.legis.iowa.gov/docs/ico/chapter/314.1A.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