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145</w:t>
      </w:r>
    </w:p>
    <w:p>
      <w:pPr>
        <w:spacing w:before="0" w:after="0"/>
        <w:ind w:left="120"/>
        <w:jc w:val="center"/>
      </w:pPr>
      <w:r>
        <w:rPr>
          <w:rFonts w:ascii="Times New Roman" w:hAnsi="Times New Roman"/>
          <w:b w:val="false"/>
          <w:i w:val="false"/>
          <w:color w:val="000000"/>
          <w:sz w:val="21"/>
        </w:rPr>
        <w:t>AUTOMATED TRAFFIC ENFORCEMENT MOBILE SYSTEMS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761—145.1</w:t>
      </w:r>
      <w:r>
        <w:rPr>
          <w:rFonts w:ascii="Times New Roman" w:hAnsi="Times New Roman"/>
          <w:b/>
          <w:i w:val="false"/>
          <w:color w:val="000000"/>
          <w:sz w:val="22"/>
        </w:rPr>
        <w:t xml:space="preserve">(321P)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145.1(1)</w:t>
      </w:r>
      <w:r>
        <w:rPr>
          <w:rFonts w:ascii="Times New Roman" w:hAnsi="Times New Roman"/>
          <w:b w:val="false"/>
          <w:i w:val="false"/>
          <w:color w:val="000000"/>
          <w:sz w:val="22"/>
        </w:rPr>
        <w:t> </w:t>
      </w:r>
      <w:r>
        <w:rPr>
          <w:rFonts w:ascii="Times New Roman" w:hAnsi="Times New Roman"/>
          <w:b w:val="false"/>
          <w:i/>
          <w:color w:val="000000"/>
          <w:sz w:val="22"/>
        </w:rPr>
        <w:t xml:space="preserve">Purpose and applicability. </w:t>
      </w:r>
      <w:r>
        <w:rPr>
          <w:rFonts w:ascii="Times New Roman" w:hAnsi="Times New Roman"/>
          <w:b w:val="false"/>
          <w:i w:val="false"/>
          <w:color w:val="000000"/>
          <w:sz w:val="22"/>
        </w:rPr>
        <w:t>This chapter establishes conditions, procedures, and responsibilities for the use of automated traffic enforcement mobile systems to issue citations for violations of the speed limit. These rules apply to local authorities using or planning to use an automated traffic enforcement mobile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145.1(2)</w:t>
      </w:r>
      <w:r>
        <w:rPr>
          <w:rFonts w:ascii="Times New Roman" w:hAnsi="Times New Roman"/>
          <w:b w:val="false"/>
          <w:i w:val="false"/>
          <w:color w:val="000000"/>
          <w:sz w:val="22"/>
        </w:rPr>
        <w:t> </w:t>
      </w:r>
      <w:r>
        <w:rPr>
          <w:rFonts w:ascii="Times New Roman" w:hAnsi="Times New Roman"/>
          <w:b w:val="false"/>
          <w:i/>
          <w:color w:val="000000"/>
          <w:sz w:val="22"/>
        </w:rPr>
        <w:t xml:space="preserve">Overview.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Mobile systems must comply with Iowa Code chapter </w:t>
      </w:r>
      <w:hyperlink r:id="rId5">
        <w:r>
          <w:rPr>
            <w:rStyle w:val="Hyperlink"/>
            <w:rFonts w:ascii="Times New Roman" w:hAnsi="Times New Roman"/>
            <w:b w:val="false"/>
            <w:i w:val="false"/>
            <w:color w:val="000000"/>
            <w:sz w:val="22"/>
          </w:rPr>
          <w:t>321P</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authority’s use of a mobile system is subject to the population limit identified in Iowa Code section </w:t>
      </w:r>
      <w:hyperlink r:id="rId6">
        <w:r>
          <w:rPr>
            <w:rStyle w:val="Hyperlink"/>
            <w:rFonts w:ascii="Times New Roman" w:hAnsi="Times New Roman"/>
            <w:b w:val="false"/>
            <w:i w:val="false"/>
            <w:color w:val="000000"/>
            <w:sz w:val="22"/>
          </w:rPr>
          <w:t>321P.3(2)</w:t>
        </w:r>
      </w:hyperlink>
      <w:r>
        <w:rPr>
          <w:rFonts w:ascii="Times New Roman" w:hAnsi="Times New Roman"/>
          <w:b w:val="false"/>
          <w:i w:val="false"/>
          <w:color w:val="000000"/>
          <w:sz w:val="22"/>
        </w:rPr>
        <w:t xml:space="preserve">. However, a local authority of any population may use a mobile system to issue warnings in accordance with Iowa Code section </w:t>
      </w:r>
      <w:hyperlink r:id="rId7">
        <w:r>
          <w:rPr>
            <w:rStyle w:val="Hyperlink"/>
            <w:rFonts w:ascii="Times New Roman" w:hAnsi="Times New Roman"/>
            <w:b w:val="false"/>
            <w:i w:val="false"/>
            <w:color w:val="000000"/>
            <w:sz w:val="22"/>
          </w:rPr>
          <w:t>321P.3(3)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a mobile system is limited to locations identified in Iowa Code section </w:t>
      </w:r>
      <w:hyperlink r:id="rId8">
        <w:r>
          <w:rPr>
            <w:rStyle w:val="Hyperlink"/>
            <w:rFonts w:ascii="Times New Roman" w:hAnsi="Times New Roman"/>
            <w:b w:val="false"/>
            <w:i w:val="false"/>
            <w:color w:val="000000"/>
            <w:sz w:val="22"/>
          </w:rPr>
          <w:t>321P.3(2)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Mobile systems are to be situated in a manner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Maintains a safe environment for all road users.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Allows for free passage along the roadway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Minimizes the potential to cause backups or delays.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Does not obstruct the view of other road users or traffic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145.1(3)</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 xml:space="preserve">Information relating to this chapter may be obtained from the Traffic and Safety Bureau, Iowa Department of Transportation, 800 Lincoln Way, Ames, Iowa 50010, or at </w:t>
      </w:r>
      <w:hyperlink r:id="rId9">
        <w:r>
          <w:rPr>
            <w:rStyle w:val="Hyperlink"/>
            <w:rFonts w:ascii="Times New Roman" w:hAnsi="Times New Roman"/>
            <w:b w:val="false"/>
            <w:i w:val="false"/>
            <w:color w:val="000000"/>
            <w:sz w:val="22"/>
            <w:u w:val="single"/>
          </w:rPr>
          <w:t>www.iowadot.gov/traffic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10">
        <w:r>
          <w:rPr>
            <w:rStyle w:val="Hyperlink"/>
            <w:rFonts w:ascii="Times New Roman" w:hAnsi="Times New Roman"/>
            <w:b w:val="false"/>
            <w:i w:val="false"/>
            <w:color w:val="000000"/>
            <w:sz w:val="22"/>
          </w:rPr>
          <w:t>321P.1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“Automated traffic enforcement mobile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“mobile system” </w:t>
      </w:r>
      <w:r>
        <w:rPr>
          <w:rFonts w:ascii="Times New Roman" w:hAnsi="Times New Roman"/>
          <w:b w:val="false"/>
          <w:i w:val="false"/>
          <w:color w:val="000000"/>
          <w:sz w:val="22"/>
        </w:rPr>
        <w:t>means a vehicle, trailer, or other portable apparatus containing one or more automated or remote systems for traffic law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road” </w:t>
      </w:r>
      <w:r>
        <w:rPr>
          <w:rFonts w:ascii="Times New Roman" w:hAnsi="Times New Roman"/>
          <w:b w:val="false"/>
          <w:i w:val="false"/>
          <w:color w:val="000000"/>
          <w:sz w:val="22"/>
        </w:rPr>
        <w:t xml:space="preserve">means the same as “interstate roads” as defined in Iowa Code section </w:t>
      </w:r>
      <w:hyperlink r:id="rId11">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means a street address, a block number, an intersection, or a mile marker and includes the direction of traffic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road” </w:t>
      </w:r>
      <w:r>
        <w:rPr>
          <w:rFonts w:ascii="Times New Roman" w:hAnsi="Times New Roman"/>
          <w:b w:val="false"/>
          <w:i w:val="false"/>
          <w:color w:val="000000"/>
          <w:sz w:val="22"/>
        </w:rPr>
        <w:t xml:space="preserve">means the same as “primary roads” as defined in Iowa Code section </w:t>
      </w:r>
      <w:hyperlink r:id="rId12">
        <w:r>
          <w:rPr>
            <w:rStyle w:val="Hyperlink"/>
            <w:rFonts w:ascii="Times New Roman" w:hAnsi="Times New Roman"/>
            <w:b w:val="false"/>
            <w:i w:val="false"/>
            <w:color w:val="000000"/>
            <w:sz w:val="22"/>
          </w:rPr>
          <w:t>306.3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761—145.2</w:t>
      </w:r>
      <w:r>
        <w:rPr>
          <w:rFonts w:ascii="Times New Roman" w:hAnsi="Times New Roman"/>
          <w:b/>
          <w:i w:val="false"/>
          <w:color w:val="000000"/>
          <w:sz w:val="22"/>
        </w:rPr>
        <w:t xml:space="preserve">(321P) </w:t>
      </w:r>
      <w:r>
        <w:rPr>
          <w:rFonts w:ascii="Times New Roman" w:hAnsi="Times New Roman"/>
          <w:b/>
          <w:i w:val="false"/>
          <w:color w:val="000000"/>
          <w:sz w:val="22"/>
        </w:rPr>
        <w:t xml:space="preserve">Conditions for mobile systems.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when used in a construction zone, a mobile system shall not be placed or parked: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Less than 15 feet from any traffic lane of an interstate road unless shielded by a crashworthy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 the outside shoulder of any non-interstate primary road for longer than 72 hours unless shielded by a crashworthy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Within the median or on the inside shoulder of any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Less than two feet behind the back of a curb on any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Less than two feet from the edge of any traffic lane on any road.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used in a construction zone, a mobile system shall be shielded by a crashworthy barrier unless it is placed or parked more than 15 feet from any active traffic lane.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145.2(2)</w:t>
      </w:r>
      <w:r>
        <w:rPr>
          <w:rFonts w:ascii="Times New Roman" w:hAnsi="Times New Roman"/>
          <w:b w:val="false"/>
          <w:i w:val="false"/>
          <w:color w:val="000000"/>
          <w:sz w:val="22"/>
        </w:rPr>
        <w:t> </w:t>
      </w:r>
      <w:r>
        <w:rPr>
          <w:rFonts w:ascii="Times New Roman" w:hAnsi="Times New Roman"/>
          <w:b w:val="false"/>
          <w:i/>
          <w:color w:val="000000"/>
          <w:sz w:val="22"/>
        </w:rPr>
        <w:t xml:space="preserve">Duration of use. </w:t>
      </w:r>
      <w:r>
        <w:rPr>
          <w:rFonts w:ascii="Times New Roman" w:hAnsi="Times New Roman"/>
          <w:b w:val="false"/>
          <w:i w:val="false"/>
          <w:color w:val="000000"/>
          <w:sz w:val="22"/>
        </w:rPr>
        <w:t xml:space="preserve">Except when used in a construction zone, a mobile system shall not be used in one location for longer than three consecutive weeks or be used in one location for more than 21 days in any 45-day period. When used in a construction zone, a mobile system may be used in one location for the duration of construction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145.2(3)</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A local authority operating a mobile system shall provide information regarding where and when a mobile system will be used on the local authority’s Internet site or social media outlets.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145.2(4)</w:t>
      </w:r>
      <w:r>
        <w:rPr>
          <w:rFonts w:ascii="Times New Roman" w:hAnsi="Times New Roman"/>
          <w:b w:val="false"/>
          <w:i w:val="false"/>
          <w:color w:val="000000"/>
          <w:sz w:val="22"/>
        </w:rPr>
        <w:t> </w:t>
      </w:r>
      <w:r>
        <w:rPr>
          <w:rFonts w:ascii="Times New Roman" w:hAnsi="Times New Roman"/>
          <w:b w:val="false"/>
          <w:i/>
          <w:color w:val="000000"/>
          <w:sz w:val="22"/>
        </w:rPr>
        <w:t xml:space="preserve">Vehicles and trailers. </w:t>
      </w:r>
      <w:r>
        <w:rPr>
          <w:rFonts w:ascii="Times New Roman" w:hAnsi="Times New Roman"/>
          <w:b w:val="false"/>
          <w:i w:val="false"/>
          <w:color w:val="000000"/>
          <w:sz w:val="22"/>
        </w:rPr>
        <w:t>A vehicle or trailer used as a mobile system shall be operated by a law enforcement agency, marked with distinguishing decals, and identified by a distinguishing license plate affixed to the vehicle or trailer.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761—145.3</w:t>
      </w:r>
      <w:r>
        <w:rPr>
          <w:rFonts w:ascii="Times New Roman" w:hAnsi="Times New Roman"/>
          <w:b/>
          <w:i w:val="false"/>
          <w:color w:val="000000"/>
          <w:sz w:val="22"/>
        </w:rPr>
        <w:t xml:space="preserve">(321P) </w:t>
      </w:r>
      <w:r>
        <w:rPr>
          <w:rFonts w:ascii="Times New Roman" w:hAnsi="Times New Roman"/>
          <w:b/>
          <w:i w:val="false"/>
          <w:color w:val="000000"/>
          <w:sz w:val="22"/>
        </w:rPr>
        <w:t xml:space="preserve">Permitting.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145.3(1)</w:t>
      </w:r>
      <w:r>
        <w:rPr>
          <w:rFonts w:ascii="Times New Roman" w:hAnsi="Times New Roman"/>
          <w:b w:val="false"/>
          <w:i w:val="false"/>
          <w:color w:val="000000"/>
          <w:sz w:val="22"/>
        </w:rPr>
        <w:t> </w:t>
      </w:r>
      <w:r>
        <w:rPr>
          <w:rFonts w:ascii="Times New Roman" w:hAnsi="Times New Roman"/>
          <w:b w:val="false"/>
          <w:i/>
          <w:color w:val="000000"/>
          <w:sz w:val="22"/>
        </w:rPr>
        <w:t xml:space="preserve">Initial permit. </w:t>
      </w:r>
      <w:r>
        <w:rPr>
          <w:rFonts w:ascii="Times New Roman" w:hAnsi="Times New Roman"/>
          <w:b w:val="false"/>
          <w:i w:val="false"/>
          <w:color w:val="000000"/>
          <w:sz w:val="22"/>
        </w:rPr>
        <w:t xml:space="preserve">A local authority may apply for a permit by submitting a request to the department, following the procedure outlined in Iowa Code section </w:t>
      </w:r>
      <w:hyperlink r:id="rId13">
        <w:r>
          <w:rPr>
            <w:rStyle w:val="Hyperlink"/>
            <w:rFonts w:ascii="Times New Roman" w:hAnsi="Times New Roman"/>
            <w:b w:val="false"/>
            <w:i w:val="false"/>
            <w:color w:val="000000"/>
            <w:sz w:val="22"/>
          </w:rPr>
          <w:t>321P.2(2)</w:t>
        </w:r>
      </w:hyperlink>
      <w:r>
        <w:rPr>
          <w:rFonts w:ascii="Times New Roman" w:hAnsi="Times New Roman"/>
          <w:b w:val="false"/>
          <w:i w:val="false"/>
          <w:color w:val="000000"/>
          <w:sz w:val="22"/>
        </w:rPr>
        <w:t>, for each location where a mobile system is proposed to be used. The department will not issue an initial permit before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145.3(2)</w:t>
      </w:r>
      <w:r>
        <w:rPr>
          <w:rFonts w:ascii="Times New Roman" w:hAnsi="Times New Roman"/>
          <w:b w:val="false"/>
          <w:i w:val="false"/>
          <w:color w:val="000000"/>
          <w:sz w:val="22"/>
        </w:rPr>
        <w:t> </w:t>
      </w:r>
      <w:r>
        <w:rPr>
          <w:rFonts w:ascii="Times New Roman" w:hAnsi="Times New Roman"/>
          <w:b w:val="false"/>
          <w:i/>
          <w:color w:val="000000"/>
          <w:sz w:val="22"/>
        </w:rPr>
        <w:t xml:space="preserve">Updating an existing permit. </w:t>
      </w:r>
      <w:r>
        <w:rPr>
          <w:rFonts w:ascii="Times New Roman" w:hAnsi="Times New Roman"/>
          <w:b w:val="false"/>
          <w:i w:val="false"/>
          <w:color w:val="000000"/>
          <w:sz w:val="22"/>
        </w:rPr>
        <w:t xml:space="preserve">A local authority holding a permit may apply to update the permit with one or more additional locations by submitting a request to the department, following the procedure outlined in Iowa Code section </w:t>
      </w:r>
      <w:hyperlink r:id="rId14">
        <w:r>
          <w:rPr>
            <w:rStyle w:val="Hyperlink"/>
            <w:rFonts w:ascii="Times New Roman" w:hAnsi="Times New Roman"/>
            <w:b w:val="false"/>
            <w:i w:val="false"/>
            <w:color w:val="000000"/>
            <w:sz w:val="22"/>
          </w:rPr>
          <w:t>321P.2(2)</w:t>
        </w:r>
      </w:hyperlink>
      <w:r>
        <w:rPr>
          <w:rFonts w:ascii="Times New Roman" w:hAnsi="Times New Roman"/>
          <w:b w:val="false"/>
          <w:i w:val="false"/>
          <w:color w:val="000000"/>
          <w:sz w:val="22"/>
        </w:rPr>
        <w:t xml:space="preserve">, for each location where a mobile system is proposed to be used.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 will review the application within 180 days of receipt and will approve or deny each requested location based on the department’s determination that use of a mobile system is appropriate, necessary, and the least restrictive means to address the critical traffic safety issues at that location. Incomplete applications will be returned to the applicant. If approval is granted, the department will issue a permit listing all approved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145.3(4)</w:t>
      </w:r>
      <w:r>
        <w:rPr>
          <w:rFonts w:ascii="Times New Roman" w:hAnsi="Times New Roman"/>
          <w:b w:val="false"/>
          <w:i w:val="false"/>
          <w:color w:val="000000"/>
          <w:sz w:val="22"/>
        </w:rPr>
        <w:t> </w:t>
      </w:r>
      <w:r>
        <w:rPr>
          <w:rFonts w:ascii="Times New Roman" w:hAnsi="Times New Roman"/>
          <w:b w:val="false"/>
          <w:i/>
          <w:color w:val="000000"/>
          <w:sz w:val="22"/>
        </w:rPr>
        <w:t xml:space="preserve">Exception for warnings. </w:t>
      </w:r>
      <w:r>
        <w:rPr>
          <w:rFonts w:ascii="Times New Roman" w:hAnsi="Times New Roman"/>
          <w:b w:val="false"/>
          <w:i w:val="false"/>
          <w:color w:val="000000"/>
          <w:sz w:val="22"/>
        </w:rPr>
        <w:t>Use of a mobile system at a location solely for the issuance of warnings does not require a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761—145.4</w:t>
      </w:r>
      <w:r>
        <w:rPr>
          <w:rFonts w:ascii="Times New Roman" w:hAnsi="Times New Roman"/>
          <w:b/>
          <w:i w:val="false"/>
          <w:color w:val="000000"/>
          <w:sz w:val="22"/>
        </w:rPr>
        <w:t xml:space="preserve">(321P) </w:t>
      </w:r>
      <w:r>
        <w:rPr>
          <w:rFonts w:ascii="Times New Roman" w:hAnsi="Times New Roman"/>
          <w:b/>
          <w:i w:val="false"/>
          <w:color w:val="000000"/>
          <w:sz w:val="22"/>
        </w:rPr>
        <w:t xml:space="preserve">Annual report.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authority using a mobile system shall submit to the department and post an annual report as described in Iowa Code section </w:t>
      </w:r>
      <w:hyperlink r:id="rId15">
        <w:r>
          <w:rPr>
            <w:rStyle w:val="Hyperlink"/>
            <w:rFonts w:ascii="Times New Roman" w:hAnsi="Times New Roman"/>
            <w:b w:val="false"/>
            <w:i w:val="false"/>
            <w:color w:val="000000"/>
            <w:sz w:val="22"/>
          </w:rPr>
          <w:t>321P.5(2)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145.4(2)</w:t>
      </w:r>
      <w:r>
        <w:rPr>
          <w:rFonts w:ascii="Times New Roman" w:hAnsi="Times New Roman"/>
          <w:b w:val="false"/>
          <w:i w:val="false"/>
          <w:color w:val="000000"/>
          <w:sz w:val="22"/>
        </w:rPr>
        <w:t> </w:t>
      </w:r>
      <w:r>
        <w:rPr>
          <w:rFonts w:ascii="Times New Roman" w:hAnsi="Times New Roman"/>
          <w:b w:val="false"/>
          <w:i w:val="false"/>
          <w:color w:val="000000"/>
          <w:sz w:val="22"/>
        </w:rPr>
        <w:t>The report must also include the following information from the previous calendar year for each location listed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Number of days the mobile system was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Count of all vehicles traveling past the mobile system while it was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Speed distribution data for all vehicles traveling past the mobile system while it was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any changes in traffic patterns, roadway infrastructure, zoning, or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of any other safety countermeasures that have been implemented.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761—145.5</w:t>
      </w:r>
      <w:r>
        <w:rPr>
          <w:rFonts w:ascii="Times New Roman" w:hAnsi="Times New Roman"/>
          <w:b/>
          <w:i w:val="false"/>
          <w:color w:val="000000"/>
          <w:sz w:val="22"/>
        </w:rPr>
        <w:t xml:space="preserve">(321P) </w:t>
      </w:r>
      <w:r>
        <w:rPr>
          <w:rFonts w:ascii="Times New Roman" w:hAnsi="Times New Roman"/>
          <w:b/>
          <w:i w:val="false"/>
          <w:color w:val="000000"/>
          <w:sz w:val="22"/>
        </w:rPr>
        <w:t xml:space="preserve">Continued use of mobile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145.5(1)</w:t>
      </w:r>
      <w:r>
        <w:rPr>
          <w:rFonts w:ascii="Times New Roman" w:hAnsi="Times New Roman"/>
          <w:b w:val="false"/>
          <w:i w:val="false"/>
          <w:color w:val="000000"/>
          <w:sz w:val="22"/>
        </w:rPr>
        <w:t> </w:t>
      </w:r>
      <w:r>
        <w:rPr>
          <w:rFonts w:ascii="Times New Roman" w:hAnsi="Times New Roman"/>
          <w:b w:val="false"/>
          <w:i/>
          <w:color w:val="000000"/>
          <w:sz w:val="22"/>
        </w:rPr>
        <w:t xml:space="preserve">Reevaluation. </w:t>
      </w:r>
      <w:r>
        <w:rPr>
          <w:rFonts w:ascii="Times New Roman" w:hAnsi="Times New Roman"/>
          <w:b w:val="false"/>
          <w:i w:val="false"/>
          <w:color w:val="000000"/>
          <w:sz w:val="22"/>
        </w:rPr>
        <w:t xml:space="preserve">The department will utilize information collected from the annual report to assist in annually evaluating the ongoing need for a mobile system at each location listed in the permit. Continued approval of each location will be contingent on the effectiveness of the mobile system in addressing the critical traffic safety issues and the local authority’s compliance with these rules and Iowa Code chapter </w:t>
      </w:r>
      <w:hyperlink r:id="rId16">
        <w:r>
          <w:rPr>
            <w:rStyle w:val="Hyperlink"/>
            <w:rFonts w:ascii="Times New Roman" w:hAnsi="Times New Roman"/>
            <w:b w:val="false"/>
            <w:i w:val="false"/>
            <w:color w:val="000000"/>
            <w:sz w:val="22"/>
          </w:rPr>
          <w:t>321P</w:t>
        </w:r>
      </w:hyperlink>
      <w:r>
        <w:rPr>
          <w:rFonts w:ascii="Times New Roman" w:hAnsi="Times New Roman"/>
          <w:b w:val="false"/>
          <w:i w:val="false"/>
          <w:color w:val="000000"/>
          <w:sz w:val="22"/>
        </w:rPr>
        <w:t>. The department may also consider the following factors in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Changes in traffic speeds, volumes, or patterns.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Changes in roadway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Changes in zoning or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or consideration of other safety countermeasures.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administration of the mobile system by the local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145.5(2)</w:t>
      </w:r>
      <w:r>
        <w:rPr>
          <w:rFonts w:ascii="Times New Roman" w:hAnsi="Times New Roman"/>
          <w:b w:val="false"/>
          <w:i w:val="false"/>
          <w:color w:val="000000"/>
          <w:sz w:val="22"/>
        </w:rPr>
        <w:t> </w:t>
      </w:r>
      <w:r>
        <w:rPr>
          <w:rFonts w:ascii="Times New Roman" w:hAnsi="Times New Roman"/>
          <w:b w:val="false"/>
          <w:i/>
          <w:color w:val="000000"/>
          <w:sz w:val="22"/>
        </w:rPr>
        <w:t xml:space="preserve">Reserve the right. </w:t>
      </w:r>
      <w:r>
        <w:rPr>
          <w:rFonts w:ascii="Times New Roman" w:hAnsi="Times New Roman"/>
          <w:b w:val="false"/>
          <w:i w:val="false"/>
          <w:color w:val="000000"/>
          <w:sz w:val="22"/>
        </w:rPr>
        <w:t>The department reserves the right to rescind a permit, remove a mobile location from a permit, or require modification of a mobile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145.5(3)</w:t>
      </w:r>
      <w:r>
        <w:rPr>
          <w:rFonts w:ascii="Times New Roman" w:hAnsi="Times New Roman"/>
          <w:b w:val="false"/>
          <w:i w:val="false"/>
          <w:color w:val="000000"/>
          <w:sz w:val="22"/>
        </w:rPr>
        <w:t> </w:t>
      </w:r>
      <w:r>
        <w:rPr>
          <w:rFonts w:ascii="Times New Roman" w:hAnsi="Times New Roman"/>
          <w:b w:val="false"/>
          <w:i/>
          <w:color w:val="000000"/>
          <w:sz w:val="22"/>
        </w:rPr>
        <w:t xml:space="preserve">Continued use. </w:t>
      </w:r>
      <w:r>
        <w:rPr>
          <w:rFonts w:ascii="Times New Roman" w:hAnsi="Times New Roman"/>
          <w:b w:val="false"/>
          <w:i w:val="false"/>
          <w:color w:val="000000"/>
          <w:sz w:val="22"/>
        </w:rPr>
        <w:t xml:space="preserve">A local authority may continue to operate a mobile system at a location listed in the original permit until five days after the date the department rescinds the permit or amends the permit to remove the mobile location.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761—145.6</w:t>
      </w:r>
      <w:r>
        <w:rPr>
          <w:rFonts w:ascii="Times New Roman" w:hAnsi="Times New Roman"/>
          <w:b/>
          <w:i w:val="false"/>
          <w:color w:val="000000"/>
          <w:sz w:val="22"/>
        </w:rPr>
        <w:t xml:space="preserve">(321P) </w:t>
      </w:r>
      <w:r>
        <w:rPr>
          <w:rFonts w:ascii="Times New Roman" w:hAnsi="Times New Roman"/>
          <w:b/>
          <w:i w:val="false"/>
          <w:color w:val="000000"/>
          <w:sz w:val="22"/>
        </w:rPr>
        <w:t xml:space="preserve">Appeal process. </w:t>
      </w:r>
      <w:r>
        <w:rPr>
          <w:rFonts w:ascii="Times New Roman" w:hAnsi="Times New Roman"/>
          <w:b w:val="false"/>
          <w:i w:val="false"/>
          <w:color w:val="000000"/>
          <w:sz w:val="22"/>
        </w:rPr>
        <w:t>A local authority may appeal a decision made by the department under this chapter by submitting a written explanation of the issues for appeal and any supporting information to the director of transportation or director’s designee (director). Once the director receives the appeal, the department will schedule a contested case hearing within 45 days. The decision by the department’s presiding officer is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9144C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321P</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9144C</w:t>
      </w:r>
      <w:r>
        <w:rPr>
          <w:rFonts w:ascii="Times New Roman" w:hAnsi="Times New Roman"/>
          <w:b w:val="false"/>
          <w:i w:val="false"/>
          <w:color w:val="000000"/>
          <w:sz w:val="21"/>
        </w:rPr>
        <w:t xml:space="preserve"> (Notice ARC 8740C, IAB 1/8/25)</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P.pdf" Type="http://schemas.openxmlformats.org/officeDocument/2006/relationships/hyperlink" Id="rId5"/>
    <Relationship TargetMode="External" Target="https://www.legis.iowa.gov/docs/ico/chapter/321P.3.pdf" Type="http://schemas.openxmlformats.org/officeDocument/2006/relationships/hyperlink" Id="rId6"/>
    <Relationship TargetMode="External" Target="https://www.legis.iowa.gov/docs/ico/chapter/321P.3.pdf" Type="http://schemas.openxmlformats.org/officeDocument/2006/relationships/hyperlink" Id="rId7"/>
    <Relationship TargetMode="External" Target="https://www.legis.iowa.gov/docs/ico/chapter/321P.3.pdf" Type="http://schemas.openxmlformats.org/officeDocument/2006/relationships/hyperlink" Id="rId8"/>
    <Relationship TargetMode="External" Target="http://www.iowadot.gov/traffic" Type="http://schemas.openxmlformats.org/officeDocument/2006/relationships/hyperlink" Id="rId9"/>
    <Relationship TargetMode="External" Target="https://www.legis.iowa.gov/docs/ico/chapter/321P.1.pdf" Type="http://schemas.openxmlformats.org/officeDocument/2006/relationships/hyperlink" Id="rId10"/>
    <Relationship TargetMode="External" Target="https://www.legis.iowa.gov/docs/ico/chapter/306.3.pdf" Type="http://schemas.openxmlformats.org/officeDocument/2006/relationships/hyperlink" Id="rId11"/>
    <Relationship TargetMode="External" Target="https://www.legis.iowa.gov/docs/ico/chapter/306.3.pdf" Type="http://schemas.openxmlformats.org/officeDocument/2006/relationships/hyperlink" Id="rId12"/>
    <Relationship TargetMode="External" Target="https://www.legis.iowa.gov/docs/ico/chapter/321P.2.pdf" Type="http://schemas.openxmlformats.org/officeDocument/2006/relationships/hyperlink" Id="rId13"/>
    <Relationship TargetMode="External" Target="https://www.legis.iowa.gov/docs/ico/chapter/321P.2.pdf" Type="http://schemas.openxmlformats.org/officeDocument/2006/relationships/hyperlink" Id="rId14"/>
    <Relationship TargetMode="External" Target="https://www.legis.iowa.gov/docs/ico/chapter/321P.5.pdf" Type="http://schemas.openxmlformats.org/officeDocument/2006/relationships/hyperlink" Id="rId15"/>
    <Relationship TargetMode="External" Target="https://www.legis.iowa.gov/docs/ico/chapter/321P.pdf" Type="http://schemas.openxmlformats.org/officeDocument/2006/relationships/hyperlink" Id="rId16"/>
    <Relationship TargetMode="External" Target="https://www.legis.iowa.gov/docs/ico/chapter/321P.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