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SIGNING FOR IOWA MEDAL OF HONOR HIGHWAY</w:t>
      </w:r>
    </w:p>
    <w:p>
      <w:pPr>
        <w:spacing w:before="0" w:after="0"/>
        <w:ind w:left="120"/>
        <w:jc w:val="center"/>
      </w:pPr>
      <w:r>
        <w:rPr>
          <w:rFonts w:ascii="Times New Roman" w:hAnsi="Times New Roman"/>
          <w:b w:val="false"/>
          <w:i w:val="false"/>
          <w:color w:val="000000"/>
          <w:sz w:val="14"/>
        </w:rPr>
        <w:t>[Prior to 6/3/87, Transportation Department[820]—(06,K)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761—131.1</w:t>
      </w:r>
      <w:r>
        <w:rPr>
          <w:rFonts w:ascii="Times New Roman" w:hAnsi="Times New Roman"/>
          <w:b/>
          <w:i w:val="false"/>
          <w:color w:val="000000"/>
          <w:sz w:val="22"/>
        </w:rPr>
        <w:t xml:space="preserve">(314)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 xml:space="preserve">Information regarding the signing addressed in this chapter is available from: Traffic and Safety Bureau, Iowa Department of Transportation, 800 Lincoln Way, Ames, Iowa 50010. Submissions to the traffic and safety bureau may also be sent or delivered to this address. Additional information and guidance may be found at </w:t>
      </w:r>
      <w:hyperlink r:id="rId5">
        <w:r>
          <w:rPr>
            <w:rStyle w:val="Hyperlink"/>
            <w:rFonts w:ascii="Times New Roman" w:hAnsi="Times New Roman"/>
            <w:b w:val="false"/>
            <w:i w:val="false"/>
            <w:color w:val="000000"/>
            <w:sz w:val="22"/>
            <w:u w:val="single"/>
          </w:rPr>
          <w:t>www.iowadot.gov/traffic/Library/Traffic-and-Safety-Manual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761—131.2</w:t>
      </w:r>
      <w:r>
        <w:rPr>
          <w:rFonts w:ascii="Times New Roman" w:hAnsi="Times New Roman"/>
          <w:b/>
          <w:i w:val="false"/>
          <w:color w:val="000000"/>
          <w:sz w:val="22"/>
        </w:rPr>
        <w:t xml:space="preserve">(314) </w:t>
      </w:r>
      <w:r>
        <w:rPr>
          <w:rFonts w:ascii="Times New Roman" w:hAnsi="Times New Roman"/>
          <w:b/>
          <w:i w:val="false"/>
          <w:color w:val="000000"/>
          <w:sz w:val="22"/>
        </w:rPr>
        <w:t xml:space="preserve">Signing. </w:t>
      </w:r>
      <w:r>
        <w:rPr>
          <w:rFonts w:ascii="Times New Roman" w:hAnsi="Times New Roman"/>
          <w:b w:val="false"/>
          <w:i w:val="false"/>
          <w:color w:val="000000"/>
          <w:sz w:val="22"/>
        </w:rPr>
        <w:t>This rule establishes the conditions and procedures for private entities to purchase and pay for the installation of signs designating the Iowa medal of honor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medal of honor highway” </w:t>
      </w:r>
      <w:r>
        <w:rPr>
          <w:rFonts w:ascii="Times New Roman" w:hAnsi="Times New Roman"/>
          <w:b w:val="false"/>
          <w:i w:val="false"/>
          <w:color w:val="000000"/>
          <w:sz w:val="22"/>
        </w:rPr>
        <w:t>means the segment of the highway known as United States Highway 20, as designated as of June 17, 2020, that crosses this state from Sioux City to Dubuque.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signs within the highway right-of-way is limited to one sign at each end of the Iowa medal of honor highway for traffic entering the state and one sign at each entry point of the corporate limits of each city through which the Iowa medal of honor highway passes.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sign is to match the design approved and provided by the department, and the sign materials are to comply with departmental standard specifications as they exist at the time of fabrication. The departmental standard specifications can be found on the department’s electronic reference library at </w:t>
      </w:r>
      <w:hyperlink r:id="rId6">
        <w:r>
          <w:rPr>
            <w:rStyle w:val="Hyperlink"/>
            <w:rFonts w:ascii="Times New Roman" w:hAnsi="Times New Roman"/>
            <w:b w:val="false"/>
            <w:i w:val="false"/>
            <w:color w:val="000000"/>
            <w:sz w:val="22"/>
            <w:u w:val="single"/>
          </w:rPr>
          <w:t>www.iowadot.gov/erl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Once signs are installed at one of the approved locations, no additional requests will be accepted for that location. When signs have been installed at all locations identified in paragraph </w:t>
      </w:r>
      <w:hyperlink r:id="rId7">
        <w:r>
          <w:rPr>
            <w:rStyle w:val="Hyperlink"/>
            <w:rFonts w:ascii="Times New Roman" w:hAnsi="Times New Roman"/>
            <w:b w:val="false"/>
            <w:i w:val="false"/>
            <w:color w:val="000000"/>
            <w:sz w:val="22"/>
          </w:rPr>
          <w:t>131.2(2)</w:t>
        </w:r>
      </w:hyperlink>
      <w:r>
        <w:rPr>
          <w:rFonts w:ascii="Times New Roman" w:hAnsi="Times New Roman"/>
          <w:b w:val="false"/>
          <w:i/>
          <w:color w:val="000000"/>
          <w:sz w:val="22"/>
        </w:rPr>
        <w:t>“a,”</w:t>
      </w:r>
      <w:r>
        <w:rPr>
          <w:rFonts w:ascii="Times New Roman" w:hAnsi="Times New Roman"/>
          <w:b w:val="false"/>
          <w:i w:val="false"/>
          <w:color w:val="000000"/>
          <w:sz w:val="22"/>
        </w:rPr>
        <w:t xml:space="preserve"> no further requests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may purchase a sign from the department’s sign shop or from a private sign fabricator. If an applicant chooses to obtain a sign from a private sign fabricator, the department will furnish the sign design and approve the construction prior to purchase. The department will also inspect the sign as stated in subrule </w:t>
      </w:r>
      <w:hyperlink r:id="rId8">
        <w:r>
          <w:rPr>
            <w:rStyle w:val="Hyperlink"/>
            <w:rFonts w:ascii="Times New Roman" w:hAnsi="Times New Roman"/>
            <w:b w:val="false"/>
            <w:i w:val="false"/>
            <w:color w:val="000000"/>
            <w:sz w:val="22"/>
          </w:rPr>
          <w:t>131.2(5)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Signs designating the Iowa medal of honor highway are furnished and paid for by the applicants, including any replacements needed due to sign deterioration or damage. Each applicant is responsible for providing the traffic and safety bureau with the applicant’s current contact information so the applicant can be contacted when a replacement sign is needed. Failure to provide current information may result in removal of all signs the applicant purchased. This would allow a new private entity to sponsor the signing.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responsible for the cost to install the sign, including the posts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install the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Requests to purchase or install a sign are submitted to the traffic and safety bureau and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where the sign is to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the sign will be purchased from the department or from a private sign fabricator.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If the request complies with this rule, the traffic and safety bureau will respond to the applicant with approval of the proposed location or modified location and an estimate of the costs for the sign and installation. Following inspection of the sign in compliance with subrule </w:t>
      </w:r>
      <w:hyperlink r:id="rId9">
        <w:r>
          <w:rPr>
            <w:rStyle w:val="Hyperlink"/>
            <w:rFonts w:ascii="Times New Roman" w:hAnsi="Times New Roman"/>
            <w:b w:val="false"/>
            <w:i w:val="false"/>
            <w:color w:val="000000"/>
            <w:sz w:val="22"/>
          </w:rPr>
          <w:t>131.2(5)</w:t>
        </w:r>
      </w:hyperlink>
      <w:r>
        <w:rPr>
          <w:rFonts w:ascii="Times New Roman" w:hAnsi="Times New Roman"/>
          <w:b w:val="false"/>
          <w:i w:val="false"/>
          <w:color w:val="000000"/>
          <w:sz w:val="22"/>
        </w:rPr>
        <w:t>, the department will install the sign and bill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131.2(5)</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If a sign is not purchased from the department’s sign shop, the applicant is to deliver the sign to the department’s sign shop for inspection. Upon receipt of the sign, the department will inspect the sign for compliance with the approved sign design and departmental specifications and notify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314.31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without Notice 11/23/76—published 12/15/76, effective 1/19/77]</w:t>
      </w:r>
    </w:p>
    <w:p>
      <w:pPr>
        <w:spacing w:before="0" w:after="0"/>
        <w:ind w:left="120"/>
        <w:jc w:val="center"/>
      </w:pPr>
      <w:r>
        <w:rPr>
          <w:rFonts w:ascii="Times New Roman" w:hAnsi="Times New Roman"/>
          <w:b w:val="false"/>
          <w:i w:val="false"/>
          <w:color w:val="000000"/>
          <w:sz w:val="21"/>
        </w:rPr>
        <w:t>[Filed 2/11/77, Notice 12/29/76—published 3/9/77, effective 4/13/77]</w:t>
      </w:r>
    </w:p>
    <w:p>
      <w:pPr>
        <w:spacing w:before="0" w:after="0"/>
        <w:ind w:left="120"/>
        <w:jc w:val="center"/>
      </w:pPr>
      <w:r>
        <w:rPr>
          <w:rFonts w:ascii="Times New Roman" w:hAnsi="Times New Roman"/>
          <w:b w:val="false"/>
          <w:i w:val="false"/>
          <w:color w:val="000000"/>
          <w:sz w:val="21"/>
        </w:rPr>
        <w:t>[Filed emergency 4/26/77—published 5/18/77, effective 5/18/77]</w:t>
      </w:r>
    </w:p>
    <w:p>
      <w:pPr>
        <w:spacing w:before="0" w:after="0"/>
        <w:ind w:left="120"/>
        <w:jc w:val="center"/>
      </w:pPr>
      <w:r>
        <w:rPr>
          <w:rFonts w:ascii="Times New Roman" w:hAnsi="Times New Roman"/>
          <w:b w:val="false"/>
          <w:i w:val="false"/>
          <w:color w:val="000000"/>
          <w:sz w:val="21"/>
        </w:rPr>
        <w:t>[Filed without Notice 11/21/77—published 12/14/77, effective 1/18/78]</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7/13/88—published 8/10/88, effective 7/13/88]</w:t>
      </w:r>
    </w:p>
    <w:p>
      <w:pPr>
        <w:spacing w:before="0" w:after="0"/>
        <w:ind w:left="120"/>
        <w:jc w:val="center"/>
      </w:pPr>
      <w:r>
        <w:rPr>
          <w:rFonts w:ascii="Times New Roman" w:hAnsi="Times New Roman"/>
          <w:b w:val="false"/>
          <w:i w:val="false"/>
          <w:color w:val="000000"/>
          <w:sz w:val="21"/>
        </w:rPr>
        <w:t>[Filed 4/3/91, Notice 2/20/91—published 5/1/91, effective 6/5/91]</w:t>
      </w:r>
    </w:p>
    <w:p>
      <w:pPr>
        <w:spacing w:before="0" w:after="0"/>
        <w:ind w:left="120"/>
        <w:jc w:val="center"/>
      </w:pPr>
      <w:r>
        <w:rPr>
          <w:rFonts w:ascii="Times New Roman" w:hAnsi="Times New Roman"/>
          <w:b w:val="false"/>
          <w:i w:val="false"/>
          <w:color w:val="000000"/>
          <w:sz w:val="21"/>
        </w:rPr>
        <w:t>[Filed 10/4/96, Notice 7/31/96—published 10/23/96, effective 11/27/96]</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9/16/03, Notice 7/9/03—published 10/15/03, effective 11/19/03]</w:t>
      </w:r>
    </w:p>
    <w:p>
      <w:pPr>
        <w:spacing w:before="0" w:after="0"/>
        <w:ind w:left="120"/>
        <w:jc w:val="center"/>
      </w:pPr>
      <w:r>
        <w:rPr>
          <w:rFonts w:ascii="Times New Roman" w:hAnsi="Times New Roman"/>
          <w:b w:val="false"/>
          <w:i w:val="false"/>
          <w:color w:val="000000"/>
          <w:sz w:val="21"/>
        </w:rPr>
        <w:t>[Filed ARC 1986C</w:t>
      </w:r>
      <w:r>
        <w:rPr>
          <w:rFonts w:ascii="Times New Roman" w:hAnsi="Times New Roman"/>
          <w:b w:val="false"/>
          <w:i w:val="false"/>
          <w:color w:val="000000"/>
          <w:sz w:val="21"/>
        </w:rPr>
        <w:t xml:space="preserve"> (Notice ARC 1885C, IAB 2/18/15)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ARC 5426C</w:t>
      </w:r>
      <w:r>
        <w:rPr>
          <w:rFonts w:ascii="Times New Roman" w:hAnsi="Times New Roman"/>
          <w:b w:val="false"/>
          <w:i w:val="false"/>
          <w:color w:val="000000"/>
          <w:sz w:val="21"/>
        </w:rPr>
        <w:t xml:space="preserve"> (Notice ARC 5290C, IAB 12/2/20)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9129C</w:t>
      </w:r>
      <w:r>
        <w:rPr>
          <w:rFonts w:ascii="Times New Roman" w:hAnsi="Times New Roman"/>
          <w:b w:val="false"/>
          <w:i w:val="false"/>
          <w:color w:val="000000"/>
          <w:sz w:val="21"/>
        </w:rPr>
        <w:t xml:space="preserve"> (Notice ARC 8467C,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traffic/Library/Traffic-and-Safety-Manual" Type="http://schemas.openxmlformats.org/officeDocument/2006/relationships/hyperlink" Id="rId5"/>
    <Relationship TargetMode="External" Target="http://www.iowadot.gov/erl" Type="http://schemas.openxmlformats.org/officeDocument/2006/relationships/hyperlink" Id="rId6"/>
    <Relationship TargetMode="External" Target="https://www.legis.iowa.gov/docs/iac/rule/761.131.2.pdf" Type="http://schemas.openxmlformats.org/officeDocument/2006/relationships/hyperlink" Id="rId7"/>
    <Relationship TargetMode="External" Target="https://www.legis.iowa.gov/docs/iac/rule/761.131.2.pdf" Type="http://schemas.openxmlformats.org/officeDocument/2006/relationships/hyperlink" Id="rId8"/>
    <Relationship TargetMode="External" Target="https://www.legis.iowa.gov/docs/iac/rule/761.131.2.pdf" Type="http://schemas.openxmlformats.org/officeDocument/2006/relationships/hyperlink" Id="rId9"/>
    <Relationship TargetMode="External" Target="https://www.legis.iowa.gov/docs/ico/chapter/314.3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