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w:t>
      </w:r>
    </w:p>
    <w:p>
      <w:pPr>
        <w:spacing w:before="0" w:after="0"/>
        <w:ind w:left="120"/>
        <w:jc w:val="center"/>
      </w:pPr>
      <w:r>
        <w:rPr>
          <w:rFonts w:ascii="Times New Roman" w:hAnsi="Times New Roman"/>
          <w:b w:val="false"/>
          <w:i w:val="false"/>
          <w:color w:val="000000"/>
          <w:sz w:val="21"/>
        </w:rPr>
        <w:t>SECONDARY ROAD FUND DISTRIBUTION METHODOLOGY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761—103.1</w:t>
      </w:r>
      <w:r>
        <w:rPr>
          <w:rFonts w:ascii="Times New Roman" w:hAnsi="Times New Roman"/>
          <w:b/>
          <w:i w:val="false"/>
          <w:color w:val="000000"/>
          <w:sz w:val="22"/>
        </w:rPr>
        <w:t xml:space="preserve">(312) </w:t>
      </w:r>
      <w:r>
        <w:rPr>
          <w:rFonts w:ascii="Times New Roman" w:hAnsi="Times New Roman"/>
          <w:b/>
          <w:i w:val="false"/>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these rules is to adopt the formulas to be used for distribution of moneys in the secondary road fund and the farm-to-market road fund and to formalize the process by which the commission will administer its duties in accordance with Iowa Code section </w:t>
      </w:r>
      <w:hyperlink r:id="rId5">
        <w:r>
          <w:rPr>
            <w:rStyle w:val="Hyperlink"/>
            <w:rFonts w:ascii="Times New Roman" w:hAnsi="Times New Roman"/>
            <w:b w:val="false"/>
            <w:i w:val="false"/>
            <w:color w:val="000000"/>
            <w:sz w:val="22"/>
          </w:rPr>
          <w:t>312.3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w:t>
      </w:r>
      <w:r>
        <w:rPr>
          <w:rFonts w:ascii="Times New Roman" w:hAnsi="Times New Roman"/>
          <w:b w:val="false"/>
          <w:i w:val="false"/>
          <w:color w:val="000000"/>
          <w:sz w:val="22"/>
        </w:rPr>
        <w:t> </w:t>
      </w:r>
      <w:r>
        <w:rPr>
          <w:rFonts w:ascii="Times New Roman" w:hAnsi="Times New Roman"/>
          <w:b w:val="false"/>
          <w:i/>
          <w:color w:val="000000"/>
          <w:sz w:val="22"/>
        </w:rPr>
        <w:t xml:space="preserve">Contact information. </w:t>
      </w:r>
      <w:r>
        <w:rPr>
          <w:rFonts w:ascii="Times New Roman" w:hAnsi="Times New Roman"/>
          <w:b w:val="false"/>
          <w:i w:val="false"/>
          <w:color w:val="000000"/>
          <w:sz w:val="22"/>
        </w:rPr>
        <w:t>Questions regarding this chapter may be directed to the Systems Planning Bureau, Iowa Department of Transportation, 800 Lincoln Way, Ames, Iowa 50010; telephone, 515.239.1664.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103.1(3)</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“Bridges” </w:t>
      </w:r>
      <w:r>
        <w:rPr>
          <w:rFonts w:ascii="Times New Roman" w:hAnsi="Times New Roman"/>
          <w:b w:val="false"/>
          <w:i w:val="false"/>
          <w:color w:val="000000"/>
          <w:sz w:val="22"/>
        </w:rPr>
        <w:t>means those structures under the jurisdiction of a county secondary roads department that are included in the National Bridge Inventory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312.16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 xml:space="preserve">means an ad hoc committee as described in rule </w:t>
      </w:r>
      <w:hyperlink r:id="rId7">
        <w:r>
          <w:rPr>
            <w:rStyle w:val="Hyperlink"/>
            <w:rFonts w:ascii="Times New Roman" w:hAnsi="Times New Roman"/>
            <w:b w:val="false"/>
            <w:i w:val="false"/>
            <w:color w:val="000000"/>
            <w:sz w:val="22"/>
          </w:rPr>
          <w:t>761—103.2</w:t>
        </w:r>
      </w:hyperlink>
      <w:r>
        <w:rPr>
          <w:rFonts w:ascii="Times New Roman" w:hAnsi="Times New Roman"/>
          <w:b w:val="false"/>
          <w:i w:val="false"/>
          <w:color w:val="000000"/>
          <w:sz w:val="22"/>
        </w:rPr>
        <w:t>(7E,312).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“Daily vehicle miles of travel” </w:t>
      </w:r>
      <w:r>
        <w:rPr>
          <w:rFonts w:ascii="Times New Roman" w:hAnsi="Times New Roman"/>
          <w:b w:val="false"/>
          <w:i w:val="false"/>
          <w:color w:val="000000"/>
          <w:sz w:val="22"/>
        </w:rPr>
        <w:t>means the product of a road segment’s length, in miles, multiplied by the daily traffic count thereon, in vehicles per day, reported for that segment by department, based on the most recent counts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“Earth surfaced” </w:t>
      </w:r>
      <w:r>
        <w:rPr>
          <w:rFonts w:ascii="Times New Roman" w:hAnsi="Times New Roman"/>
          <w:b w:val="false"/>
          <w:i w:val="false"/>
          <w:color w:val="000000"/>
          <w:sz w:val="22"/>
        </w:rPr>
        <w:t>means roads under the jurisdiction of a county secondary roads department that are not surfaced.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“Formula” </w:t>
      </w:r>
      <w:r>
        <w:rPr>
          <w:rFonts w:ascii="Times New Roman" w:hAnsi="Times New Roman"/>
          <w:b w:val="false"/>
          <w:i w:val="false"/>
          <w:color w:val="000000"/>
          <w:sz w:val="22"/>
        </w:rPr>
        <w:t xml:space="preserve">means the appropriate secondary road fund distribution formula or farm-to-market road fund distribution formula as described in subrules </w:t>
      </w:r>
      <w:hyperlink r:id="rId8">
        <w:r>
          <w:rPr>
            <w:rStyle w:val="Hyperlink"/>
            <w:rFonts w:ascii="Times New Roman" w:hAnsi="Times New Roman"/>
            <w:b w:val="false"/>
            <w:i w:val="false"/>
            <w:color w:val="000000"/>
            <w:sz w:val="22"/>
          </w:rPr>
          <w:t>103.3(1)</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103.3(2)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“Granular surfaced” </w:t>
      </w:r>
      <w:r>
        <w:rPr>
          <w:rFonts w:ascii="Times New Roman" w:hAnsi="Times New Roman"/>
          <w:b w:val="false"/>
          <w:i w:val="false"/>
          <w:color w:val="000000"/>
          <w:sz w:val="22"/>
        </w:rPr>
        <w:t>means roads under the jurisdiction of a county secondary roads department that have crushed rock, gravel, or oiled earth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“Paved surfaced” </w:t>
      </w:r>
      <w:r>
        <w:rPr>
          <w:rFonts w:ascii="Times New Roman" w:hAnsi="Times New Roman"/>
          <w:b w:val="false"/>
          <w:i w:val="false"/>
          <w:color w:val="000000"/>
          <w:sz w:val="22"/>
        </w:rPr>
        <w:t>means roads under the jurisdiction of a county secondary roads department with hot mix asphalt, Portland cement concrete, or stabilized base with waterproof surfacing.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“Rural population” </w:t>
      </w:r>
      <w:r>
        <w:rPr>
          <w:rFonts w:ascii="Times New Roman" w:hAnsi="Times New Roman"/>
          <w:b w:val="false"/>
          <w:i w:val="false"/>
          <w:color w:val="000000"/>
          <w:sz w:val="22"/>
        </w:rPr>
        <w:t>means the count, taken from the most recently certified decennial federal census, of persons who reside in the unincorporated areas of a county.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761—103.2</w:t>
      </w:r>
      <w:r>
        <w:rPr>
          <w:rFonts w:ascii="Times New Roman" w:hAnsi="Times New Roman"/>
          <w:b/>
          <w:i w:val="false"/>
          <w:color w:val="000000"/>
          <w:sz w:val="22"/>
        </w:rPr>
        <w:t xml:space="preserve">(7E,312) </w:t>
      </w:r>
      <w:r>
        <w:rPr>
          <w:rFonts w:ascii="Times New Roman" w:hAnsi="Times New Roman"/>
          <w:b/>
          <w:i w:val="false"/>
          <w:color w:val="000000"/>
          <w:sz w:val="22"/>
        </w:rPr>
        <w:t xml:space="preserve">Composition and membership of the ad hoc secondary road fund distribution committee.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103.2(1)</w:t>
      </w:r>
      <w:r>
        <w:rPr>
          <w:rFonts w:ascii="Times New Roman" w:hAnsi="Times New Roman"/>
          <w:b w:val="false"/>
          <w:i w:val="false"/>
          <w:color w:val="000000"/>
          <w:sz w:val="22"/>
        </w:rPr>
        <w:t> </w:t>
      </w:r>
      <w:r>
        <w:rPr>
          <w:rFonts w:ascii="Times New Roman" w:hAnsi="Times New Roman"/>
          <w:b w:val="false"/>
          <w:i w:val="false"/>
          <w:color w:val="000000"/>
          <w:sz w:val="22"/>
        </w:rPr>
        <w:t>The committee is composed of six county engineers, six county supervisors, two representatives of the department, and the executive director of the Iowa county engineers association service bureau.</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w:t>
      </w:r>
      <w:r>
        <w:rPr>
          <w:rFonts w:ascii="Times New Roman" w:hAnsi="Times New Roman"/>
          <w:b w:val="false"/>
          <w:i w:val="false"/>
          <w:color w:val="000000"/>
          <w:sz w:val="22"/>
        </w:rPr>
        <w:t> </w:t>
      </w:r>
      <w:r>
        <w:rPr>
          <w:rFonts w:ascii="Times New Roman" w:hAnsi="Times New Roman"/>
          <w:b w:val="false"/>
          <w:i w:val="false"/>
          <w:color w:val="000000"/>
          <w:sz w:val="22"/>
        </w:rPr>
        <w:t>The county engineers are appointed by the president of the Iowa county engineers association, the county supervisors are appointed by the president of the Iowa state association of county supervisors, and the department representatives are appointed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103.2(3)</w:t>
      </w:r>
      <w:r>
        <w:rPr>
          <w:rFonts w:ascii="Times New Roman" w:hAnsi="Times New Roman"/>
          <w:b w:val="false"/>
          <w:i w:val="false"/>
          <w:color w:val="000000"/>
          <w:sz w:val="22"/>
        </w:rPr>
        <w:t> </w:t>
      </w:r>
      <w:r>
        <w:rPr>
          <w:rFonts w:ascii="Times New Roman" w:hAnsi="Times New Roman"/>
          <w:b w:val="false"/>
          <w:i w:val="false"/>
          <w:color w:val="000000"/>
          <w:sz w:val="22"/>
        </w:rPr>
        <w:t>The county engineer members and the county supervisor members are selected according to the population of their counties,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Two county engineers and two county supervisors from large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Two county engineers and two county supervisors from medium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Two county engineers and two county supervisors from small counties.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103.2(4)</w:t>
      </w:r>
      <w:r>
        <w:rPr>
          <w:rFonts w:ascii="Times New Roman" w:hAnsi="Times New Roman"/>
          <w:b w:val="false"/>
          <w:i w:val="false"/>
          <w:color w:val="000000"/>
          <w:sz w:val="22"/>
        </w:rPr>
        <w:t> </w:t>
      </w:r>
      <w:r>
        <w:rPr>
          <w:rFonts w:ascii="Times New Roman" w:hAnsi="Times New Roman"/>
          <w:b w:val="false"/>
          <w:i w:val="false"/>
          <w:color w:val="000000"/>
          <w:sz w:val="22"/>
        </w:rPr>
        <w:t>To the extent possible, the committee is geographically diverse, and no county will have both an engineer and a supervisor as members simultaneously.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103.2(5)</w:t>
      </w:r>
      <w:r>
        <w:rPr>
          <w:rFonts w:ascii="Times New Roman" w:hAnsi="Times New Roman"/>
          <w:b w:val="false"/>
          <w:i w:val="false"/>
          <w:color w:val="000000"/>
          <w:sz w:val="22"/>
        </w:rPr>
        <w:t> </w:t>
      </w:r>
      <w:r>
        <w:rPr>
          <w:rFonts w:ascii="Times New Roman" w:hAnsi="Times New Roman"/>
          <w:b w:val="false"/>
          <w:i w:val="false"/>
          <w:color w:val="000000"/>
          <w:sz w:val="22"/>
        </w:rPr>
        <w:t>All county members are voting members. The department representatives and the executive director of the Iowa county engineers association service bureau are nonvoting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103.2(6)</w:t>
      </w:r>
      <w:r>
        <w:rPr>
          <w:rFonts w:ascii="Times New Roman" w:hAnsi="Times New Roman"/>
          <w:b w:val="false"/>
          <w:i w:val="false"/>
          <w:color w:val="000000"/>
          <w:sz w:val="22"/>
        </w:rPr>
        <w:t> </w:t>
      </w:r>
      <w:r>
        <w:rPr>
          <w:rFonts w:ascii="Times New Roman" w:hAnsi="Times New Roman"/>
          <w:b w:val="false"/>
          <w:i w:val="false"/>
          <w:color w:val="000000"/>
          <w:sz w:val="22"/>
        </w:rPr>
        <w:t>The committee selects from its membership a chair and a vice-chair. The vice-chair presides at a meeting in the absence of the chair.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761—103.3</w:t>
      </w:r>
      <w:r>
        <w:rPr>
          <w:rFonts w:ascii="Times New Roman" w:hAnsi="Times New Roman"/>
          <w:b/>
          <w:i w:val="false"/>
          <w:color w:val="000000"/>
          <w:sz w:val="22"/>
        </w:rPr>
        <w:t xml:space="preserve">(312) </w:t>
      </w:r>
      <w:r>
        <w:rPr>
          <w:rFonts w:ascii="Times New Roman" w:hAnsi="Times New Roman"/>
          <w:b/>
          <w:i w:val="false"/>
          <w:color w:val="000000"/>
          <w:sz w:val="22"/>
        </w:rPr>
        <w:t xml:space="preserve">Formulas.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w:t>
      </w:r>
      <w:r>
        <w:rPr>
          <w:rFonts w:ascii="Times New Roman" w:hAnsi="Times New Roman"/>
          <w:b w:val="false"/>
          <w:i w:val="false"/>
          <w:color w:val="000000"/>
          <w:sz w:val="22"/>
        </w:rPr>
        <w:t> </w:t>
      </w:r>
      <w:r>
        <w:rPr>
          <w:rFonts w:ascii="Times New Roman" w:hAnsi="Times New Roman"/>
          <w:b w:val="false"/>
          <w:i/>
          <w:color w:val="000000"/>
          <w:sz w:val="22"/>
        </w:rPr>
        <w:t xml:space="preserve">Formula for determining secondary road fund allocation factors. </w:t>
      </w:r>
      <w:r>
        <w:rPr>
          <w:rFonts w:ascii="Times New Roman" w:hAnsi="Times New Roman"/>
          <w:b w:val="false"/>
          <w:i w:val="false"/>
          <w:color w:val="000000"/>
          <w:sz w:val="22"/>
        </w:rPr>
        <w:t>The Iowa county engineers association service bureau annually computes percentage allocation factors for the allocation of secondary road fund revenues among the counties by using the methodology determined by the commission and calculating and summing the following percentage subtotals for each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Thirty percent times the ratio that the total area of each county bears to the total area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Ten percent times the ratio that the rural population of each county bears to the total rural population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Twelve and one-half percent times the ratio that the total daily vehicle miles of travel on each county’s secondary roads bear to the total daily vehicle miles of travel on all secondary roads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One-half percent times the ratio that the earth-surfaced miles of secondary roads of each county bear to the total miles of earth-surfaced secondary roads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Twenty percent times the ratio that the granular-surfaced miles of secondary roads of each county bear to the total miles of granular-surfaced secondary roads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Thirteen percent times the ratio that the paved-surfaced miles of secondary roads of each county bear to the total miles of paved-surfaced secondary roads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Fourteen percent times the ratio that the length, in lineal feet, of secondary road bridges of each county bears to the total length of secondary road bridges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103.3(2)</w:t>
      </w:r>
      <w:r>
        <w:rPr>
          <w:rFonts w:ascii="Times New Roman" w:hAnsi="Times New Roman"/>
          <w:b w:val="false"/>
          <w:i w:val="false"/>
          <w:color w:val="000000"/>
          <w:sz w:val="22"/>
        </w:rPr>
        <w:t> </w:t>
      </w:r>
      <w:r>
        <w:rPr>
          <w:rFonts w:ascii="Times New Roman" w:hAnsi="Times New Roman"/>
          <w:b w:val="false"/>
          <w:i/>
          <w:color w:val="000000"/>
          <w:sz w:val="22"/>
        </w:rPr>
        <w:t xml:space="preserve">Formula for determining farm-to-market road fund allocation factors. </w:t>
      </w:r>
      <w:r>
        <w:rPr>
          <w:rFonts w:ascii="Times New Roman" w:hAnsi="Times New Roman"/>
          <w:b w:val="false"/>
          <w:i w:val="false"/>
          <w:color w:val="000000"/>
          <w:sz w:val="22"/>
        </w:rPr>
        <w:t>The Iowa county engineers association service bureau annually computes percentage allocation factors for the allocation of farm-to-market road fund revenues among the counties by using the methodology determined by the commission and calculating and summing the following percentage subtotals for each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Thirty percent times the ratio that the total area of each county bears to the total area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Fifteen percent times the ratio that the rural population of each county bears to the total rural population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Ten percent times the ratio that the total daily vehicle miles of travel on each county’s farm-to-market roads bear to the total daily vehicle miles of travel on all farm-to-market roads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Nine percent times the ratio that the granular-surfaced miles of farm-to-market roads of each county bear to the total miles of granular-surfaced farm-to-market roads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Twenty-three percent times the ratio that the paved-surfaced miles of farm-to-market roads of each county bear to the total miles of paved-surfaced farm-to-market roads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Thirteen percent times the ratio that the length, in lineal feet, of farm-to-market road bridges of each county bears to the total length of farm-to-market road bridges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103.3(3)</w:t>
      </w:r>
      <w:r>
        <w:rPr>
          <w:rFonts w:ascii="Times New Roman" w:hAnsi="Times New Roman"/>
          <w:b w:val="false"/>
          <w:i w:val="false"/>
          <w:color w:val="000000"/>
          <w:sz w:val="22"/>
        </w:rPr>
        <w:t> </w:t>
      </w:r>
      <w:r>
        <w:rPr>
          <w:rFonts w:ascii="Times New Roman" w:hAnsi="Times New Roman"/>
          <w:b w:val="false"/>
          <w:i/>
          <w:color w:val="000000"/>
          <w:sz w:val="22"/>
        </w:rPr>
        <w:t xml:space="preserve">Considerations for a new or modified distribution formula. </w:t>
      </w:r>
      <w:r>
        <w:rPr>
          <w:rFonts w:ascii="Times New Roman" w:hAnsi="Times New Roman"/>
          <w:b w:val="false"/>
          <w:i w:val="false"/>
          <w:color w:val="000000"/>
          <w:sz w:val="22"/>
        </w:rPr>
        <w:t xml:space="preserve">A distribution formula that is proposed in accordance with rule </w:t>
      </w:r>
      <w:hyperlink r:id="rId10">
        <w:r>
          <w:rPr>
            <w:rStyle w:val="Hyperlink"/>
            <w:rFonts w:ascii="Times New Roman" w:hAnsi="Times New Roman"/>
            <w:b w:val="false"/>
            <w:i w:val="false"/>
            <w:color w:val="000000"/>
            <w:sz w:val="22"/>
          </w:rPr>
          <w:t>761—103.4</w:t>
        </w:r>
      </w:hyperlink>
      <w:r>
        <w:rPr>
          <w:rFonts w:ascii="Times New Roman" w:hAnsi="Times New Roman"/>
          <w:b w:val="false"/>
          <w:i w:val="false"/>
          <w:color w:val="000000"/>
          <w:sz w:val="22"/>
        </w:rPr>
        <w:t>(312) should substantially meet the following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Funding levels to counties should be relatively stable, with only small changes occurring from year to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formula should be able to factor in changes in population, mileages, the centerline lineal feet of bridges, and traffic levels as they occur over time, without needing to be revised.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761—103.4</w:t>
      </w:r>
      <w:r>
        <w:rPr>
          <w:rFonts w:ascii="Times New Roman" w:hAnsi="Times New Roman"/>
          <w:b/>
          <w:i w:val="false"/>
          <w:color w:val="000000"/>
          <w:sz w:val="22"/>
        </w:rPr>
        <w:t xml:space="preserve">(312) </w:t>
      </w:r>
      <w:r>
        <w:rPr>
          <w:rFonts w:ascii="Times New Roman" w:hAnsi="Times New Roman"/>
          <w:b/>
          <w:i w:val="false"/>
          <w:color w:val="000000"/>
          <w:sz w:val="22"/>
        </w:rPr>
        <w:t xml:space="preserve">Process for approval of a new or modified distribution formula.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103.4(1)</w:t>
      </w:r>
      <w:r>
        <w:rPr>
          <w:rFonts w:ascii="Times New Roman" w:hAnsi="Times New Roman"/>
          <w:b w:val="false"/>
          <w:i w:val="false"/>
          <w:color w:val="000000"/>
          <w:sz w:val="22"/>
        </w:rPr>
        <w:t> </w:t>
      </w:r>
      <w:r>
        <w:rPr>
          <w:rFonts w:ascii="Times New Roman" w:hAnsi="Times New Roman"/>
          <w:b w:val="false"/>
          <w:i w:val="false"/>
          <w:color w:val="000000"/>
          <w:sz w:val="22"/>
        </w:rPr>
        <w:t>Proposals to adopt a new or modified distribution formula may be initiated by the executive board of either the Iowa county engineers association or the Iowa state association of county supervisors upon request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103.4(2)</w:t>
      </w:r>
      <w:r>
        <w:rPr>
          <w:rFonts w:ascii="Times New Roman" w:hAnsi="Times New Roman"/>
          <w:b w:val="false"/>
          <w:i w:val="false"/>
          <w:color w:val="000000"/>
          <w:sz w:val="22"/>
        </w:rPr>
        <w:t> </w:t>
      </w:r>
      <w:r>
        <w:rPr>
          <w:rFonts w:ascii="Times New Roman" w:hAnsi="Times New Roman"/>
          <w:b w:val="false"/>
          <w:i w:val="false"/>
          <w:color w:val="000000"/>
          <w:sz w:val="22"/>
        </w:rPr>
        <w:t>When a formula change has been initiated or requested, the commission directs the committee to develop a work plan and set up a work schedule.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w:t>
      </w:r>
      <w:r>
        <w:rPr>
          <w:rFonts w:ascii="Times New Roman" w:hAnsi="Times New Roman"/>
          <w:b w:val="false"/>
          <w:i w:val="false"/>
          <w:color w:val="000000"/>
          <w:sz w:val="22"/>
        </w:rPr>
        <w:t> </w:t>
      </w:r>
      <w:r>
        <w:rPr>
          <w:rFonts w:ascii="Times New Roman" w:hAnsi="Times New Roman"/>
          <w:b w:val="false"/>
          <w:i w:val="false"/>
          <w:color w:val="000000"/>
          <w:sz w:val="22"/>
        </w:rPr>
        <w:t>The committee is to evaluate the proposal and, within 18 months after initiation or receipt of the proposal, publish an official report outlining the committee’s findings and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103.4(4)</w:t>
      </w:r>
      <w:r>
        <w:rPr>
          <w:rFonts w:ascii="Times New Roman" w:hAnsi="Times New Roman"/>
          <w:b w:val="false"/>
          <w:i w:val="false"/>
          <w:color w:val="000000"/>
          <w:sz w:val="22"/>
        </w:rPr>
        <w:t> </w:t>
      </w:r>
      <w:r>
        <w:rPr>
          <w:rFonts w:ascii="Times New Roman" w:hAnsi="Times New Roman"/>
          <w:b w:val="false"/>
          <w:i w:val="false"/>
          <w:color w:val="000000"/>
          <w:sz w:val="22"/>
        </w:rPr>
        <w:t>If the official report recommends adoption of a new or modified distribution formula, the chair communicates the details of the committee’s recommendations to all county engineers, all county supervisors and the department in such a manner as the committee deems appropriate. This communication solicits comments on the committee’s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103.4(5)</w:t>
      </w:r>
      <w:r>
        <w:rPr>
          <w:rFonts w:ascii="Times New Roman" w:hAnsi="Times New Roman"/>
          <w:b w:val="false"/>
          <w:i w:val="false"/>
          <w:color w:val="000000"/>
          <w:sz w:val="22"/>
        </w:rPr>
        <w:t> </w:t>
      </w:r>
      <w:r>
        <w:rPr>
          <w:rFonts w:ascii="Times New Roman" w:hAnsi="Times New Roman"/>
          <w:b w:val="false"/>
          <w:i w:val="false"/>
          <w:color w:val="000000"/>
          <w:sz w:val="22"/>
        </w:rPr>
        <w:t>After receipt and consideration of comments from counties, the committee may adopt a resolution that formally proposes a distribution formula and places it into official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103.4(6)</w:t>
      </w:r>
      <w:r>
        <w:rPr>
          <w:rFonts w:ascii="Times New Roman" w:hAnsi="Times New Roman"/>
          <w:b w:val="false"/>
          <w:i w:val="false"/>
          <w:color w:val="000000"/>
          <w:sz w:val="22"/>
        </w:rPr>
        <w:t> </w:t>
      </w:r>
      <w:r>
        <w:rPr>
          <w:rFonts w:ascii="Times New Roman" w:hAnsi="Times New Roman"/>
          <w:b w:val="false"/>
          <w:i w:val="false"/>
          <w:color w:val="000000"/>
          <w:sz w:val="22"/>
        </w:rPr>
        <w:t>The chair forwards the resolution to the executive boards of both the Iowa county engineers association and the Iowa state association of county supervisors, with a request for endorsement of the proposed distribution formula.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103.4(7)</w:t>
      </w:r>
      <w:r>
        <w:rPr>
          <w:rFonts w:ascii="Times New Roman" w:hAnsi="Times New Roman"/>
          <w:b w:val="false"/>
          <w:i w:val="false"/>
          <w:color w:val="000000"/>
          <w:sz w:val="22"/>
        </w:rPr>
        <w:t> </w:t>
      </w:r>
      <w:r>
        <w:rPr>
          <w:rFonts w:ascii="Times New Roman" w:hAnsi="Times New Roman"/>
          <w:b w:val="false"/>
          <w:i w:val="false"/>
          <w:color w:val="000000"/>
          <w:sz w:val="22"/>
        </w:rPr>
        <w:t>If both executive boards endorse the proposed distribution formula, the chair requests each individual county to consider and adopt a resolution in favor of or in opposition to the proposed distribution formula.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103.4(8)</w:t>
      </w:r>
      <w:r>
        <w:rPr>
          <w:rFonts w:ascii="Times New Roman" w:hAnsi="Times New Roman"/>
          <w:b w:val="false"/>
          <w:i w:val="false"/>
          <w:color w:val="000000"/>
          <w:sz w:val="22"/>
        </w:rPr>
        <w:t> </w:t>
      </w:r>
      <w:r>
        <w:rPr>
          <w:rFonts w:ascii="Times New Roman" w:hAnsi="Times New Roman"/>
          <w:b w:val="false"/>
          <w:i w:val="false"/>
          <w:color w:val="000000"/>
          <w:sz w:val="22"/>
        </w:rPr>
        <w:t>If at least 66 counties adopt resolutions in favor of the proposed distribution formula, the chair forwards the distribution formula to the commission for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103.4(9)</w:t>
      </w:r>
      <w:r>
        <w:rPr>
          <w:rFonts w:ascii="Times New Roman" w:hAnsi="Times New Roman"/>
          <w:b w:val="false"/>
          <w:i w:val="false"/>
          <w:color w:val="000000"/>
          <w:sz w:val="22"/>
        </w:rPr>
        <w:t> </w:t>
      </w:r>
      <w:r>
        <w:rPr>
          <w:rFonts w:ascii="Times New Roman" w:hAnsi="Times New Roman"/>
          <w:b w:val="false"/>
          <w:i w:val="false"/>
          <w:color w:val="000000"/>
          <w:sz w:val="22"/>
        </w:rPr>
        <w:t>If the distribution formula is adopted by the commission, the committee chair notifies the following organizations and groups when the distribution formula has been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executive board of the Iowa county engineers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executive board of the Iowa state association of county supervisors.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systems planning and local systems bureaus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office of the treasurer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county engineers and county supervisors.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Iowa county engineers association service bureau.</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761—103.5</w:t>
      </w:r>
      <w:r>
        <w:rPr>
          <w:rFonts w:ascii="Times New Roman" w:hAnsi="Times New Roman"/>
          <w:b/>
          <w:i w:val="false"/>
          <w:color w:val="000000"/>
          <w:sz w:val="22"/>
        </w:rPr>
        <w:t xml:space="preserve">(312)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Any county that is aggrieved or adversely affected by a decision of the commission may seek judicial review of such agency action under the provisions of Iowa Code section </w:t>
      </w:r>
      <w:hyperlink r:id="rId11">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761—103.6</w:t>
      </w:r>
      <w:r>
        <w:rPr>
          <w:rFonts w:ascii="Times New Roman" w:hAnsi="Times New Roman"/>
          <w:b/>
          <w:i w:val="false"/>
          <w:color w:val="000000"/>
          <w:sz w:val="22"/>
        </w:rPr>
        <w:t xml:space="preserve">(312) </w:t>
      </w:r>
      <w:r>
        <w:rPr>
          <w:rFonts w:ascii="Times New Roman" w:hAnsi="Times New Roman"/>
          <w:b/>
          <w:i w:val="false"/>
          <w:color w:val="000000"/>
          <w:sz w:val="22"/>
        </w:rPr>
        <w:t xml:space="preserve">Severability clause. </w:t>
      </w:r>
      <w:r>
        <w:rPr>
          <w:rFonts w:ascii="Times New Roman" w:hAnsi="Times New Roman"/>
          <w:b w:val="false"/>
          <w:i w:val="false"/>
          <w:color w:val="000000"/>
          <w:sz w:val="22"/>
        </w:rPr>
        <w:t>If any section, provision, or part of these rules is adjudged invalid or unconstitutional, such adjudication shall not affect the validity of these rules as a whole or any section, provision, or part thereof not adjudged invalid or unconstitutional.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9128C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7E.3(3)</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312.2</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312.3</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312.3B</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312.5</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312.16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9128C</w:t>
      </w:r>
      <w:r>
        <w:rPr>
          <w:rFonts w:ascii="Times New Roman" w:hAnsi="Times New Roman"/>
          <w:b w:val="false"/>
          <w:i w:val="false"/>
          <w:color w:val="000000"/>
          <w:sz w:val="21"/>
        </w:rPr>
        <w:t xml:space="preserve"> (Notice ARC 8482C, IAB 12/11/24)</w:t>
      </w:r>
      <w:r>
        <w:rPr>
          <w:rFonts w:ascii="Times New Roman" w:hAnsi="Times New Roman"/>
          <w:b w:val="false"/>
          <w:i w:val="false"/>
          <w:color w:val="000000"/>
          <w:sz w:val="21"/>
        </w:rPr>
        <w:t>, IAB 4/16/25, effective 5/21/25]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12.3.pdf" Type="http://schemas.openxmlformats.org/officeDocument/2006/relationships/hyperlink" Id="rId5"/>
    <Relationship TargetMode="External" Target="https://www.legis.iowa.gov/docs/ico/chapter/312.16.pdf" Type="http://schemas.openxmlformats.org/officeDocument/2006/relationships/hyperlink" Id="rId6"/>
    <Relationship TargetMode="External" Target="https://www.legis.iowa.gov/docs/iac/rule/761.103.2.pdf" Type="http://schemas.openxmlformats.org/officeDocument/2006/relationships/hyperlink" Id="rId7"/>
    <Relationship TargetMode="External" Target="https://www.legis.iowa.gov/docs/iac/rule/761.103.3.pdf" Type="http://schemas.openxmlformats.org/officeDocument/2006/relationships/hyperlink" Id="rId8"/>
    <Relationship TargetMode="External" Target="https://www.legis.iowa.gov/docs/iac/rule/761.103.3.pdf" Type="http://schemas.openxmlformats.org/officeDocument/2006/relationships/hyperlink" Id="rId9"/>
    <Relationship TargetMode="External" Target="https://www.legis.iowa.gov/docs/iac/rule/761.103.4.pdf" Type="http://schemas.openxmlformats.org/officeDocument/2006/relationships/hyperlink" Id="rId10"/>
    <Relationship TargetMode="External" Target="https://www.legis.iowa.gov/docs/ico/chapter/17A.19.pdf" Type="http://schemas.openxmlformats.org/officeDocument/2006/relationships/hyperlink" Id="rId11"/>
    <Relationship TargetMode="External" Target="https://www.legis.iowa.gov/docs/ico/chapter/7E.3.pdf" Type="http://schemas.openxmlformats.org/officeDocument/2006/relationships/hyperlink" Id="rId12"/>
    <Relationship TargetMode="External" Target="https://www.legis.iowa.gov/docs/ico/chapter/312.2.pdf" Type="http://schemas.openxmlformats.org/officeDocument/2006/relationships/hyperlink" Id="rId13"/>
    <Relationship TargetMode="External" Target="https://www.legis.iowa.gov/docs/ico/chapter/312.3.pdf" Type="http://schemas.openxmlformats.org/officeDocument/2006/relationships/hyperlink" Id="rId14"/>
    <Relationship TargetMode="External" Target="https://www.legis.iowa.gov/docs/ico/chapter/312.3B.pdf" Type="http://schemas.openxmlformats.org/officeDocument/2006/relationships/hyperlink" Id="rId15"/>
    <Relationship TargetMode="External" Target="https://www.legis.iowa.gov/docs/ico/chapter/312.5.pdf" Type="http://schemas.openxmlformats.org/officeDocument/2006/relationships/hyperlink" Id="rId16"/>
    <Relationship TargetMode="External" Target="https://www.legis.iowa.gov/docs/ico/chapter/312.16.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