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101</w:t>
      </w:r>
    </w:p>
    <w:p>
      <w:pPr>
        <w:spacing w:before="0" w:after="0"/>
        <w:ind w:left="120"/>
        <w:jc w:val="center"/>
      </w:pPr>
      <w:r>
        <w:rPr>
          <w:rFonts w:ascii="Times New Roman" w:hAnsi="Times New Roman"/>
          <w:b w:val="false"/>
          <w:i w:val="false"/>
          <w:color w:val="000000"/>
          <w:sz w:val="21"/>
        </w:rPr>
        <w:t>FARM-TO-MARKET REVIEW BOARD</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761—101.1</w:t>
      </w:r>
      <w:r>
        <w:rPr>
          <w:rFonts w:ascii="Times New Roman" w:hAnsi="Times New Roman"/>
          <w:b/>
          <w:i w:val="false"/>
          <w:color w:val="000000"/>
          <w:sz w:val="22"/>
        </w:rPr>
        <w:t xml:space="preserve">(306)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This chapter formalizes the process by which the farm-to-market review board will administer its duties. The board reviews criteria for determining eligibility for inclusion of additional roads into the farm-to-market road system in accordance with Iowa Code sections </w:t>
      </w:r>
      <w:hyperlink r:id="rId5">
        <w:r>
          <w:rPr>
            <w:rStyle w:val="Hyperlink"/>
            <w:rFonts w:ascii="Times New Roman" w:hAnsi="Times New Roman"/>
            <w:b w:val="false"/>
            <w:i w:val="false"/>
            <w:color w:val="000000"/>
            <w:sz w:val="22"/>
          </w:rPr>
          <w:t>306.6</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306.6A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8935C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761—101.2</w:t>
      </w:r>
      <w:r>
        <w:rPr>
          <w:rFonts w:ascii="Times New Roman" w:hAnsi="Times New Roman"/>
          <w:b/>
          <w:i w:val="false"/>
          <w:color w:val="000000"/>
          <w:sz w:val="22"/>
        </w:rPr>
        <w:t xml:space="preserve">(306)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“Area service roads,” “local roads,”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“local road system” </w:t>
      </w:r>
      <w:r>
        <w:rPr>
          <w:rFonts w:ascii="Times New Roman" w:hAnsi="Times New Roman"/>
          <w:b w:val="false"/>
          <w:i w:val="false"/>
          <w:color w:val="000000"/>
          <w:sz w:val="22"/>
        </w:rPr>
        <w:t>means those secondary roads that are not a part of the farm-to-market road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farm-to-market review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“Executive board” </w:t>
      </w:r>
      <w:r>
        <w:rPr>
          <w:rFonts w:ascii="Times New Roman" w:hAnsi="Times New Roman"/>
          <w:b w:val="false"/>
          <w:i w:val="false"/>
          <w:color w:val="000000"/>
          <w:sz w:val="22"/>
        </w:rPr>
        <w:t>means the Iowa county engineers association executive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“Farm-to-market extensions” </w:t>
      </w:r>
      <w:r>
        <w:rPr>
          <w:rFonts w:ascii="Times New Roman" w:hAnsi="Times New Roman"/>
          <w:b w:val="false"/>
          <w:i w:val="false"/>
          <w:color w:val="000000"/>
          <w:sz w:val="22"/>
        </w:rPr>
        <w:t>means extensions of the farm-to-market road system within municipalities, state parks, state institutions, other state lands, and county parks and conservation areas. The mileage of these extensions of the system is to be included in the total mileage of the farm-to-market road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“Farm-to-market roads”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“farm-to-market road system” </w:t>
      </w:r>
      <w:r>
        <w:rPr>
          <w:rFonts w:ascii="Times New Roman" w:hAnsi="Times New Roman"/>
          <w:b w:val="false"/>
          <w:i w:val="false"/>
          <w:color w:val="000000"/>
          <w:sz w:val="22"/>
        </w:rPr>
        <w:t>means those county jurisdiction intracounty and intercounty roads that serve principal traffic generating areas and connect such areas to other farm-to-market roads and primary roads. The farm-to-market road system includes those county jurisdiction roads providing service for short-distance intracounty and intercounty traffic or providing connections between farm-to-market and area service roads and includes those secondary roads that are federal aid eligible. The farm-to-market road system is not to exceed 35,000 miles.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“President” </w:t>
      </w:r>
      <w:r>
        <w:rPr>
          <w:rFonts w:ascii="Times New Roman" w:hAnsi="Times New Roman"/>
          <w:b w:val="false"/>
          <w:i w:val="false"/>
          <w:color w:val="000000"/>
          <w:sz w:val="22"/>
        </w:rPr>
        <w:t>means the president of the Iowa county engineers association.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8935C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761—101.3</w:t>
      </w:r>
      <w:r>
        <w:rPr>
          <w:rFonts w:ascii="Times New Roman" w:hAnsi="Times New Roman"/>
          <w:b/>
          <w:i w:val="false"/>
          <w:color w:val="000000"/>
          <w:sz w:val="22"/>
        </w:rPr>
        <w:t xml:space="preserve">(306) </w:t>
      </w:r>
      <w:r>
        <w:rPr>
          <w:rFonts w:ascii="Times New Roman" w:hAnsi="Times New Roman"/>
          <w:b/>
          <w:i w:val="false"/>
          <w:color w:val="000000"/>
          <w:sz w:val="22"/>
        </w:rPr>
        <w:t xml:space="preserve">Composition and membership of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101.3(1)</w:t>
      </w:r>
      <w:r>
        <w:rPr>
          <w:rFonts w:ascii="Times New Roman" w:hAnsi="Times New Roman"/>
          <w:b w:val="false"/>
          <w:i w:val="false"/>
          <w:color w:val="000000"/>
          <w:sz w:val="22"/>
        </w:rPr>
        <w:t> </w:t>
      </w:r>
      <w:r>
        <w:rPr>
          <w:rFonts w:ascii="Times New Roman" w:hAnsi="Times New Roman"/>
          <w:b w:val="false"/>
          <w:i w:val="false"/>
          <w:color w:val="000000"/>
          <w:sz w:val="22"/>
        </w:rPr>
        <w:t>The board is composed of 12 county engineers selected by the Iowa county engineers association. Two members are selected from each district to serve staggered terms. After the first complete term rotation as shown below, the members serve six-year terms. Rotations should be staggered so that no more than one-sixth of the membership is rotated off the board in any one year. The rotation of board members should further provide that two members from one district will not be rotated off the board in the same year, and that their rotations will be varied by three years. Board rotation should be as follows and should be extended in future years in the same pattern:</w:t>
      </w:r>
    </w:p>
    <w:tbl>
      <w:tblPr>
        <w:tblW w:w="5000" w:type="pct"/>
        <w:tblCellSpacing w:w="0" w:type="auto"/>
        <w:tblBorders>
          <w:top w:val="none"/>
          <w:left w:val="none"/>
          <w:bottom w:val="none"/>
          <w:right w:val="none"/>
          <w:insideH w:val="none"/>
          <w:insideV w:val="none"/>
        </w:tblBorders>
        <w:tblLayout w:type="fixed"/>
      </w:tblPr>
      <w:tblGrid>
        <w:gridCol w:w="2130"/>
        <w:gridCol w:w="4530"/>
        <w:gridCol w:w="4530"/>
      </w:tblGrid>
      <w:tr>
        <w:trPr>
          <w:trHeight w:val="255" w:hRule="atLeast"/>
        </w:trPr>
        <w:tc>
          <w:tcPr>
            <w:tcW w:w="21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Year</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Rotation</w:t>
            </w:r>
          </w:p>
        </w:tc>
      </w:tr>
      <w:tr>
        <w:trPr>
          <w:trHeight w:val="255" w:hRule="atLeast"/>
        </w:trPr>
        <w:tc>
          <w:tcPr>
            <w:tcW w:w="21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2021</w:t>
            </w:r>
          </w:p>
        </w:tc>
        <w:tc>
          <w:tcPr>
            <w:tcW w:w="45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District 1 Representative A</w:t>
            </w:r>
          </w:p>
        </w:tc>
        <w:tc>
          <w:tcPr>
            <w:tcW w:w="45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District 4 Representative A</w:t>
            </w:r>
          </w:p>
        </w:tc>
      </w:tr>
      <w:tr>
        <w:trPr>
          <w:trHeight w:val="255" w:hRule="atLeast"/>
        </w:trPr>
        <w:tc>
          <w:tcPr>
            <w:tcW w:w="21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2022</w:t>
            </w:r>
          </w:p>
        </w:tc>
        <w:tc>
          <w:tcPr>
            <w:tcW w:w="45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District 2 Representative A</w:t>
            </w:r>
          </w:p>
        </w:tc>
        <w:tc>
          <w:tcPr>
            <w:tcW w:w="45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District 5 Representative A</w:t>
            </w:r>
          </w:p>
        </w:tc>
      </w:tr>
      <w:tr>
        <w:trPr>
          <w:trHeight w:val="255" w:hRule="atLeast"/>
        </w:trPr>
        <w:tc>
          <w:tcPr>
            <w:tcW w:w="21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2023</w:t>
            </w:r>
          </w:p>
        </w:tc>
        <w:tc>
          <w:tcPr>
            <w:tcW w:w="45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District 3 Representative A</w:t>
            </w:r>
          </w:p>
        </w:tc>
        <w:tc>
          <w:tcPr>
            <w:tcW w:w="45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District 6 Representative A</w:t>
            </w:r>
          </w:p>
        </w:tc>
      </w:tr>
      <w:tr>
        <w:trPr>
          <w:trHeight w:val="255" w:hRule="atLeast"/>
        </w:trPr>
        <w:tc>
          <w:tcPr>
            <w:tcW w:w="21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2024</w:t>
            </w:r>
          </w:p>
        </w:tc>
        <w:tc>
          <w:tcPr>
            <w:tcW w:w="45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District 1 Representative B</w:t>
            </w:r>
          </w:p>
        </w:tc>
        <w:tc>
          <w:tcPr>
            <w:tcW w:w="45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District 4 Representative B</w:t>
            </w:r>
          </w:p>
        </w:tc>
      </w:tr>
      <w:tr>
        <w:trPr>
          <w:trHeight w:val="345" w:hRule="atLeast"/>
        </w:trPr>
        <w:tc>
          <w:tcPr>
            <w:tcW w:w="21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2025</w:t>
            </w:r>
          </w:p>
        </w:tc>
        <w:tc>
          <w:tcPr>
            <w:tcW w:w="45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District 2 Representative B</w:t>
            </w:r>
          </w:p>
        </w:tc>
        <w:tc>
          <w:tcPr>
            <w:tcW w:w="45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District 5 Representative B</w:t>
            </w:r>
          </w:p>
        </w:tc>
      </w:tr>
      <w:tr>
        <w:trPr>
          <w:trHeight w:val="255" w:hRule="atLeast"/>
        </w:trPr>
        <w:tc>
          <w:tcPr>
            <w:tcW w:w="21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2026</w:t>
            </w:r>
          </w:p>
        </w:tc>
        <w:tc>
          <w:tcPr>
            <w:tcW w:w="45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District 3 Representative B</w:t>
            </w:r>
          </w:p>
        </w:tc>
        <w:tc>
          <w:tcPr>
            <w:tcW w:w="45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District 6 Representative B</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101.3(2)</w:t>
      </w:r>
      <w:r>
        <w:rPr>
          <w:rFonts w:ascii="Times New Roman" w:hAnsi="Times New Roman"/>
          <w:b w:val="false"/>
          <w:i w:val="false"/>
          <w:color w:val="000000"/>
          <w:sz w:val="22"/>
        </w:rPr>
        <w:t> </w:t>
      </w:r>
      <w:r>
        <w:rPr>
          <w:rFonts w:ascii="Times New Roman" w:hAnsi="Times New Roman"/>
          <w:b w:val="false"/>
          <w:i w:val="false"/>
          <w:color w:val="000000"/>
          <w:sz w:val="22"/>
        </w:rPr>
        <w:t>Members are nominated by their districts and approved by the executive board. A county engineer may serve multiple, consecutive terms if so nominated by the county engineer’s district. If a county engineer is unable to complete a term for any reason, the president selects another county engineer within the district to serve the balance of the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101.3(3)</w:t>
      </w:r>
      <w:r>
        <w:rPr>
          <w:rFonts w:ascii="Times New Roman" w:hAnsi="Times New Roman"/>
          <w:b w:val="false"/>
          <w:i w:val="false"/>
          <w:color w:val="000000"/>
          <w:sz w:val="22"/>
        </w:rPr>
        <w:t> </w:t>
      </w:r>
      <w:r>
        <w:rPr>
          <w:rFonts w:ascii="Times New Roman" w:hAnsi="Times New Roman"/>
          <w:b w:val="false"/>
          <w:i w:val="false"/>
          <w:color w:val="000000"/>
          <w:sz w:val="22"/>
        </w:rPr>
        <w:t>The board selects from its membership a chair and a vice-chair to serve one-year terms. The chair serves at the pleasure of the board and may be elected to multiple terms as deemed appropriate by the board. The vice-chair presides at a meeting in the absence of the chair.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8935C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761—101.4</w:t>
      </w:r>
      <w:r>
        <w:rPr>
          <w:rFonts w:ascii="Times New Roman" w:hAnsi="Times New Roman"/>
          <w:b/>
          <w:i w:val="false"/>
          <w:color w:val="000000"/>
          <w:sz w:val="22"/>
        </w:rPr>
        <w:t xml:space="preserve">(306) </w:t>
      </w:r>
      <w:r>
        <w:rPr>
          <w:rFonts w:ascii="Times New Roman" w:hAnsi="Times New Roman"/>
          <w:b/>
          <w:i w:val="false"/>
          <w:color w:val="000000"/>
          <w:sz w:val="22"/>
        </w:rPr>
        <w:t xml:space="preserve">Collection of system modification requests and frequency of 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of transportation will collect applications for modifications to the farm-to-market road system. The board chair schedules meetings of the board to review accumulated applications for farm-to-market road system modifications. Applications should be filed no less than 21 calendar days prior to each scheduled board meeting.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follows the provisions of Iowa Code chapter </w:t>
      </w:r>
      <w:hyperlink r:id="rId7">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with regard to open meetings. The chair posts a meeting agenda on the Iowa county engineers association service bureau website and sends copies of the agenda to all counties.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101.4(3)</w:t>
      </w:r>
      <w:r>
        <w:rPr>
          <w:rFonts w:ascii="Times New Roman" w:hAnsi="Times New Roman"/>
          <w:b w:val="false"/>
          <w:i w:val="false"/>
          <w:color w:val="000000"/>
          <w:sz w:val="22"/>
        </w:rPr>
        <w:t> </w:t>
      </w:r>
      <w:r>
        <w:rPr>
          <w:rFonts w:ascii="Times New Roman" w:hAnsi="Times New Roman"/>
          <w:b w:val="false"/>
          <w:i w:val="false"/>
          <w:color w:val="000000"/>
          <w:sz w:val="22"/>
        </w:rPr>
        <w:t>Minutes of each meeting are kept; the chair is responsible for the minutes. Meetings may be recorded to facilitate the preparation of meeting minutes, but any recordings made are not to be retained after the minutes have been completed.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8935C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761—101.5</w:t>
      </w:r>
      <w:r>
        <w:rPr>
          <w:rFonts w:ascii="Times New Roman" w:hAnsi="Times New Roman"/>
          <w:b/>
          <w:i w:val="false"/>
          <w:color w:val="000000"/>
          <w:sz w:val="22"/>
        </w:rPr>
        <w:t xml:space="preserve">(306) </w:t>
      </w:r>
      <w:r>
        <w:rPr>
          <w:rFonts w:ascii="Times New Roman" w:hAnsi="Times New Roman"/>
          <w:b/>
          <w:i w:val="false"/>
          <w:color w:val="000000"/>
          <w:sz w:val="22"/>
        </w:rPr>
        <w:t xml:space="preserve">Procedure for requesting modifications to the farm-to-market road system. </w:t>
      </w:r>
      <w:r>
        <w:rPr>
          <w:rFonts w:ascii="Times New Roman" w:hAnsi="Times New Roman"/>
          <w:b w:val="false"/>
          <w:i w:val="false"/>
          <w:color w:val="000000"/>
          <w:sz w:val="22"/>
        </w:rPr>
        <w:t>To apply for a modification to the farm-to-market road system, a county files an application through the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101.5(1)</w:t>
      </w:r>
      <w:r>
        <w:rPr>
          <w:rFonts w:ascii="Times New Roman" w:hAnsi="Times New Roman"/>
          <w:b w:val="false"/>
          <w:i w:val="false"/>
          <w:color w:val="000000"/>
          <w:sz w:val="22"/>
        </w:rPr>
        <w:t> </w:t>
      </w:r>
      <w:r>
        <w:rPr>
          <w:rFonts w:ascii="Times New Roman" w:hAnsi="Times New Roman"/>
          <w:b w:val="false"/>
          <w:i w:val="false"/>
          <w:color w:val="000000"/>
          <w:sz w:val="22"/>
        </w:rPr>
        <w:t>The application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a resolution of the county board of supervisors requesting the modification to the existing farm-to-market road system. Farm-to-market modifications may include proposed roads, redesignation of area service roads, or transfers of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report of the county engineer explaining and justifying the addition of new mileage to the farm-to-market road system or the change in the route or farm-to-market classification proposed by the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101.5(2)</w:t>
      </w:r>
      <w:r>
        <w:rPr>
          <w:rFonts w:ascii="Times New Roman" w:hAnsi="Times New Roman"/>
          <w:b w:val="false"/>
          <w:i w:val="false"/>
          <w:color w:val="000000"/>
          <w:sz w:val="22"/>
        </w:rPr>
        <w:t> </w:t>
      </w:r>
      <w:r>
        <w:rPr>
          <w:rFonts w:ascii="Times New Roman" w:hAnsi="Times New Roman"/>
          <w:b w:val="false"/>
          <w:i w:val="false"/>
          <w:color w:val="000000"/>
          <w:sz w:val="22"/>
        </w:rPr>
        <w:t>In the case of intercounty routes, joint applications may be filed. Resolutions are necessary of each county.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8935C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761—101.6</w:t>
      </w:r>
      <w:r>
        <w:rPr>
          <w:rFonts w:ascii="Times New Roman" w:hAnsi="Times New Roman"/>
          <w:b/>
          <w:i w:val="false"/>
          <w:color w:val="000000"/>
          <w:sz w:val="22"/>
        </w:rPr>
        <w:t xml:space="preserve">(306) </w:t>
      </w:r>
      <w:r>
        <w:rPr>
          <w:rFonts w:ascii="Times New Roman" w:hAnsi="Times New Roman"/>
          <w:b/>
          <w:i w:val="false"/>
          <w:color w:val="000000"/>
          <w:sz w:val="22"/>
        </w:rPr>
        <w:t xml:space="preserve">Voting and approval of requested modifications. </w:t>
      </w:r>
      <w:r>
        <w:rPr>
          <w:rFonts w:ascii="Times New Roman" w:hAnsi="Times New Roman"/>
          <w:b w:val="false"/>
          <w:i w:val="false"/>
          <w:color w:val="000000"/>
          <w:sz w:val="22"/>
        </w:rPr>
        <w:t>Each member is a voting member and is eligible to vote at every meeting at which that member is in attendance. Attendance may include members being present at the meeting through a conference telephone call, Iowa communications network connection, or other electronic means deemed appropriate by the chair.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101.6(1)</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a quorum. </w:t>
      </w:r>
      <w:r>
        <w:rPr>
          <w:rFonts w:ascii="Times New Roman" w:hAnsi="Times New Roman"/>
          <w:b w:val="false"/>
          <w:i w:val="false"/>
          <w:color w:val="000000"/>
          <w:sz w:val="22"/>
        </w:rPr>
        <w:t>A minimum of eight board members is necessary for a quorum. If a quorum is not present at a meeting, the meeting is rescheduled.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101.6(2)</w:t>
      </w:r>
      <w:r>
        <w:rPr>
          <w:rFonts w:ascii="Times New Roman" w:hAnsi="Times New Roman"/>
          <w:b w:val="false"/>
          <w:i w:val="false"/>
          <w:color w:val="000000"/>
          <w:sz w:val="22"/>
        </w:rPr>
        <w:t> </w:t>
      </w:r>
      <w:r>
        <w:rPr>
          <w:rFonts w:ascii="Times New Roman" w:hAnsi="Times New Roman"/>
          <w:b w:val="false"/>
          <w:i/>
          <w:color w:val="000000"/>
          <w:sz w:val="22"/>
        </w:rPr>
        <w:t xml:space="preserve">Number of votes needed to approve or deny a modification. </w:t>
      </w:r>
      <w:r>
        <w:rPr>
          <w:rFonts w:ascii="Times New Roman" w:hAnsi="Times New Roman"/>
          <w:b w:val="false"/>
          <w:i w:val="false"/>
          <w:color w:val="000000"/>
          <w:sz w:val="22"/>
        </w:rPr>
        <w:t>For a requested modification to the farm-to-market road system to be approved, it needs to receive a minimum of seven affirmative votes; in other words, a majority of the entire board. A motion to deny a requested modification needs to only receive six votes for the denial to be approved.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8935C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761—101.7</w:t>
      </w:r>
      <w:r>
        <w:rPr>
          <w:rFonts w:ascii="Times New Roman" w:hAnsi="Times New Roman"/>
          <w:b/>
          <w:i w:val="false"/>
          <w:color w:val="000000"/>
          <w:sz w:val="22"/>
        </w:rPr>
        <w:t xml:space="preserve">(306) </w:t>
      </w:r>
      <w:r>
        <w:rPr>
          <w:rFonts w:ascii="Times New Roman" w:hAnsi="Times New Roman"/>
          <w:b/>
          <w:i w:val="false"/>
          <w:color w:val="000000"/>
          <w:sz w:val="22"/>
        </w:rPr>
        <w:t xml:space="preserve">Report of board decision to applicant county. </w:t>
      </w:r>
      <w:r>
        <w:rPr>
          <w:rFonts w:ascii="Times New Roman" w:hAnsi="Times New Roman"/>
          <w:b w:val="false"/>
          <w:i w:val="false"/>
          <w:color w:val="000000"/>
          <w:sz w:val="22"/>
        </w:rPr>
        <w:t>Within 30 calendar days after a board meeting, the chair sends a formal response to each county whose request was acted upon by the board at the meeting. The response apprises each applicant of the decision of the board. If the application is denied, the board provides an explanation of the reasons for the denial.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8935C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761—101.8</w:t>
      </w:r>
      <w:r>
        <w:rPr>
          <w:rFonts w:ascii="Times New Roman" w:hAnsi="Times New Roman"/>
          <w:b/>
          <w:i w:val="false"/>
          <w:color w:val="000000"/>
          <w:sz w:val="22"/>
        </w:rPr>
        <w:t xml:space="preserve">(306) </w:t>
      </w:r>
      <w:r>
        <w:rPr>
          <w:rFonts w:ascii="Times New Roman" w:hAnsi="Times New Roman"/>
          <w:b/>
          <w:i w:val="false"/>
          <w:color w:val="000000"/>
          <w:sz w:val="22"/>
        </w:rPr>
        <w:t xml:space="preserve">Reapplication for modification. </w:t>
      </w:r>
      <w:r>
        <w:rPr>
          <w:rFonts w:ascii="Times New Roman" w:hAnsi="Times New Roman"/>
          <w:b w:val="false"/>
          <w:i w:val="false"/>
          <w:color w:val="000000"/>
          <w:sz w:val="22"/>
        </w:rPr>
        <w:t>A county may reapply for a modification to the farm-to-market road system if its initial request is denied. The county again follows all provisions for requesting a modification and should be prepared to present additional information in support of the requested change. Any requested system modification that receives two denials is not to be resubmitted for consideration for a minimum of three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8935C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761—101.9</w:t>
      </w:r>
      <w:r>
        <w:rPr>
          <w:rFonts w:ascii="Times New Roman" w:hAnsi="Times New Roman"/>
          <w:b/>
          <w:i w:val="false"/>
          <w:color w:val="000000"/>
          <w:sz w:val="22"/>
        </w:rPr>
        <w:t xml:space="preserve">(306) </w:t>
      </w:r>
      <w:r>
        <w:rPr>
          <w:rFonts w:ascii="Times New Roman" w:hAnsi="Times New Roman"/>
          <w:b/>
          <w:i w:val="false"/>
          <w:color w:val="000000"/>
          <w:sz w:val="22"/>
        </w:rPr>
        <w:t xml:space="preserve">Judicial review. </w:t>
      </w:r>
      <w:r>
        <w:rPr>
          <w:rFonts w:ascii="Times New Roman" w:hAnsi="Times New Roman"/>
          <w:b w:val="false"/>
          <w:i w:val="false"/>
          <w:color w:val="000000"/>
          <w:sz w:val="22"/>
        </w:rPr>
        <w:t xml:space="preserve">Any county that is aggrieved or adversely affected by a decision of the board may seek judicial review of such agency action under the provisions of Iowa Code section </w:t>
      </w:r>
      <w:hyperlink r:id="rId8">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8935C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761—101.10</w:t>
      </w:r>
      <w:r>
        <w:rPr>
          <w:rFonts w:ascii="Times New Roman" w:hAnsi="Times New Roman"/>
          <w:b/>
          <w:i w:val="false"/>
          <w:color w:val="000000"/>
          <w:sz w:val="22"/>
        </w:rPr>
        <w:t xml:space="preserve">(306) </w:t>
      </w:r>
      <w:r>
        <w:rPr>
          <w:rFonts w:ascii="Times New Roman" w:hAnsi="Times New Roman"/>
          <w:b/>
          <w:i w:val="false"/>
          <w:color w:val="000000"/>
          <w:sz w:val="22"/>
        </w:rPr>
        <w:t xml:space="preserve">Adoption and modification of rules. </w:t>
      </w:r>
      <w:r>
        <w:rPr>
          <w:rFonts w:ascii="Times New Roman" w:hAnsi="Times New Roman"/>
          <w:b w:val="false"/>
          <w:i w:val="false"/>
          <w:color w:val="000000"/>
          <w:sz w:val="22"/>
        </w:rPr>
        <w:t>The chair directs the board to review these rules annually. Board members may recommend changes to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8935C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761—101.11</w:t>
      </w:r>
      <w:r>
        <w:rPr>
          <w:rFonts w:ascii="Times New Roman" w:hAnsi="Times New Roman"/>
          <w:b/>
          <w:i w:val="false"/>
          <w:color w:val="000000"/>
          <w:sz w:val="22"/>
        </w:rPr>
        <w:t xml:space="preserve">(306) </w:t>
      </w:r>
      <w:r>
        <w:rPr>
          <w:rFonts w:ascii="Times New Roman" w:hAnsi="Times New Roman"/>
          <w:b/>
          <w:i w:val="false"/>
          <w:color w:val="000000"/>
          <w:sz w:val="22"/>
        </w:rPr>
        <w:t xml:space="preserve">Severability clause. </w:t>
      </w:r>
      <w:r>
        <w:rPr>
          <w:rFonts w:ascii="Times New Roman" w:hAnsi="Times New Roman"/>
          <w:b w:val="false"/>
          <w:i w:val="false"/>
          <w:color w:val="000000"/>
          <w:sz w:val="22"/>
        </w:rPr>
        <w:t>If any section, provision, or part of these rules is adjudged invalid or unconstitutional, such adjudication will not affect the validity of these rules as a whole or any section, provision, or part thereof not adjudged invalid or unconstitutional.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8935C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9">
        <w:r>
          <w:rPr>
            <w:rStyle w:val="Hyperlink"/>
            <w:rFonts w:ascii="Times New Roman" w:hAnsi="Times New Roman"/>
            <w:b w:val="false"/>
            <w:i w:val="false"/>
            <w:color w:val="000000"/>
            <w:sz w:val="22"/>
          </w:rPr>
          <w:t>306.6</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306.6A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1/21/99, Notice 12/16/98—published 2/10/99, effective 3/17/99]</w:t>
      </w:r>
    </w:p>
    <w:p>
      <w:pPr>
        <w:spacing w:before="0" w:after="0"/>
        <w:ind w:left="120"/>
        <w:jc w:val="center"/>
      </w:pPr>
      <w:r>
        <w:rPr>
          <w:rFonts w:ascii="Times New Roman" w:hAnsi="Times New Roman"/>
          <w:b w:val="false"/>
          <w:i w:val="false"/>
          <w:color w:val="000000"/>
          <w:sz w:val="21"/>
        </w:rPr>
        <w:t>[Filed ARC 2392C</w:t>
      </w:r>
      <w:r>
        <w:rPr>
          <w:rFonts w:ascii="Times New Roman" w:hAnsi="Times New Roman"/>
          <w:b w:val="false"/>
          <w:i w:val="false"/>
          <w:color w:val="000000"/>
          <w:sz w:val="21"/>
        </w:rPr>
        <w:t xml:space="preserve"> (Notice ARC 2248C, IAB 11/25/15)</w:t>
      </w:r>
      <w:r>
        <w:rPr>
          <w:rFonts w:ascii="Times New Roman" w:hAnsi="Times New Roman"/>
          <w:b w:val="false"/>
          <w:i w:val="false"/>
          <w:color w:val="000000"/>
          <w:sz w:val="21"/>
        </w:rPr>
        <w:t>, IAB 2/3/16, effective 3/9/16]</w:t>
      </w:r>
    </w:p>
    <w:p>
      <w:pPr>
        <w:spacing w:before="0" w:after="0"/>
        <w:ind w:left="120"/>
        <w:jc w:val="center"/>
      </w:pPr>
      <w:r>
        <w:rPr>
          <w:rFonts w:ascii="Times New Roman" w:hAnsi="Times New Roman"/>
          <w:b w:val="false"/>
          <w:i w:val="false"/>
          <w:color w:val="000000"/>
          <w:sz w:val="21"/>
        </w:rPr>
        <w:t>[Editorial change: IAC Supplement 8/11/21]</w:t>
      </w:r>
    </w:p>
    <w:p>
      <w:pPr>
        <w:spacing w:before="0" w:after="0"/>
        <w:ind w:left="120"/>
        <w:jc w:val="center"/>
      </w:pPr>
      <w:r>
        <w:rPr>
          <w:rFonts w:ascii="Times New Roman" w:hAnsi="Times New Roman"/>
          <w:b w:val="false"/>
          <w:i w:val="false"/>
          <w:color w:val="000000"/>
          <w:sz w:val="21"/>
        </w:rPr>
        <w:t>[Filed ARC 8935C</w:t>
      </w:r>
      <w:r>
        <w:rPr>
          <w:rFonts w:ascii="Times New Roman" w:hAnsi="Times New Roman"/>
          <w:b w:val="false"/>
          <w:i w:val="false"/>
          <w:color w:val="000000"/>
          <w:sz w:val="21"/>
        </w:rPr>
        <w:t xml:space="preserve"> (Notice ARC 8332C, IAB 11/13/24)</w:t>
      </w:r>
      <w:r>
        <w:rPr>
          <w:rFonts w:ascii="Times New Roman" w:hAnsi="Times New Roman"/>
          <w:b w:val="false"/>
          <w:i w:val="false"/>
          <w:color w:val="000000"/>
          <w:sz w:val="21"/>
        </w:rPr>
        <w:t>, IAB 2/19/25, effective 3/26/25]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06.6.pdf" Type="http://schemas.openxmlformats.org/officeDocument/2006/relationships/hyperlink" Id="rId5"/>
    <Relationship TargetMode="External" Target="https://www.legis.iowa.gov/docs/ico/chapter/306.6A.pdf" Type="http://schemas.openxmlformats.org/officeDocument/2006/relationships/hyperlink" Id="rId6"/>
    <Relationship TargetMode="External" Target="https://www.legis.iowa.gov/docs/ico/chapter/21.pdf" Type="http://schemas.openxmlformats.org/officeDocument/2006/relationships/hyperlink" Id="rId7"/>
    <Relationship TargetMode="External" Target="https://www.legis.iowa.gov/docs/ico/chapter/17A.19.pdf" Type="http://schemas.openxmlformats.org/officeDocument/2006/relationships/hyperlink" Id="rId8"/>
    <Relationship TargetMode="External" Target="https://www.legis.iowa.gov/docs/ico/chapter/306.6.pdf" Type="http://schemas.openxmlformats.org/officeDocument/2006/relationships/hyperlink" Id="rId9"/>
    <Relationship TargetMode="External" Target="https://www.legis.iowa.gov/docs/ico/chapter/306.6A.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