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0681D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751—2505.9</w:t>
      </w:r>
      <w:r>
        <w:rPr>
          <w:rFonts w:ascii="Times New Roman" w:hAnsi="Times New Roman"/>
          <w:b/>
          <w:i w:val="false"/>
          <w:color w:val="000000"/>
          <w:sz w:val="22"/>
        </w:rPr>
        <w:t xml:space="preserve">(8D) </w:t>
      </w:r>
      <w:r>
        <w:rPr>
          <w:rFonts w:ascii="Times New Roman" w:hAnsi="Times New Roman"/>
          <w:b/>
          <w:i w:val="false"/>
          <w:color w:val="000000"/>
          <w:sz w:val="22"/>
        </w:rPr>
        <w:t xml:space="preserve">Additional 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 proprietary network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“CPNI”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that relates to the quantity, technical configuration, type, destination, location, and amount of use of a telecommunications service subscribed to by any customer of a telecommunications carrier, as defined in </w:t>
      </w:r>
      <w:r>
        <w:rPr>
          <w:rFonts w:ascii="Times New Roman" w:hAnsi="Times New Roman"/>
          <w:b w:val="false"/>
          <w:i w:val="false"/>
          <w:color w:val="000000"/>
          <w:sz w:val="22"/>
        </w:rPr>
        <w:t>47 U.S.C. §222(h)(1)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“PII”</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0681D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751—2505.10</w:t>
      </w:r>
      <w:r>
        <w:rPr>
          <w:rFonts w:ascii="Times New Roman" w:hAnsi="Times New Roman"/>
          <w:b/>
          <w:i w:val="false"/>
          <w:color w:val="000000"/>
          <w:sz w:val="22"/>
        </w:rPr>
        <w:t xml:space="preserve">(8D) </w:t>
      </w:r>
      <w:r>
        <w:rPr>
          <w:rFonts w:ascii="Times New Roman" w:hAnsi="Times New Roman"/>
          <w:b/>
          <w:i w:val="false"/>
          <w:color w:val="000000"/>
          <w:sz w:val="22"/>
        </w:rPr>
        <w:t xml:space="preserve">Personally identifiable information and customer proprietary network information. </w:t>
      </w:r>
      <w:r>
        <w:rPr>
          <w:rFonts w:ascii="Times New Roman" w:hAnsi="Times New Roman"/>
          <w:b w:val="false"/>
          <w:i w:val="false"/>
          <w:color w:val="000000"/>
          <w:sz w:val="22"/>
        </w:rPr>
        <w:t>This rule describes the nature and extent of personally identifiable information and CPNI that is collected, maintained, and retrieved by the agency. The commission maintains the following primary records in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and payroll records. The agency maintains files containing information about employees, applicants, and dependents. The files include payroll records, biographical information, medical information, and performance reviews. These records are generally confidential pursuant to Iowa Code section </w:t>
      </w:r>
      <w:hyperlink r:id="rId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Commission and advisory board records. These records contain information about commission and board members, including biographical and contact information. Portions of these records may be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Vendor, contractor, and authorized user files. These files contain information about individuals who do business with the agency or represent authorized users, including contact information, billing records, and related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and network data. The agency collects and maintains CPNI to route traffic, bill for services, and manage network operations. Consistent with federal law, CPNI is strictly confidential and shall not be disclosed to the public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except as expressly authorized by the customer or required by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Litigation, contested case, and administrative files. These files contain information regarding litigation, rate disputes, vendor appeals, or administrative claims involving the agency. These records may contain confidential information protected by attorney-client privilege or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0681D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0681D</w:t>
      </w:r>
      <w:r>
        <w:rPr>
          <w:rFonts w:ascii="Times New Roman" w:hAnsi="Times New Roman"/>
          <w:b w:val="false"/>
          <w:i w:val="false"/>
          <w:color w:val="000000"/>
          <w:sz w:val="21"/>
        </w:rPr>
        <w:t xml:space="preserve"> (Notice ARC 0505D, IAB 9/2/26)</w:t>
      </w:r>
      <w:r>
        <w:rPr>
          <w:rFonts w:ascii="Times New Roman" w:hAnsi="Times New Roman"/>
          <w:b w:val="false"/>
          <w:i w:val="false"/>
          <w:color w:val="000000"/>
          <w:sz w:val="21"/>
        </w:rPr>
        <w:t>, IAB 10/28/26, effective 12/2/26]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8D.3.pdf" Type="http://schemas.openxmlformats.org/officeDocument/2006/relationships/hyperlink" Id="rId11"/>
    <Relationship TargetMode="External" Target="https://www.legis.iowa.gov/docs/ico/chapter/17A.24.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