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741—2.1</w:t>
      </w:r>
      <w:r>
        <w:rPr>
          <w:rFonts w:ascii="Times New Roman" w:hAnsi="Times New Roman"/>
          <w:b/>
          <w:i w:val="false"/>
          <w:color w:val="000000"/>
          <w:sz w:val="22"/>
        </w:rPr>
        <w:t xml:space="preserve">(182)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All words and terms defined in Iowa Code section </w:t>
      </w:r>
      <w:hyperlink r:id="rId5">
        <w:r>
          <w:rPr>
            <w:rStyle w:val="Hyperlink"/>
            <w:rFonts w:ascii="Times New Roman" w:hAnsi="Times New Roman"/>
            <w:b w:val="false"/>
            <w:i w:val="false"/>
            <w:color w:val="000000"/>
            <w:sz w:val="22"/>
          </w:rPr>
          <w:t>182.1</w:t>
        </w:r>
      </w:hyperlink>
      <w:r>
        <w:rPr>
          <w:rFonts w:ascii="Times New Roman" w:hAnsi="Times New Roman"/>
          <w:b w:val="false"/>
          <w:i w:val="false"/>
          <w:color w:val="000000"/>
          <w:sz w:val="22"/>
        </w:rPr>
        <w:t xml:space="preserve"> employed in these rules are given the definitions found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741—2.2</w:t>
      </w:r>
      <w:r>
        <w:rPr>
          <w:rFonts w:ascii="Times New Roman" w:hAnsi="Times New Roman"/>
          <w:b/>
          <w:i w:val="false"/>
          <w:color w:val="000000"/>
          <w:sz w:val="22"/>
        </w:rPr>
        <w:t xml:space="preserve">(182)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board by addressing these matters to the Iowa Sheep and Wool Promotion Board, Wallace State Office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741—2.3</w:t>
      </w:r>
      <w:r>
        <w:rPr>
          <w:rFonts w:ascii="Times New Roman" w:hAnsi="Times New Roman"/>
          <w:b/>
          <w:i w:val="false"/>
          <w:color w:val="000000"/>
          <w:sz w:val="22"/>
        </w:rPr>
        <w:t xml:space="preserve">(182)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board,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chairperson or assistants employed by the board shall attempt to settle the matter. In cases indicating a need for interpretation of board policy or legal interpretation, assistants employed by the board may defer action until after consultation with the chairperson or with legal counsel, or the chairperson may defer action until after consultation with legal counsel, or either may defer action until after discussion of the subject at a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assistants employed by the board or chairperson are unsuccessful, the board itself shall act to resolve the matter. In cases indicating a need for legal advice, the board may defer action until after consultation with legal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741—2.4</w:t>
      </w:r>
      <w:r>
        <w:rPr>
          <w:rFonts w:ascii="Times New Roman" w:hAnsi="Times New Roman"/>
          <w:b/>
          <w:i w:val="false"/>
          <w:color w:val="000000"/>
          <w:sz w:val="22"/>
        </w:rPr>
        <w:t xml:space="preserve">(182)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741—2.5</w:t>
      </w:r>
      <w:r>
        <w:rPr>
          <w:rFonts w:ascii="Times New Roman" w:hAnsi="Times New Roman"/>
          <w:b/>
          <w:i w:val="false"/>
          <w:color w:val="000000"/>
          <w:sz w:val="22"/>
        </w:rPr>
        <w:t xml:space="preserve">(182)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Rescinded by 2026 Iowa Acts, Senate File 2463, section 4, effective July 1, 2026.</w:t>
      </w:r>
    </w:p>
    <w:p>
      <w:pPr>
        <w:spacing w:before="0" w:after="0"/>
        <w:ind w:left="120"/>
        <w:jc w:val="center"/>
      </w:pPr>
      <w:r>
        <w:rPr>
          <w:rFonts w:ascii="Times New Roman" w:hAnsi="Times New Roman"/>
          <w:b w:val="false"/>
          <w:i w:val="false"/>
          <w:color w:val="000000"/>
          <w:sz w:val="21"/>
        </w:rPr>
        <w:t>[Filed emergency 10/3/86—published 10/22/86, effective 10/3/86]</w:t>
      </w:r>
    </w:p>
    <w:p>
      <w:pPr>
        <w:spacing w:before="0" w:after="0"/>
        <w:ind w:left="120"/>
        <w:jc w:val="center"/>
      </w:pPr>
      <w:r>
        <w:rPr>
          <w:rFonts w:ascii="Times New Roman" w:hAnsi="Times New Roman"/>
          <w:b w:val="false"/>
          <w:i w:val="false"/>
          <w:color w:val="000000"/>
          <w:sz w:val="21"/>
        </w:rPr>
        <w:t>[Filed 2/20/87, Notice 10/22/86—published 3/11/87, effective 4/15/87]</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1.pdf" Type="http://schemas.openxmlformats.org/officeDocument/2006/relationships/hyperlink" Id="rId5"/>
    <Relationship TargetMode="External" Target="https://www.legis.iowa.gov/docs/ico/chapter/182.1.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1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