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MECHANICS’ NOTICE AND LIEN REGISTRY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721—45.1</w:t>
      </w:r>
      <w:r>
        <w:rPr>
          <w:rFonts w:ascii="Times New Roman" w:hAnsi="Times New Roman"/>
          <w:b/>
          <w:i w:val="false"/>
          <w:color w:val="000000"/>
          <w:sz w:val="22"/>
        </w:rPr>
        <w:t xml:space="preserve">(572)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applies to the creation and administration of a mechanics’ notice and lien registry under Iowa Code chapter </w:t>
      </w:r>
      <w:hyperlink r:id="rId5">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 xml:space="preserve">. All filed mechanics’ liens must be posted in the office of the administrator in accordance with these rules. </w:t>
      </w:r>
    </w:p>
    <w:p>
      <w:pPr>
        <w:spacing w:before="0" w:after="0"/>
        <w:ind w:left="120"/>
        <w:jc w:val="both"/>
      </w:pPr>
      <w:r>
        <w:rPr>
          <w:rFonts w:ascii="Times New Roman" w:hAnsi="Times New Roman"/>
          <w:b w:val="false"/>
          <w:i w:val="false"/>
          <w:color w:val="000000"/>
          <w:sz w:val="22"/>
        </w:rPr>
        <w:t>Mechanics’ liens filed prior to January 1, 2013, shall remain with the clerk of the district court of the county in which the building, land, or improvement charged with the lien is situated.</w:t>
      </w:r>
    </w:p>
    <w:p>
      <w:pPr>
        <w:spacing w:before="0" w:after="0"/>
        <w:ind w:left="120"/>
        <w:jc w:val="both"/>
      </w:pP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721—45.4</w:t>
        </w:r>
      </w:hyperlink>
      <w:r>
        <w:rPr>
          <w:rFonts w:ascii="Times New Roman" w:hAnsi="Times New Roman"/>
          <w:b w:val="false"/>
          <w:i w:val="false"/>
          <w:color w:val="000000"/>
          <w:sz w:val="22"/>
        </w:rPr>
        <w:t xml:space="preserve">(572) and </w:t>
      </w:r>
      <w:hyperlink r:id="rId7">
        <w:r>
          <w:rPr>
            <w:rStyle w:val="Hyperlink"/>
            <w:rFonts w:ascii="Times New Roman" w:hAnsi="Times New Roman"/>
            <w:b w:val="false"/>
            <w:i w:val="false"/>
            <w:color w:val="000000"/>
            <w:sz w:val="22"/>
          </w:rPr>
          <w:t>721—45.5</w:t>
        </w:r>
      </w:hyperlink>
      <w:r>
        <w:rPr>
          <w:rFonts w:ascii="Times New Roman" w:hAnsi="Times New Roman"/>
          <w:b w:val="false"/>
          <w:i w:val="false"/>
          <w:color w:val="000000"/>
          <w:sz w:val="22"/>
        </w:rPr>
        <w:t>(572) apply only to residential construction. All other rules in this chapter apply to both residential and commercial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shall have the respective meanings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shall be construed as if followed by the words “erection, or other improvement upon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 xml:space="preserve">means a person entitled to a lien under Iowa Code chapter </w:t>
      </w:r>
      <w:hyperlink r:id="rId8">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office” </w:t>
      </w:r>
      <w:r>
        <w:rPr>
          <w:rFonts w:ascii="Times New Roman" w:hAnsi="Times New Roman"/>
          <w:b w:val="false"/>
          <w:i w:val="false"/>
          <w:color w:val="000000"/>
          <w:sz w:val="22"/>
        </w:rPr>
        <w:t>means the office of the secretary of state. The address of the office is Lucas State Office Building, First Floor, 321 East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contractor” </w:t>
      </w:r>
      <w:r>
        <w:rPr>
          <w:rFonts w:ascii="Times New Roman" w:hAnsi="Times New Roman"/>
          <w:b w:val="false"/>
          <w:i w:val="false"/>
          <w:color w:val="000000"/>
          <w:sz w:val="22"/>
        </w:rPr>
        <w:t>means every person who does work or furnishes materials by contract, express or implied, with an owner. “General contractor” does not include a person who does work or furnishes materials on contract with an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means the categories by which a posting may be searched and retrieved.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 </w:t>
      </w:r>
      <w:r>
        <w:rPr>
          <w:rFonts w:ascii="Times New Roman" w:hAnsi="Times New Roman"/>
          <w:b w:val="false"/>
          <w:i w:val="false"/>
          <w:color w:val="000000"/>
          <w:sz w:val="22"/>
        </w:rPr>
        <w:t>means labor completed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w:t>
      </w:r>
      <w:r>
        <w:rPr>
          <w:rFonts w:ascii="Times New Roman" w:hAnsi="Times New Roman"/>
          <w:b w:val="false"/>
          <w:i w:val="false"/>
          <w:color w:val="000000"/>
          <w:sz w:val="22"/>
        </w:rPr>
        <w:t>in addition to its ordinary meaning, includes machinery, tools, fixtures, trees, evergreens, vines, plants, shrubs, tubers, bulbs, hedges, bushes, sod, soil, dirt, mulch, peat, fertilizer, fence wire, fence material, fence posts, tile and the use of forms, accessories, and equipment furnished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“Mechanics’ notice and lien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“MNLR” </w:t>
      </w:r>
      <w:r>
        <w:rPr>
          <w:rFonts w:ascii="Times New Roman" w:hAnsi="Times New Roman"/>
          <w:b w:val="false"/>
          <w:i w:val="false"/>
          <w:color w:val="000000"/>
          <w:sz w:val="22"/>
        </w:rPr>
        <w:t>means a centralized computer database maintained on the Internet by the administrator that provides a central repository for the submission and management of preliminary notices, notices of commencement of work on residential construction properties, and mechanics’ liens on all construction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“Mechanics’ notice and lien registry number”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“MNLR number” </w:t>
      </w:r>
      <w:r>
        <w:rPr>
          <w:rFonts w:ascii="Times New Roman" w:hAnsi="Times New Roman"/>
          <w:b w:val="false"/>
          <w:i w:val="false"/>
          <w:color w:val="000000"/>
          <w:sz w:val="22"/>
        </w:rPr>
        <w:t>means a number provided by the administrator for all construction properties posted to the mechanics’ notice and lien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legal or equitable titleholder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“Owner-builder” </w:t>
      </w:r>
      <w:r>
        <w:rPr>
          <w:rFonts w:ascii="Times New Roman" w:hAnsi="Times New Roman"/>
          <w:b w:val="false"/>
          <w:i w:val="false"/>
          <w:color w:val="000000"/>
          <w:sz w:val="22"/>
        </w:rPr>
        <w:t>means the legal or equitable titleholder of record who furnishes material for or performs labor upon a building, erection, or other improvement, or who contracts with a subcontractor to furnish material for or perform labor upon a building, erection, or other improvement and who offers or intends to offer to sell the owner-builder’s property without occupying or using the structures, properties, developments, or improvements for a period of more than one year from the date the structure, property, development, or improvement is substantially completed or abandoned.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notice” </w:t>
      </w:r>
      <w:r>
        <w:rPr>
          <w:rFonts w:ascii="Times New Roman" w:hAnsi="Times New Roman"/>
          <w:b w:val="false"/>
          <w:i w:val="false"/>
          <w:color w:val="000000"/>
          <w:sz w:val="22"/>
        </w:rPr>
        <w:t>means notification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“posting” </w:t>
      </w:r>
      <w:r>
        <w:rPr>
          <w:rFonts w:ascii="Times New Roman" w:hAnsi="Times New Roman"/>
          <w:b w:val="false"/>
          <w:i w:val="false"/>
          <w:color w:val="000000"/>
          <w:sz w:val="22"/>
        </w:rPr>
        <w:t>means to enter notices, liens and any other document on the mechanics’ notice and lien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construction” </w:t>
      </w:r>
      <w:r>
        <w:rPr>
          <w:rFonts w:ascii="Times New Roman" w:hAnsi="Times New Roman"/>
          <w:b w:val="false"/>
          <w:i w:val="false"/>
          <w:color w:val="000000"/>
          <w:sz w:val="22"/>
        </w:rPr>
        <w:t xml:space="preserve">means construction on single-family or two-family dwellings occupied or used, or intended to be occupied or used, primarily for residential purposes, and includes real property pursuant to Iowa Code chapter </w:t>
      </w:r>
      <w:hyperlink r:id="rId9">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“Subcontractor” </w:t>
      </w:r>
      <w:r>
        <w:rPr>
          <w:rFonts w:ascii="Times New Roman" w:hAnsi="Times New Roman"/>
          <w:b w:val="false"/>
          <w:i w:val="false"/>
          <w:color w:val="000000"/>
          <w:sz w:val="22"/>
        </w:rPr>
        <w:t>means every person furnishing material or performing labor upon any building, erection, or other improvement, except those having contracts directly with the owner. “Subcontractor” shall include those persons having contracts directly with an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“submission” </w:t>
      </w:r>
      <w:r>
        <w:rPr>
          <w:rFonts w:ascii="Times New Roman" w:hAnsi="Times New Roman"/>
          <w:b w:val="false"/>
          <w:i w:val="false"/>
          <w:color w:val="000000"/>
          <w:sz w:val="22"/>
        </w:rPr>
        <w:t>means to mail, fax, or deliver by person or courier a paper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721—45.2</w:t>
      </w:r>
      <w:r>
        <w:rPr>
          <w:rFonts w:ascii="Times New Roman" w:hAnsi="Times New Roman"/>
          <w:b/>
          <w:i w:val="false"/>
          <w:color w:val="000000"/>
          <w:sz w:val="22"/>
        </w:rPr>
        <w:t xml:space="preserve">(572) </w:t>
      </w:r>
      <w:r>
        <w:rPr>
          <w:rFonts w:ascii="Times New Roman" w:hAnsi="Times New Roman"/>
          <w:b/>
          <w:i w:val="false"/>
          <w:color w:val="000000"/>
          <w:sz w:val="22"/>
        </w:rPr>
        <w:t xml:space="preserve">Creation of mechanics’ notice and lien registry. </w:t>
      </w:r>
      <w:r>
        <w:rPr>
          <w:rFonts w:ascii="Times New Roman" w:hAnsi="Times New Roman"/>
          <w:b w:val="false"/>
          <w:i w:val="false"/>
          <w:color w:val="000000"/>
          <w:sz w:val="22"/>
        </w:rPr>
        <w:t>The administrator shall create and administer a mechanics’ notice and lien registry, hereafter known as the MNLR.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color w:val="000000"/>
          <w:sz w:val="22"/>
        </w:rPr>
        <w:t xml:space="preserve">Access to MNLR by the general public. </w:t>
      </w:r>
      <w:r>
        <w:rPr>
          <w:rFonts w:ascii="Times New Roman" w:hAnsi="Times New Roman"/>
          <w:b w:val="false"/>
          <w:i w:val="false"/>
          <w:color w:val="000000"/>
          <w:sz w:val="22"/>
        </w:rPr>
        <w:t xml:space="preserve">The MNLR shall be accessible to the general public through the administrator’s website at </w:t>
      </w:r>
      <w:hyperlink r:id="rId10">
        <w:r>
          <w:rPr>
            <w:rStyle w:val="Hyperlink"/>
            <w:rFonts w:ascii="Times New Roman" w:hAnsi="Times New Roman"/>
            <w:b w:val="false"/>
            <w:i w:val="false"/>
            <w:color w:val="000000"/>
            <w:sz w:val="22"/>
            <w:u w:val="single"/>
          </w:rPr>
          <w:t>www.sos.iowa.gov/mnlr</w:t>
        </w:r>
      </w:hyperlink>
      <w:r>
        <w:rPr>
          <w:rFonts w:ascii="Times New Roman" w:hAnsi="Times New Roman"/>
          <w:b w:val="false"/>
          <w:i w:val="false"/>
          <w:color w:val="000000"/>
          <w:sz w:val="22"/>
        </w:rPr>
        <w:t>. A notice, lien or any other document posted is immediately accessible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color w:val="000000"/>
          <w:sz w:val="22"/>
        </w:rPr>
        <w:t xml:space="preserve">MNLR searchable by index. </w:t>
      </w:r>
      <w:r>
        <w:rPr>
          <w:rFonts w:ascii="Times New Roman" w:hAnsi="Times New Roman"/>
          <w:b w:val="false"/>
          <w:i w:val="false"/>
          <w:color w:val="000000"/>
          <w:sz w:val="22"/>
        </w:rPr>
        <w:t>The MNLR shall be searchable by the following indexes: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contractor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MNLR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w:t>
      </w:r>
      <w:r>
        <w:rPr>
          <w:rFonts w:ascii="Times New Roman" w:hAnsi="Times New Roman"/>
          <w:b w:val="false"/>
          <w:i w:val="false"/>
          <w:color w:val="000000"/>
          <w:sz w:val="22"/>
        </w:rPr>
        <w:t>The administrator shall provide a receipt acknowledging submission of a notice if the submission of information is by U.S. mail, facsimile transmission, personal delivery, or courier delivery, or acknowledging submission of a lien if the submission of information is by U.S. mail. The acknowledgment shall be sent to the email address provided by the person submitting the required information to post a notice or 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w:t>
      </w:r>
      <w:r>
        <w:rPr>
          <w:rFonts w:ascii="Times New Roman" w:hAnsi="Times New Roman"/>
          <w:b w:val="false"/>
          <w:i w:val="false"/>
          <w:color w:val="000000"/>
          <w:sz w:val="22"/>
        </w:rPr>
        <w:t> </w:t>
      </w:r>
      <w:r>
        <w:rPr>
          <w:rFonts w:ascii="Times New Roman" w:hAnsi="Times New Roman"/>
          <w:b w:val="false"/>
          <w:i/>
          <w:color w:val="000000"/>
          <w:sz w:val="22"/>
        </w:rPr>
        <w:t xml:space="preserve">MNLR user registration. </w:t>
      </w:r>
      <w:r>
        <w:rPr>
          <w:rFonts w:ascii="Times New Roman" w:hAnsi="Times New Roman"/>
          <w:b w:val="false"/>
          <w:i w:val="false"/>
          <w:color w:val="000000"/>
          <w:sz w:val="22"/>
        </w:rPr>
        <w:t>To post information on the MNLR website, the person must register as a user on the MNLR. Procedures for MNLR user registration and allowed use of the MNLR shall be posted on the administrator’s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721—45.3</w:t>
      </w:r>
      <w:r>
        <w:rPr>
          <w:rFonts w:ascii="Times New Roman" w:hAnsi="Times New Roman"/>
          <w:b/>
          <w:i w:val="false"/>
          <w:color w:val="000000"/>
          <w:sz w:val="22"/>
        </w:rPr>
        <w:t xml:space="preserve">(572) </w:t>
      </w:r>
      <w:r>
        <w:rPr>
          <w:rFonts w:ascii="Times New Roman" w:hAnsi="Times New Roman"/>
          <w:b/>
          <w:i w:val="false"/>
          <w:color w:val="000000"/>
          <w:sz w:val="22"/>
        </w:rPr>
        <w:t xml:space="preserve">Administrator identification. </w:t>
      </w:r>
      <w:r>
        <w:rPr>
          <w:rFonts w:ascii="Times New Roman" w:hAnsi="Times New Roman"/>
          <w:b w:val="false"/>
          <w:i w:val="false"/>
          <w:color w:val="000000"/>
          <w:sz w:val="22"/>
        </w:rPr>
        <w:t>In addition to the promulgation of these rules, the administrator will disseminate the administrator’s location, mailing address, telephone and facsimile numbers, and the administrator’s website and other electronic addresses through usual and customary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721—45.4</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notice of commencement of work; renewal of notice; inactive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Posting by general contractor. </w:t>
      </w:r>
      <w:r>
        <w:rPr>
          <w:rFonts w:ascii="Times New Roman" w:hAnsi="Times New Roman"/>
          <w:b w:val="false"/>
          <w:i w:val="false"/>
          <w:color w:val="000000"/>
          <w:sz w:val="22"/>
        </w:rPr>
        <w:t xml:space="preserve">A general contractor for residential construction shall post a notice of commencement of work to the MNLR within ten days of commencement of work, or the general contractor is not entitled to a lien or remedies provided in Iowa Code chapter </w:t>
      </w:r>
      <w:hyperlink r:id="rId11">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notice of commencement of work. </w:t>
      </w:r>
      <w:r>
        <w:rPr>
          <w:rFonts w:ascii="Times New Roman" w:hAnsi="Times New Roman"/>
          <w:b w:val="false"/>
          <w:i w:val="false"/>
          <w:color w:val="000000"/>
          <w:sz w:val="22"/>
        </w:rPr>
        <w:t>The information provided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general contractor or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work commenced.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building, land, or improvement to be charged with the lien is situated.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email address of the person posting or submitting the notice of commencement of work or the email address of another individual or entity designated to receive electronic correspondence on behalf of this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work owner notice. </w:t>
      </w:r>
      <w:r>
        <w:rPr>
          <w:rFonts w:ascii="Times New Roman" w:hAnsi="Times New Roman"/>
          <w:b w:val="false"/>
          <w:i w:val="false"/>
          <w:color w:val="000000"/>
          <w:sz w:val="22"/>
        </w:rPr>
        <w:t>At the time a notice of commencement of work is posted on the MNLR, the administrator shall mail a written owner notice to the owner’s address. If the owner’s address is different than the property address, a copy of the notice shall also be sent to the property address, addressed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notice shall be in boldface type and of a minimum size of ten points and contain the following language:</w:t>
      </w:r>
    </w:p>
    <w:p>
      <w:pPr>
        <w:spacing w:before="0" w:after="0"/>
        <w:ind w:left="120"/>
        <w:jc w:val="both"/>
      </w:pPr>
      <w:r>
        <w:rPr>
          <w:rFonts w:ascii="Times New Roman" w:hAnsi="Times New Roman"/>
          <w:b w:val="false"/>
          <w:i w:val="false"/>
          <w:color w:val="000000"/>
          <w:sz w:val="22"/>
        </w:rPr>
        <w:t>“Persons or companies furnishing labor or materials for the improvement of real property may enforce a lien upon the improved property if they are not paid for their contributions, even if the parties have no direct contractual relationship with the owner. The mechanics’ notice and lien registry provides a listing of all persons or companies furnishing labor or materials who have posted a lien or who may post a lien upon the improved property. If the person or company has posted its notice or lien to the mechanics’ notice and lien registry, you may be required to pay the person or company even if you have paid the general contractor the full amount due. Therefore, check the mechanics’ notice and lien registry website for information about the property including persons or companies furnishing labor or materials before paying your general contractor. In addition, when making payment to your general contractor, it is important to obtain lien waivers from your general contractor and from persons or companies registered as furnishing labor or materials to your property. The information in the mechanics’ notice and lien registry is posted on the website of the mechanics’ notice and lien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notice shall include the MNLR website address and MNLR toll-free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color w:val="000000"/>
          <w:sz w:val="22"/>
        </w:rPr>
        <w:t xml:space="preserve">Renewal of notice of commencement of work. </w:t>
      </w:r>
      <w:r>
        <w:rPr>
          <w:rFonts w:ascii="Times New Roman" w:hAnsi="Times New Roman"/>
          <w:b w:val="false"/>
          <w:i w:val="false"/>
          <w:color w:val="000000"/>
          <w:sz w:val="22"/>
        </w:rPr>
        <w:t>A notice of commencement of work may be renewed on the MNLR within 60 days prior to being declared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w:t>
      </w:r>
      <w:r>
        <w:rPr>
          <w:rFonts w:ascii="Times New Roman" w:hAnsi="Times New Roman"/>
          <w:b w:val="false"/>
          <w:i w:val="false"/>
          <w:color w:val="000000"/>
          <w:sz w:val="22"/>
        </w:rPr>
        <w:t> </w:t>
      </w:r>
      <w:r>
        <w:rPr>
          <w:rFonts w:ascii="Times New Roman" w:hAnsi="Times New Roman"/>
          <w:b w:val="false"/>
          <w:i/>
          <w:color w:val="000000"/>
          <w:sz w:val="22"/>
        </w:rPr>
        <w:t xml:space="preserve">Notice of commencement of work declared inactive. </w:t>
      </w:r>
      <w:r>
        <w:rPr>
          <w:rFonts w:ascii="Times New Roman" w:hAnsi="Times New Roman"/>
          <w:b w:val="false"/>
          <w:i w:val="false"/>
          <w:color w:val="000000"/>
          <w:sz w:val="22"/>
        </w:rPr>
        <w:t>A notice of commencement of work, if there are no related active postings, shall be declared inactive two years from the date of posting, unless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45.4(6)</w:t>
      </w:r>
      <w:r>
        <w:rPr>
          <w:rFonts w:ascii="Times New Roman" w:hAnsi="Times New Roman"/>
          <w:b w:val="false"/>
          <w:i w:val="false"/>
          <w:color w:val="000000"/>
          <w:sz w:val="22"/>
        </w:rPr>
        <w:t> </w:t>
      </w:r>
      <w:r>
        <w:rPr>
          <w:rFonts w:ascii="Times New Roman" w:hAnsi="Times New Roman"/>
          <w:b w:val="false"/>
          <w:i/>
          <w:color w:val="000000"/>
          <w:sz w:val="22"/>
        </w:rPr>
        <w:t xml:space="preserve">Removal of inactive notice. </w:t>
      </w:r>
      <w:r>
        <w:rPr>
          <w:rFonts w:ascii="Times New Roman" w:hAnsi="Times New Roman"/>
          <w:b w:val="false"/>
          <w:i w:val="false"/>
          <w:color w:val="000000"/>
          <w:sz w:val="22"/>
        </w:rPr>
        <w:t>A notice of commencement of work shall be removed from the MNLR one year after being declared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i w:val="false"/>
          <w:color w:val="000000"/>
          <w:sz w:val="16"/>
        </w:rPr>
        <w:t>ARC 9564C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721—45.5</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preliminary notice; renewal of notice; inactive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Posting by subcontractor.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subcontractor for residential construction who has provided or will provide labor or furnish material for residential construction shall post a preliminary notice to the MNLR, or the subcontractor is not entitled to a lien or remedies provided in Iowa Code chapter </w:t>
      </w:r>
      <w:hyperlink r:id="rId12">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posting of a preliminary notice, a notice of commencement of work must be posted on the MNLR. If the general contractor or owner-builder has not posted a notice of commencement of work on the MNLR within ten days of commencement of work on the property, then the subcontractor may post a notice of commencement of work on the MNLR prior to posting the preliminary notice. In order to post a notice of commencement of work on the MNLR, the subcontractor must comply with subrule </w:t>
      </w:r>
      <w:hyperlink r:id="rId13">
        <w:r>
          <w:rPr>
            <w:rStyle w:val="Hyperlink"/>
            <w:rFonts w:ascii="Times New Roman" w:hAnsi="Times New Roman"/>
            <w:b w:val="false"/>
            <w:i w:val="false"/>
            <w:color w:val="000000"/>
            <w:sz w:val="22"/>
          </w:rPr>
          <w:t>45.4(2)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Contents of preliminary notice. </w:t>
      </w:r>
      <w:r>
        <w:rPr>
          <w:rFonts w:ascii="Times New Roman" w:hAnsi="Times New Roman"/>
          <w:b w:val="false"/>
          <w:i w:val="false"/>
          <w:color w:val="000000"/>
          <w:sz w:val="22"/>
        </w:rPr>
        <w:t>The information provided by the subcontractor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MNLR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subcontractor furnishing the labor, service, equipment,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contracted with the claimant for the furnishing of the labor, service, equipment,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of the general contractor or owner-builder under which the claimant is performing or will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date the material or materials were first furnished or the labor was first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building, land, or improvement to be charged with the lien is situated.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email address of the subcontractor or the email address of another individual or entity designated to receive electronic correspondence on behalf of the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owner notice. </w:t>
      </w:r>
      <w:r>
        <w:rPr>
          <w:rFonts w:ascii="Times New Roman" w:hAnsi="Times New Roman"/>
          <w:b w:val="false"/>
          <w:i w:val="false"/>
          <w:color w:val="000000"/>
          <w:sz w:val="22"/>
        </w:rPr>
        <w:t xml:space="preserve">At the time that a preliminary notice is posted on the MNLR, the administrator shall mail a written owner notice, as provided in paragraphs </w:t>
      </w:r>
      <w:hyperlink r:id="rId14">
        <w:r>
          <w:rPr>
            <w:rStyle w:val="Hyperlink"/>
            <w:rFonts w:ascii="Times New Roman" w:hAnsi="Times New Roman"/>
            <w:b w:val="false"/>
            <w:i w:val="false"/>
            <w:color w:val="000000"/>
            <w:sz w:val="22"/>
          </w:rPr>
          <w:t>45.4(3)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45.4(3)</w:t>
        </w:r>
        <w:r>
          <w:rPr>
            <w:rFonts w:ascii="Times New Roman" w:hAnsi="Times New Roman"/>
            <w:b w:val="false"/>
            <w:i/>
            <w:color w:val="000000"/>
            <w:sz w:val="22"/>
          </w:rPr>
          <w:t>“b,”</w:t>
        </w:r>
      </w:hyperlink>
      <w:r>
        <w:rPr>
          <w:rFonts w:ascii="Times New Roman" w:hAnsi="Times New Roman"/>
          <w:b w:val="false"/>
          <w:i w:val="false"/>
          <w:color w:val="000000"/>
          <w:sz w:val="22"/>
        </w:rPr>
        <w:t xml:space="preserve"> to the owner’s address. An owner-builder shall not receive an owner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of owner notice. </w:t>
      </w:r>
      <w:r>
        <w:rPr>
          <w:rFonts w:ascii="Times New Roman" w:hAnsi="Times New Roman"/>
          <w:b w:val="false"/>
          <w:i w:val="false"/>
          <w:color w:val="000000"/>
          <w:sz w:val="22"/>
        </w:rPr>
        <w:t>The administrator shall post a proof of service on the MNLR. The subcontractor may obtain a copy by downloading the proof of service from the record of postings by MNLR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45.5(5)</w:t>
      </w:r>
      <w:r>
        <w:rPr>
          <w:rFonts w:ascii="Times New Roman" w:hAnsi="Times New Roman"/>
          <w:b w:val="false"/>
          <w:i w:val="false"/>
          <w:color w:val="000000"/>
          <w:sz w:val="22"/>
        </w:rPr>
        <w:t> </w:t>
      </w:r>
      <w:r>
        <w:rPr>
          <w:rFonts w:ascii="Times New Roman" w:hAnsi="Times New Roman"/>
          <w:b w:val="false"/>
          <w:i/>
          <w:color w:val="000000"/>
          <w:sz w:val="22"/>
        </w:rPr>
        <w:t xml:space="preserve">Renewal of preliminary notice. </w:t>
      </w:r>
      <w:r>
        <w:rPr>
          <w:rFonts w:ascii="Times New Roman" w:hAnsi="Times New Roman"/>
          <w:b w:val="false"/>
          <w:i w:val="false"/>
          <w:color w:val="000000"/>
          <w:sz w:val="22"/>
        </w:rPr>
        <w:t>A preliminary notice may be renewed on the MNLR within 60 days prior to being declared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45.5(6)</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declared inactive. </w:t>
      </w:r>
      <w:r>
        <w:rPr>
          <w:rFonts w:ascii="Times New Roman" w:hAnsi="Times New Roman"/>
          <w:b w:val="false"/>
          <w:i w:val="false"/>
          <w:color w:val="000000"/>
          <w:sz w:val="22"/>
        </w:rPr>
        <w:t>A preliminary notice that remains posted on the MNLR two years after the date of posting shall be declared inactive by the administrator, unless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45.5(7)</w:t>
      </w:r>
      <w:r>
        <w:rPr>
          <w:rFonts w:ascii="Times New Roman" w:hAnsi="Times New Roman"/>
          <w:b w:val="false"/>
          <w:i w:val="false"/>
          <w:color w:val="000000"/>
          <w:sz w:val="22"/>
        </w:rPr>
        <w:t> </w:t>
      </w:r>
      <w:r>
        <w:rPr>
          <w:rFonts w:ascii="Times New Roman" w:hAnsi="Times New Roman"/>
          <w:b w:val="false"/>
          <w:i/>
          <w:color w:val="000000"/>
          <w:sz w:val="22"/>
        </w:rPr>
        <w:t xml:space="preserve">Removal of inactive notice. </w:t>
      </w:r>
      <w:r>
        <w:rPr>
          <w:rFonts w:ascii="Times New Roman" w:hAnsi="Times New Roman"/>
          <w:b w:val="false"/>
          <w:i w:val="false"/>
          <w:color w:val="000000"/>
          <w:sz w:val="22"/>
        </w:rPr>
        <w:t>A preliminary notice shall be removed from the MNLR one year after being declared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i w:val="false"/>
          <w:color w:val="000000"/>
          <w:sz w:val="16"/>
        </w:rPr>
        <w:t>ARC 9564C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721—45.6</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mechanics’ lien.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color w:val="000000"/>
          <w:sz w:val="22"/>
        </w:rPr>
        <w:t xml:space="preserve">Posting of mechanic’s lien. </w:t>
      </w:r>
      <w:r>
        <w:rPr>
          <w:rFonts w:ascii="Times New Roman" w:hAnsi="Times New Roman"/>
          <w:b w:val="false"/>
          <w:i w:val="false"/>
          <w:color w:val="000000"/>
          <w:sz w:val="22"/>
        </w:rPr>
        <w:t>A person must post on the MNLR a verified statement of account of the demand due the person, after allowing all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statement of account. </w:t>
      </w:r>
      <w:r>
        <w:rPr>
          <w:rFonts w:ascii="Times New Roman" w:hAnsi="Times New Roman"/>
          <w:b w:val="false"/>
          <w:i w:val="false"/>
          <w:color w:val="000000"/>
          <w:sz w:val="22"/>
        </w:rPr>
        <w:t>The verified statement of account provided by the person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such material was first furnished or labor first performed, and the date on which the last of the material was furnished or the last of the labor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 to be charged with the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last-known mailing address of the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w:t>
      </w:r>
      <w:r>
        <w:rPr>
          <w:rFonts w:ascii="Times New Roman" w:hAnsi="Times New Roman"/>
          <w:b w:val="false"/>
          <w:i w:val="false"/>
          <w:color w:val="000000"/>
          <w:sz w:val="22"/>
        </w:rPr>
        <w:t> </w:t>
      </w:r>
      <w:r>
        <w:rPr>
          <w:rFonts w:ascii="Times New Roman" w:hAnsi="Times New Roman"/>
          <w:b w:val="false"/>
          <w:i/>
          <w:color w:val="000000"/>
          <w:sz w:val="22"/>
        </w:rPr>
        <w:t xml:space="preserve"> Mechanics’ lien owner notice. </w:t>
      </w:r>
      <w:r>
        <w:rPr>
          <w:rFonts w:ascii="Times New Roman" w:hAnsi="Times New Roman"/>
          <w:b w:val="false"/>
          <w:i w:val="false"/>
          <w:color w:val="000000"/>
          <w:sz w:val="22"/>
        </w:rPr>
        <w:t>At the time that a lien is posted on the MNLR, the administrator shall mail a copy of the lien to the owner’s address. The owner notice shall include the MNLR website address and MNLR toll-free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lien county or counties. </w:t>
      </w:r>
      <w:r>
        <w:rPr>
          <w:rFonts w:ascii="Times New Roman" w:hAnsi="Times New Roman"/>
          <w:b w:val="false"/>
          <w:i w:val="false"/>
          <w:color w:val="000000"/>
          <w:sz w:val="22"/>
        </w:rPr>
        <w:t xml:space="preserve">A lien posted to the MNLR under this rule shall be limited to the county or counties in which the building, land, or improvement to be charged with the lien is situated. The county or counties identified on the MNLR website at the time of posting the required notices in rules </w:t>
      </w:r>
      <w:hyperlink r:id="rId16">
        <w:r>
          <w:rPr>
            <w:rStyle w:val="Hyperlink"/>
            <w:rFonts w:ascii="Times New Roman" w:hAnsi="Times New Roman"/>
            <w:b w:val="false"/>
            <w:i w:val="false"/>
            <w:color w:val="000000"/>
            <w:sz w:val="22"/>
          </w:rPr>
          <w:t>721—45.4</w:t>
        </w:r>
      </w:hyperlink>
      <w:r>
        <w:rPr>
          <w:rFonts w:ascii="Times New Roman" w:hAnsi="Times New Roman"/>
          <w:b w:val="false"/>
          <w:i w:val="false"/>
          <w:color w:val="000000"/>
          <w:sz w:val="22"/>
        </w:rPr>
        <w:t xml:space="preserve">(572) and </w:t>
      </w:r>
      <w:hyperlink r:id="rId17">
        <w:r>
          <w:rPr>
            <w:rStyle w:val="Hyperlink"/>
            <w:rFonts w:ascii="Times New Roman" w:hAnsi="Times New Roman"/>
            <w:b w:val="false"/>
            <w:i w:val="false"/>
            <w:color w:val="000000"/>
            <w:sz w:val="22"/>
          </w:rPr>
          <w:t>721—45.5</w:t>
        </w:r>
      </w:hyperlink>
      <w:r>
        <w:rPr>
          <w:rFonts w:ascii="Times New Roman" w:hAnsi="Times New Roman"/>
          <w:b w:val="false"/>
          <w:i w:val="false"/>
          <w:color w:val="000000"/>
          <w:sz w:val="22"/>
        </w:rPr>
        <w:t>(572) shall be the only county or counties in which the building, land, or improvement may be charged with a mechanics’ 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45.6(5)</w:t>
      </w:r>
      <w:r>
        <w:rPr>
          <w:rFonts w:ascii="Times New Roman" w:hAnsi="Times New Roman"/>
          <w:b w:val="false"/>
          <w:i w:val="false"/>
          <w:color w:val="000000"/>
          <w:sz w:val="22"/>
        </w:rPr>
        <w:t> </w:t>
      </w:r>
      <w:r>
        <w:rPr>
          <w:rFonts w:ascii="Times New Roman" w:hAnsi="Times New Roman"/>
          <w:b w:val="false"/>
          <w:i/>
          <w:color w:val="000000"/>
          <w:sz w:val="22"/>
        </w:rPr>
        <w:t xml:space="preserve">Lien information contained in posting. </w:t>
      </w:r>
      <w:r>
        <w:rPr>
          <w:rFonts w:ascii="Times New Roman" w:hAnsi="Times New Roman"/>
          <w:b w:val="false"/>
          <w:i w:val="false"/>
          <w:color w:val="000000"/>
          <w:sz w:val="22"/>
        </w:rPr>
        <w:t>The liens posted on the MNLR shall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by whom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hour of 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against whom the lien is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 to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 of the property to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for posting of a mechanics’ lien for commercial property. </w:t>
      </w:r>
      <w:r>
        <w:rPr>
          <w:rFonts w:ascii="Times New Roman" w:hAnsi="Times New Roman"/>
          <w:b w:val="false"/>
          <w:i w:val="false"/>
          <w:color w:val="000000"/>
          <w:sz w:val="22"/>
        </w:rPr>
        <w:t>The person posting the mechanics’ lien for a commercial property must register as a user with the MNLR and must provide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general contractor or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building, land, or improvement to be charged with the lien is situated.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email address of the person posting or submitting the mechanics’ lien or the email address of another individual or entity designated to receive electronic correspondence on behalf of the person posting the lien.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721—45.7</w:t>
      </w:r>
      <w:r>
        <w:rPr>
          <w:rFonts w:ascii="Times New Roman" w:hAnsi="Times New Roman"/>
          <w:b/>
          <w:i w:val="false"/>
          <w:color w:val="000000"/>
          <w:sz w:val="22"/>
        </w:rPr>
        <w:t xml:space="preserve">(572) </w:t>
      </w:r>
      <w:r>
        <w:rPr>
          <w:rFonts w:ascii="Times New Roman" w:hAnsi="Times New Roman"/>
          <w:b/>
          <w:i w:val="false"/>
          <w:color w:val="000000"/>
          <w:sz w:val="22"/>
        </w:rPr>
        <w:t xml:space="preserve">Forfeiture and cancellation of mechanics’ liens.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45.7(1)</w:t>
      </w:r>
      <w:r>
        <w:rPr>
          <w:rFonts w:ascii="Times New Roman" w:hAnsi="Times New Roman"/>
          <w:b w:val="false"/>
          <w:i w:val="false"/>
          <w:color w:val="000000"/>
          <w:sz w:val="22"/>
        </w:rPr>
        <w:t> </w:t>
      </w:r>
      <w:r>
        <w:rPr>
          <w:rFonts w:ascii="Times New Roman" w:hAnsi="Times New Roman"/>
          <w:b w:val="false"/>
          <w:i/>
          <w:color w:val="000000"/>
          <w:sz w:val="22"/>
        </w:rPr>
        <w:t xml:space="preserve">Demand for acknowledgment of satisfaction of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mechanic’s lien is satisfied by payment of the claim, the claimant may post acknowledgment of that satisfaction on the MNLR.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claimant fails to acknowledge satisfaction by posting, the owner, general contractor or owner-builder may personally serve the claimant with a written demand that the claimant post the acknowledgment of satisfaction on the MNLR. If the claimant fails to post the acknowledgment of satisfaction within 30 days of when the demand is served, the mechanic’s lien is forfeited and canceled upon the posting of a copy of the demand and the posting of endorsed proofs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45.7(2)</w:t>
      </w:r>
      <w:r>
        <w:rPr>
          <w:rFonts w:ascii="Times New Roman" w:hAnsi="Times New Roman"/>
          <w:b w:val="false"/>
          <w:i w:val="false"/>
          <w:color w:val="000000"/>
          <w:sz w:val="22"/>
        </w:rPr>
        <w:t> </w:t>
      </w:r>
      <w:r>
        <w:rPr>
          <w:rFonts w:ascii="Times New Roman" w:hAnsi="Times New Roman"/>
          <w:b w:val="false"/>
          <w:i/>
          <w:color w:val="000000"/>
          <w:sz w:val="22"/>
        </w:rPr>
        <w:t xml:space="preserve">Posting of demand to commence action to enforce the lien. </w:t>
      </w:r>
      <w:r>
        <w:rPr>
          <w:rFonts w:ascii="Times New Roman" w:hAnsi="Times New Roman"/>
          <w:b w:val="false"/>
          <w:i w:val="false"/>
          <w:color w:val="000000"/>
          <w:sz w:val="22"/>
        </w:rPr>
        <w:t>The owner may serve a written demand on the claimant demanding that the claimant commence action to enforce the lien. If the claimant fails to commence action to enforce the lien within 30 days of receipt of the written demand, the owner may post a copy of the demand to commence action and the endorsed proofs of service. Completion of these requirements provides constructive notice to all parties that the lien has been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45.7(3)</w:t>
      </w:r>
      <w:r>
        <w:rPr>
          <w:rFonts w:ascii="Times New Roman" w:hAnsi="Times New Roman"/>
          <w:b w:val="false"/>
          <w:i w:val="false"/>
          <w:color w:val="000000"/>
          <w:sz w:val="22"/>
        </w:rPr>
        <w:t> </w:t>
      </w:r>
      <w:r>
        <w:rPr>
          <w:rFonts w:ascii="Times New Roman" w:hAnsi="Times New Roman"/>
          <w:b w:val="false"/>
          <w:i/>
          <w:color w:val="000000"/>
          <w:sz w:val="22"/>
        </w:rPr>
        <w:t xml:space="preserve">Notice to both parties. </w:t>
      </w:r>
      <w:r>
        <w:rPr>
          <w:rFonts w:ascii="Times New Roman" w:hAnsi="Times New Roman"/>
          <w:b w:val="false"/>
          <w:i w:val="false"/>
          <w:color w:val="000000"/>
          <w:sz w:val="22"/>
        </w:rPr>
        <w:t>At the time that a demand is posted on the MNLR, the administrator shall mail a date- and time-stamped copy of the demand to both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721—45.8</w:t>
      </w:r>
      <w:r>
        <w:rPr>
          <w:rFonts w:ascii="Times New Roman" w:hAnsi="Times New Roman"/>
          <w:b/>
          <w:i w:val="false"/>
          <w:color w:val="000000"/>
          <w:sz w:val="22"/>
        </w:rPr>
        <w:t xml:space="preserve">(572) </w:t>
      </w:r>
      <w:r>
        <w:rPr>
          <w:rFonts w:ascii="Times New Roman" w:hAnsi="Times New Roman"/>
          <w:b/>
          <w:i w:val="false"/>
          <w:color w:val="000000"/>
          <w:sz w:val="22"/>
        </w:rPr>
        <w:t xml:space="preserve">Discharge of mechanic’s lien by submission of a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45.8(1)</w:t>
      </w:r>
      <w:r>
        <w:rPr>
          <w:rFonts w:ascii="Times New Roman" w:hAnsi="Times New Roman"/>
          <w:b w:val="false"/>
          <w:i w:val="false"/>
          <w:color w:val="000000"/>
          <w:sz w:val="22"/>
        </w:rPr>
        <w:t> </w:t>
      </w:r>
      <w:r>
        <w:rPr>
          <w:rFonts w:ascii="Times New Roman" w:hAnsi="Times New Roman"/>
          <w:b w:val="false"/>
          <w:i/>
          <w:color w:val="000000"/>
          <w:sz w:val="22"/>
        </w:rPr>
        <w:t xml:space="preserve">Submission or posting of a bond. </w:t>
      </w:r>
      <w:r>
        <w:rPr>
          <w:rFonts w:ascii="Times New Roman" w:hAnsi="Times New Roman"/>
          <w:b w:val="false"/>
          <w:i w:val="false"/>
          <w:color w:val="000000"/>
          <w:sz w:val="22"/>
        </w:rPr>
        <w:t>Any person may submit a bond to the administrator or post a bond to discharge a mechanic’s lien. The submitter of the bond shall provide the MNLR number so that the administrator can determine to which lien to apply the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45.8(2)</w:t>
      </w:r>
      <w:r>
        <w:rPr>
          <w:rFonts w:ascii="Times New Roman" w:hAnsi="Times New Roman"/>
          <w:b w:val="false"/>
          <w:i w:val="false"/>
          <w:color w:val="000000"/>
          <w:sz w:val="22"/>
        </w:rPr>
        <w:t> </w:t>
      </w:r>
      <w:r>
        <w:rPr>
          <w:rFonts w:ascii="Times New Roman" w:hAnsi="Times New Roman"/>
          <w:b w:val="false"/>
          <w:i/>
          <w:color w:val="000000"/>
          <w:sz w:val="22"/>
        </w:rPr>
        <w:t xml:space="preserve">Acceptance of a bond. </w:t>
      </w:r>
      <w:r>
        <w:rPr>
          <w:rFonts w:ascii="Times New Roman" w:hAnsi="Times New Roman"/>
          <w:b w:val="false"/>
          <w:i w:val="false"/>
          <w:color w:val="000000"/>
          <w:sz w:val="22"/>
        </w:rPr>
        <w:t>The administrator may accept a bond in twice the amount of the sum for which the claim for the lien is filed, with surety or sureties authorized to issue surety bonds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45.8(3)</w:t>
      </w:r>
      <w:r>
        <w:rPr>
          <w:rFonts w:ascii="Times New Roman" w:hAnsi="Times New Roman"/>
          <w:b w:val="false"/>
          <w:i w:val="false"/>
          <w:color w:val="000000"/>
          <w:sz w:val="22"/>
        </w:rPr>
        <w:t> </w:t>
      </w:r>
      <w:r>
        <w:rPr>
          <w:rFonts w:ascii="Times New Roman" w:hAnsi="Times New Roman"/>
          <w:b w:val="false"/>
          <w:i/>
          <w:color w:val="000000"/>
          <w:sz w:val="22"/>
        </w:rPr>
        <w:t xml:space="preserve">Affidavit for release of bond. </w:t>
      </w:r>
      <w:r>
        <w:rPr>
          <w:rFonts w:ascii="Times New Roman" w:hAnsi="Times New Roman"/>
          <w:b w:val="false"/>
          <w:i w:val="false"/>
          <w:color w:val="000000"/>
          <w:sz w:val="22"/>
        </w:rPr>
        <w:t xml:space="preserve">Upon satisfaction or forfeiture of a mechanics’ lien, the owner may release a bond submitted to discharge the lien pursuant to Iowa Code section </w:t>
      </w:r>
      <w:hyperlink r:id="rId18">
        <w:r>
          <w:rPr>
            <w:rStyle w:val="Hyperlink"/>
            <w:rFonts w:ascii="Times New Roman" w:hAnsi="Times New Roman"/>
            <w:b w:val="false"/>
            <w:i w:val="false"/>
            <w:color w:val="000000"/>
            <w:sz w:val="22"/>
          </w:rPr>
          <w:t>572.15</w:t>
        </w:r>
      </w:hyperlink>
      <w:r>
        <w:rPr>
          <w:rFonts w:ascii="Times New Roman" w:hAnsi="Times New Roman"/>
          <w:b w:val="false"/>
          <w:i w:val="false"/>
          <w:color w:val="000000"/>
          <w:sz w:val="22"/>
        </w:rPr>
        <w:t xml:space="preserve"> by submitting to the administrator an affidavit for release of bond.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721—45.9</w:t>
      </w:r>
      <w:r>
        <w:rPr>
          <w:rFonts w:ascii="Times New Roman" w:hAnsi="Times New Roman"/>
          <w:b/>
          <w:i w:val="false"/>
          <w:color w:val="000000"/>
          <w:sz w:val="22"/>
        </w:rPr>
        <w:t xml:space="preserve">(572) </w:t>
      </w:r>
      <w:r>
        <w:rPr>
          <w:rFonts w:ascii="Times New Roman" w:hAnsi="Times New Roman"/>
          <w:b/>
          <w:i w:val="false"/>
          <w:color w:val="000000"/>
          <w:sz w:val="22"/>
        </w:rPr>
        <w:t xml:space="preserve">Action against general contractor or owner-builder to recover amount 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color w:val="000000"/>
          <w:sz w:val="22"/>
        </w:rPr>
        <w:t xml:space="preserve">Giving of a bond. </w:t>
      </w:r>
      <w:r>
        <w:rPr>
          <w:rFonts w:ascii="Times New Roman" w:hAnsi="Times New Roman"/>
          <w:b w:val="false"/>
          <w:i w:val="false"/>
          <w:color w:val="000000"/>
          <w:sz w:val="22"/>
        </w:rPr>
        <w:t xml:space="preserve">The general contractor or owner-builder may post or submit a surety bond to the administrator for purposes of preventing exemplary damages under Iowa Code section </w:t>
      </w:r>
      <w:hyperlink r:id="rId19">
        <w:r>
          <w:rPr>
            <w:rStyle w:val="Hyperlink"/>
            <w:rFonts w:ascii="Times New Roman" w:hAnsi="Times New Roman"/>
            <w:b w:val="false"/>
            <w:i w:val="false"/>
            <w:color w:val="000000"/>
            <w:sz w:val="22"/>
          </w:rPr>
          <w:t>572.30</w:t>
        </w:r>
      </w:hyperlink>
      <w:r>
        <w:rPr>
          <w:rFonts w:ascii="Times New Roman" w:hAnsi="Times New Roman"/>
          <w:b w:val="false"/>
          <w:i w:val="false"/>
          <w:color w:val="000000"/>
          <w:sz w:val="22"/>
        </w:rPr>
        <w:t xml:space="preserve">. The bond shall be in an amount not less than the amount necessary to satisfy the nonpayment for which the notice has been given, and in a form set forth by Iowa Code section </w:t>
      </w:r>
      <w:hyperlink r:id="rId20">
        <w:r>
          <w:rPr>
            <w:rStyle w:val="Hyperlink"/>
            <w:rFonts w:ascii="Times New Roman" w:hAnsi="Times New Roman"/>
            <w:b w:val="false"/>
            <w:i w:val="false"/>
            <w:color w:val="000000"/>
            <w:sz w:val="22"/>
          </w:rPr>
          <w:t>572.30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color w:val="000000"/>
          <w:sz w:val="22"/>
        </w:rPr>
        <w:t xml:space="preserve">Acceptance of a bond. </w:t>
      </w:r>
      <w:r>
        <w:rPr>
          <w:rFonts w:ascii="Times New Roman" w:hAnsi="Times New Roman"/>
          <w:b w:val="false"/>
          <w:i w:val="false"/>
          <w:color w:val="000000"/>
          <w:sz w:val="22"/>
        </w:rPr>
        <w:t xml:space="preserve">The administrator shall accept a bond in an amount and form set forth by Iowa Code section </w:t>
      </w:r>
      <w:hyperlink r:id="rId21">
        <w:r>
          <w:rPr>
            <w:rStyle w:val="Hyperlink"/>
            <w:rFonts w:ascii="Times New Roman" w:hAnsi="Times New Roman"/>
            <w:b w:val="false"/>
            <w:i w:val="false"/>
            <w:color w:val="000000"/>
            <w:sz w:val="22"/>
          </w:rPr>
          <w:t>572.30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721—45.10</w:t>
      </w:r>
      <w:r>
        <w:rPr>
          <w:rFonts w:ascii="Times New Roman" w:hAnsi="Times New Roman"/>
          <w:b/>
          <w:i w:val="false"/>
          <w:color w:val="000000"/>
          <w:sz w:val="22"/>
        </w:rPr>
        <w:t xml:space="preserve">(572) </w:t>
      </w:r>
      <w:r>
        <w:rPr>
          <w:rFonts w:ascii="Times New Roman" w:hAnsi="Times New Roman"/>
          <w:b/>
          <w:i w:val="false"/>
          <w:color w:val="000000"/>
          <w:sz w:val="22"/>
        </w:rPr>
        <w:t xml:space="preserve">Delay by administrator. </w:t>
      </w:r>
      <w:r>
        <w:rPr>
          <w:rFonts w:ascii="Times New Roman" w:hAnsi="Times New Roman"/>
          <w:b w:val="false"/>
          <w:i w:val="false"/>
          <w:color w:val="000000"/>
          <w:sz w:val="22"/>
        </w:rPr>
        <w:t>Delay by the administrator beyond a time limit prescribed in these rules is excused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delay is caused by interruption of communication or computer facilities, war, emergency conditions, failure of equipment, or other circumstances beyond the control of the administrator.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administrator exercises reasonable diligence under these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721—45.11</w:t>
      </w:r>
      <w:r>
        <w:rPr>
          <w:rFonts w:ascii="Times New Roman" w:hAnsi="Times New Roman"/>
          <w:b/>
          <w:i w:val="false"/>
          <w:color w:val="000000"/>
          <w:sz w:val="22"/>
        </w:rPr>
        <w:t xml:space="preserve">(572) </w:t>
      </w:r>
      <w:r>
        <w:rPr>
          <w:rFonts w:ascii="Times New Roman" w:hAnsi="Times New Roman"/>
          <w:b/>
          <w:i w:val="false"/>
          <w:color w:val="000000"/>
          <w:sz w:val="22"/>
        </w:rPr>
        <w:t xml:space="preserve">Nondisclosure of MNLR information. </w:t>
      </w:r>
      <w:r>
        <w:rPr>
          <w:rFonts w:ascii="Times New Roman" w:hAnsi="Times New Roman"/>
          <w:b w:val="false"/>
          <w:i w:val="false"/>
          <w:color w:val="000000"/>
          <w:sz w:val="22"/>
        </w:rPr>
        <w:t xml:space="preserve">The following information, provided in compliance with this chapter, shall not be viewed as a public record under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shall not be disclosed by the administrator: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email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MNLR user account or payment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721—45.12</w:t>
      </w:r>
      <w:r>
        <w:rPr>
          <w:rFonts w:ascii="Times New Roman" w:hAnsi="Times New Roman"/>
          <w:b/>
          <w:i w:val="false"/>
          <w:color w:val="000000"/>
          <w:sz w:val="22"/>
        </w:rPr>
        <w:t xml:space="preserve">(572) </w:t>
      </w:r>
      <w:r>
        <w:rPr>
          <w:rFonts w:ascii="Times New Roman" w:hAnsi="Times New Roman"/>
          <w:b/>
          <w:i w:val="false"/>
          <w:color w:val="000000"/>
          <w:sz w:val="22"/>
        </w:rPr>
        <w:t xml:space="preserve">Obligation to update information. </w:t>
      </w:r>
      <w:r>
        <w:rPr>
          <w:rFonts w:ascii="Times New Roman" w:hAnsi="Times New Roman"/>
          <w:b w:val="false"/>
          <w:i w:val="false"/>
          <w:color w:val="000000"/>
          <w:sz w:val="22"/>
        </w:rPr>
        <w:t>The administrator may use email for official correspondence with a registered user, except when law requires delivery by U.S. mail. If the registered user wants to receive timely notice by the administrator, it is the obligation of the registered user to update the user’s contact information on the MNLR.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721—45.13</w:t>
      </w:r>
      <w:r>
        <w:rPr>
          <w:rFonts w:ascii="Times New Roman" w:hAnsi="Times New Roman"/>
          <w:b/>
          <w:i w:val="false"/>
          <w:color w:val="000000"/>
          <w:sz w:val="22"/>
        </w:rPr>
        <w:t xml:space="preserve">(572) </w:t>
      </w:r>
      <w:r>
        <w:rPr>
          <w:rFonts w:ascii="Times New Roman" w:hAnsi="Times New Roman"/>
          <w:b/>
          <w:i w:val="false"/>
          <w:color w:val="000000"/>
          <w:sz w:val="22"/>
        </w:rPr>
        <w:t xml:space="preserve">Fees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color w:val="000000"/>
          <w:sz w:val="22"/>
        </w:rPr>
        <w:t xml:space="preserve">Fee for posting and mailing. </w:t>
      </w:r>
      <w:r>
        <w:rPr>
          <w:rFonts w:ascii="Times New Roman" w:hAnsi="Times New Roman"/>
          <w:b w:val="false"/>
          <w:i w:val="false"/>
          <w:color w:val="000000"/>
          <w:sz w:val="22"/>
        </w:rPr>
        <w:t>The following fees shall be charged for posting on the MNLR and for the mailing of notices: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posting a notice of commencement of work using the website is $7. The fee for posting a notice of commencement of work by submitting the notice to the administrator by U.S. mail, facsimile, personal delivery, or courier delivery is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posting a preliminary notice on the MNLR using the website is $7. The fee for posting a preliminary notice by submitting the notice to the administrator by U.S. mail, facsimile, personal delivery, or courier delivery is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posting a mechanics’ lien using the website is $30. The fee for posting a mechanics’ lien by submitting the lien to the administrator by U.S. mail is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mailing a copy of the demand for acknowledgment is $5 per party’s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fee for mailing a copy of the demand to commence action is $5 per party’s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fee for posting a correction statement is $5 to mail a new owner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color w:val="000000"/>
          <w:sz w:val="22"/>
        </w:rPr>
        <w:t xml:space="preserve">Searching the MNLR. </w:t>
      </w:r>
      <w:r>
        <w:rPr>
          <w:rFonts w:ascii="Times New Roman" w:hAnsi="Times New Roman"/>
          <w:b w:val="false"/>
          <w:i w:val="false"/>
          <w:color w:val="000000"/>
          <w:sz w:val="22"/>
        </w:rPr>
        <w:t>A search of the MNLR by index list is available at no cost via the administrator’s website. Any person may search the MNLR without registering as an MNLR user. When a search of the MNLR is performed by the administrator, the following fees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an MNLR search request is $5. The search will only be performed if an MNLR number is provided by the requester. Other than by MNLR number, no other search will be performed by the administrator. The request may be made by verbal communication, on paper, by facsimile, or by email. The search provides the requester with a copy of the summary of postings for the provided MNLR number and an estimate of the cost to obtain a paper copy of the documents listed on the summary of postings.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paper copy of a document posted on the MNLR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 per page, delivered by U.S.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 per page, delivered by facsimile machine.</w:t>
      </w:r>
    </w:p>
    <w:p>
      <w:pPr>
        <w:spacing w:before="0" w:after="0"/>
        <w:ind w:left="120"/>
        <w:jc w:val="both"/>
      </w:pPr>
      <w:r>
        <w:rPr>
          <w:rFonts w:ascii="Times New Roman" w:hAnsi="Times New Roman"/>
          <w:b w:val="false"/>
          <w:i w:val="false"/>
          <w:color w:val="000000"/>
          <w:sz w:val="22"/>
        </w:rPr>
        <w:t>Documents will not be delivered via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45.13(3)</w:t>
      </w:r>
      <w:r>
        <w:rPr>
          <w:rFonts w:ascii="Times New Roman" w:hAnsi="Times New Roman"/>
          <w:b w:val="false"/>
          <w:i w:val="false"/>
          <w:color w:val="000000"/>
          <w:sz w:val="22"/>
        </w:rPr>
        <w:t> </w:t>
      </w:r>
      <w:r>
        <w:rPr>
          <w:rFonts w:ascii="Times New Roman" w:hAnsi="Times New Roman"/>
          <w:b w:val="false"/>
          <w:i/>
          <w:color w:val="000000"/>
          <w:sz w:val="22"/>
        </w:rPr>
        <w:t xml:space="preserve">Public records services. </w:t>
      </w:r>
      <w:r>
        <w:rPr>
          <w:rFonts w:ascii="Times New Roman" w:hAnsi="Times New Roman"/>
          <w:b w:val="false"/>
          <w:i w:val="false"/>
          <w:color w:val="000000"/>
          <w:sz w:val="22"/>
        </w:rPr>
        <w:t>Public records services are provided on a nondiscriminatory basis to any member of the public on the terms described in these rules. The following fees shall be charged for obtaining copies of MNLR documents and copies of data from the MNLR information management system, as generated and provided by the administrator, by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Paper copies of individual documents. The requester must provide the MNLR document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mail delivery — $1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Facsimile delivery — $2 per page. </w:t>
      </w:r>
    </w:p>
    <w:p>
      <w:pPr>
        <w:spacing w:before="0" w:after="0"/>
        <w:ind w:left="120"/>
        <w:jc w:val="both"/>
      </w:pPr>
      <w:r>
        <w:rPr>
          <w:rFonts w:ascii="Times New Roman" w:hAnsi="Times New Roman"/>
          <w:b w:val="false"/>
          <w:i w:val="false"/>
          <w:color w:val="000000"/>
          <w:sz w:val="22"/>
        </w:rPr>
        <w:t xml:space="preserve">Documents will not be delivered via email.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Data download.</w:t>
      </w:r>
    </w:p>
    <w:p>
      <w:pPr>
        <w:spacing w:before="0" w:after="0"/>
        <w:ind w:left="120"/>
        <w:jc w:val="both"/>
      </w:pPr>
      <w:r>
        <w:rPr>
          <w:rFonts w:ascii="Times New Roman" w:hAnsi="Times New Roman"/>
          <w:b w:val="false"/>
          <w:i w:val="false"/>
          <w:color w:val="000000"/>
          <w:sz w:val="22"/>
        </w:rPr>
        <w:t>One-time full extract of data for a calendar year via download: up to $1,000 per year. In addition to the purchase of the download, a requester for full data extract may purchase a copy of all PDF images of postings for the calendar year for 4 cents per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45.13(4)</w:t>
      </w:r>
      <w:r>
        <w:rPr>
          <w:rFonts w:ascii="Times New Roman" w:hAnsi="Times New Roman"/>
          <w:b w:val="false"/>
          <w:i w:val="false"/>
          <w:color w:val="000000"/>
          <w:sz w:val="22"/>
        </w:rPr>
        <w:t> </w:t>
      </w:r>
      <w:r>
        <w:rPr>
          <w:rFonts w:ascii="Times New Roman" w:hAnsi="Times New Roman"/>
          <w:b w:val="false"/>
          <w:i/>
          <w:color w:val="000000"/>
          <w:sz w:val="22"/>
        </w:rPr>
        <w:t xml:space="preserve">Methods of payment. </w:t>
      </w:r>
      <w:r>
        <w:rPr>
          <w:rFonts w:ascii="Times New Roman" w:hAnsi="Times New Roman"/>
          <w:b w:val="false"/>
          <w:i w:val="false"/>
          <w:color w:val="000000"/>
          <w:sz w:val="22"/>
        </w:rPr>
        <w:t>Fees for posting, mailing, and searching rendered by the administrator may be paid to the administrator by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Check. Checks made payable to administrator, including checks in an amount to be filled in by the administrator but not to exceed a particular amount, will be accepted for payment if they are cashier’s checks or certified checks drawn on a bank acceptable to the administrator or if the drawer is acceptable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funds transfer. The administrator may accept payment via electronic funds transfer under National Automated Clearing Housing Association (NACHA) rules from persons who have entered into appropriate NACHA-approved arrangements for such transfers and who authorize the relevant transfer pursuant to such arrangements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Accounts receivable. Payment for services shall be in accordance with rule </w:t>
      </w:r>
      <w:hyperlink r:id="rId23">
        <w:r>
          <w:rPr>
            <w:rStyle w:val="Hyperlink"/>
            <w:rFonts w:ascii="Times New Roman" w:hAnsi="Times New Roman"/>
            <w:b w:val="false"/>
            <w:i w:val="false"/>
            <w:color w:val="000000"/>
            <w:sz w:val="22"/>
          </w:rPr>
          <w:t>721—2.3(17A)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card. The administrator may accept payments made by credit card issued by an approved credit card issuer.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45.13(5)</w:t>
      </w:r>
      <w:r>
        <w:rPr>
          <w:rFonts w:ascii="Times New Roman" w:hAnsi="Times New Roman"/>
          <w:b w:val="false"/>
          <w:i w:val="false"/>
          <w:color w:val="000000"/>
          <w:sz w:val="22"/>
        </w:rPr>
        <w:t> </w:t>
      </w:r>
      <w:r>
        <w:rPr>
          <w:rFonts w:ascii="Times New Roman" w:hAnsi="Times New Roman"/>
          <w:b w:val="false"/>
          <w:i/>
          <w:color w:val="000000"/>
          <w:sz w:val="22"/>
        </w:rPr>
        <w:t xml:space="preserve">Receipt of required fees verified.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receipt of the required fee must be verified by the administrator to post to the MNLR. The administrator may reject a submission or posting; or post a withdrawal statement on the MNLR if the administrator is notified of insufficient funds, a disputed credit card charge, or other failure. A posting rejected for insufficient funds shall be identified as such by the administrator on the MNLR. If a posting is withdrawn by the administrator for failure to pay the required fee, the MNLR document number will be unavailable to select for posting a mechanic’s lien; the original posting with funds verified may be reposted by the MNLR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the administrator to provide a requested copy of an MNLR search or public record, receipt of the required fee must be verified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45.13(6)</w:t>
      </w:r>
      <w:r>
        <w:rPr>
          <w:rFonts w:ascii="Times New Roman" w:hAnsi="Times New Roman"/>
          <w:b w:val="false"/>
          <w:i w:val="false"/>
          <w:color w:val="000000"/>
          <w:sz w:val="22"/>
        </w:rPr>
        <w:t> </w:t>
      </w:r>
      <w:r>
        <w:rPr>
          <w:rFonts w:ascii="Times New Roman" w:hAnsi="Times New Roman"/>
          <w:b w:val="false"/>
          <w:i/>
          <w:color w:val="000000"/>
          <w:sz w:val="22"/>
        </w:rPr>
        <w:t xml:space="preserve">Overpayment and underpayment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refund the amount of an overpayment exceeding $15, less the administrative cost of processing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submission with an insufficient fee, the administrator shall return the document as provided in rule </w:t>
      </w:r>
      <w:hyperlink r:id="rId24">
        <w:r>
          <w:rPr>
            <w:rStyle w:val="Hyperlink"/>
            <w:rFonts w:ascii="Times New Roman" w:hAnsi="Times New Roman"/>
            <w:b w:val="false"/>
            <w:i w:val="false"/>
            <w:color w:val="000000"/>
            <w:sz w:val="22"/>
          </w:rPr>
          <w:t>721—45.14</w:t>
        </w:r>
      </w:hyperlink>
      <w:r>
        <w:rPr>
          <w:rFonts w:ascii="Times New Roman" w:hAnsi="Times New Roman"/>
          <w:b w:val="false"/>
          <w:i w:val="false"/>
          <w:color w:val="000000"/>
          <w:sz w:val="22"/>
        </w:rPr>
        <w:t>(572). A refund of partial payment may be included with the document or delivered under separate cover.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721—45.14</w:t>
      </w:r>
      <w:r>
        <w:rPr>
          <w:rFonts w:ascii="Times New Roman" w:hAnsi="Times New Roman"/>
          <w:b/>
          <w:i w:val="false"/>
          <w:color w:val="000000"/>
          <w:sz w:val="22"/>
        </w:rPr>
        <w:t xml:space="preserve">(572) </w:t>
      </w:r>
      <w:r>
        <w:rPr>
          <w:rFonts w:ascii="Times New Roman" w:hAnsi="Times New Roman"/>
          <w:b/>
          <w:i w:val="false"/>
          <w:color w:val="000000"/>
          <w:sz w:val="22"/>
        </w:rPr>
        <w:t xml:space="preserve">Grounds for refusal of a posting or submission. </w:t>
      </w:r>
      <w:r>
        <w:rPr>
          <w:rFonts w:ascii="Times New Roman" w:hAnsi="Times New Roman"/>
          <w:b w:val="false"/>
          <w:i w:val="false"/>
          <w:color w:val="000000"/>
          <w:sz w:val="22"/>
        </w:rPr>
        <w:t>A posting or submission may be refused by the administrator on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posting or submission does not provide complete information as required under subrule </w:t>
      </w:r>
      <w:hyperlink r:id="rId25">
        <w:r>
          <w:rPr>
            <w:rStyle w:val="Hyperlink"/>
            <w:rFonts w:ascii="Times New Roman" w:hAnsi="Times New Roman"/>
            <w:b w:val="false"/>
            <w:i w:val="false"/>
            <w:color w:val="000000"/>
            <w:sz w:val="22"/>
          </w:rPr>
          <w:t>45.4(2)</w:t>
        </w:r>
      </w:hyperlink>
      <w:r>
        <w:rPr>
          <w:rFonts w:ascii="Times New Roman" w:hAnsi="Times New Roman"/>
          <w:b w:val="false"/>
          <w:i w:val="false"/>
          <w:color w:val="000000"/>
          <w:sz w:val="22"/>
        </w:rPr>
        <w:t xml:space="preserve"> for a notice of commencement of work, subrule </w:t>
      </w:r>
      <w:hyperlink r:id="rId26">
        <w:r>
          <w:rPr>
            <w:rStyle w:val="Hyperlink"/>
            <w:rFonts w:ascii="Times New Roman" w:hAnsi="Times New Roman"/>
            <w:b w:val="false"/>
            <w:i w:val="false"/>
            <w:color w:val="000000"/>
            <w:sz w:val="22"/>
          </w:rPr>
          <w:t>45.5(2)</w:t>
        </w:r>
      </w:hyperlink>
      <w:r>
        <w:rPr>
          <w:rFonts w:ascii="Times New Roman" w:hAnsi="Times New Roman"/>
          <w:b w:val="false"/>
          <w:i w:val="false"/>
          <w:color w:val="000000"/>
          <w:sz w:val="22"/>
        </w:rPr>
        <w:t xml:space="preserve"> for a preliminary notice, subrules </w:t>
      </w:r>
      <w:hyperlink r:id="rId27">
        <w:r>
          <w:rPr>
            <w:rStyle w:val="Hyperlink"/>
            <w:rFonts w:ascii="Times New Roman" w:hAnsi="Times New Roman"/>
            <w:b w:val="false"/>
            <w:i w:val="false"/>
            <w:color w:val="000000"/>
            <w:sz w:val="22"/>
          </w:rPr>
          <w:t>45.6(2)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45.6(5)</w:t>
        </w:r>
      </w:hyperlink>
      <w:r>
        <w:rPr>
          <w:rFonts w:ascii="Times New Roman" w:hAnsi="Times New Roman"/>
          <w:b w:val="false"/>
          <w:i w:val="false"/>
          <w:color w:val="000000"/>
          <w:sz w:val="22"/>
        </w:rPr>
        <w:t xml:space="preserve"> for a mechanic’s lien, or subrules </w:t>
      </w:r>
      <w:hyperlink r:id="rId29">
        <w:r>
          <w:rPr>
            <w:rStyle w:val="Hyperlink"/>
            <w:rFonts w:ascii="Times New Roman" w:hAnsi="Times New Roman"/>
            <w:b w:val="false"/>
            <w:i w:val="false"/>
            <w:color w:val="000000"/>
            <w:sz w:val="22"/>
          </w:rPr>
          <w:t>45.6(2)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45.6(5)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45.6(6)</w:t>
        </w:r>
      </w:hyperlink>
      <w:r>
        <w:rPr>
          <w:rFonts w:ascii="Times New Roman" w:hAnsi="Times New Roman"/>
          <w:b w:val="false"/>
          <w:i w:val="false"/>
          <w:color w:val="000000"/>
          <w:sz w:val="22"/>
        </w:rPr>
        <w:t xml:space="preserve"> for a mechanic’s lien for a commercial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submission does not include an MNLR number, except for a submission for which the form provided by the administrator does not require an MNLR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required fee is not paid for a submission or posting or the fee paid for the submission or posting is insufficient;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submission is not on a form provided by the administrator for the purpose of performing the requested posting;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submission is not legible, as determined by the administrator.</w:t>
      </w:r>
    </w:p>
    <w:p>
      <w:pPr>
        <w:spacing w:before="0" w:after="0"/>
        <w:ind w:left="120"/>
        <w:jc w:val="both"/>
      </w:pPr>
      <w:r>
        <w:rPr>
          <w:rFonts w:ascii="Times New Roman" w:hAnsi="Times New Roman"/>
          <w:b w:val="false"/>
          <w:i w:val="false"/>
          <w:color w:val="000000"/>
          <w:sz w:val="22"/>
        </w:rPr>
        <w:t>Additional grounds for the administrator’s refusal to accept an MNLR document for posting may be established by policy. The policy shall be noticed to the public by the posting of the policy on the MNLR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721—45.15</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a filing office statement, correction statement, or withdrawal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45.15(1)</w:t>
      </w:r>
      <w:r>
        <w:rPr>
          <w:rFonts w:ascii="Times New Roman" w:hAnsi="Times New Roman"/>
          <w:b w:val="false"/>
          <w:i w:val="false"/>
          <w:color w:val="000000"/>
          <w:sz w:val="22"/>
        </w:rPr>
        <w:t> </w:t>
      </w:r>
      <w:r>
        <w:rPr>
          <w:rFonts w:ascii="Times New Roman" w:hAnsi="Times New Roman"/>
          <w:b w:val="false"/>
          <w:i/>
          <w:color w:val="000000"/>
          <w:sz w:val="22"/>
        </w:rPr>
        <w:t xml:space="preserve">Filing office statement. </w:t>
      </w:r>
      <w:r>
        <w:rPr>
          <w:rFonts w:ascii="Times New Roman" w:hAnsi="Times New Roman"/>
          <w:b w:val="false"/>
          <w:i w:val="false"/>
          <w:color w:val="000000"/>
          <w:sz w:val="22"/>
        </w:rPr>
        <w:t>The administrator may post a filing office statement to correct information that was incorrectly transcribed from a paper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45.15(2)</w:t>
      </w:r>
      <w:r>
        <w:rPr>
          <w:rFonts w:ascii="Times New Roman" w:hAnsi="Times New Roman"/>
          <w:b w:val="false"/>
          <w:i w:val="false"/>
          <w:color w:val="000000"/>
          <w:sz w:val="22"/>
        </w:rPr>
        <w:t> </w:t>
      </w:r>
      <w:r>
        <w:rPr>
          <w:rFonts w:ascii="Times New Roman" w:hAnsi="Times New Roman"/>
          <w:b w:val="false"/>
          <w:i/>
          <w:color w:val="000000"/>
          <w:sz w:val="22"/>
        </w:rPr>
        <w:t xml:space="preserve">Correction statement. </w:t>
      </w:r>
      <w:r>
        <w:rPr>
          <w:rFonts w:ascii="Times New Roman" w:hAnsi="Times New Roman"/>
          <w:b w:val="false"/>
          <w:i w:val="false"/>
          <w:color w:val="000000"/>
          <w:sz w:val="22"/>
        </w:rPr>
        <w:t>A correction statement for a commencement of work or a preliminary notice is an electronic posting by a registered MNLR user. A correction statement does not allow for a change in the county or counties where the building, land or improvement to be charged with the lien is situated; in the date of the commencement of work; or in the date that material was first furnished or labor was first performed by the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45.15(3)</w:t>
      </w:r>
      <w:r>
        <w:rPr>
          <w:rFonts w:ascii="Times New Roman" w:hAnsi="Times New Roman"/>
          <w:b w:val="false"/>
          <w:i w:val="false"/>
          <w:color w:val="000000"/>
          <w:sz w:val="22"/>
        </w:rPr>
        <w:t> </w:t>
      </w:r>
      <w:r>
        <w:rPr>
          <w:rFonts w:ascii="Times New Roman" w:hAnsi="Times New Roman"/>
          <w:b w:val="false"/>
          <w:i/>
          <w:color w:val="000000"/>
          <w:sz w:val="22"/>
        </w:rPr>
        <w:t xml:space="preserve">Withdrawal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withdrawal statement of an original posting of a notice or lien shall be made by the general contractor, owner-builder, or subcontractor, or party authorized on behalf of the original party, who originally posted the record on the MNLR. The MNLR number is required at the time the withdrawal statement is posted to identify the posting to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withdrawal statement of an original posting of a notice, lien or other document may be made by the administrator as provided in subrule </w:t>
      </w:r>
      <w:hyperlink r:id="rId32">
        <w:r>
          <w:rPr>
            <w:rStyle w:val="Hyperlink"/>
            <w:rFonts w:ascii="Times New Roman" w:hAnsi="Times New Roman"/>
            <w:b w:val="false"/>
            <w:i w:val="false"/>
            <w:color w:val="000000"/>
            <w:sz w:val="22"/>
          </w:rPr>
          <w:t>45.13(5)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45.15(4)</w:t>
      </w:r>
      <w:r>
        <w:rPr>
          <w:rFonts w:ascii="Times New Roman" w:hAnsi="Times New Roman"/>
          <w:b w:val="false"/>
          <w:i w:val="false"/>
          <w:color w:val="000000"/>
          <w:sz w:val="22"/>
        </w:rPr>
        <w:t> </w:t>
      </w:r>
      <w:r>
        <w:rPr>
          <w:rFonts w:ascii="Times New Roman" w:hAnsi="Times New Roman"/>
          <w:b w:val="false"/>
          <w:i/>
          <w:color w:val="000000"/>
          <w:sz w:val="22"/>
        </w:rPr>
        <w:t xml:space="preserve">Notice of filing office statement, correction statement, or withdrawal statement to registered users. </w:t>
      </w:r>
      <w:r>
        <w:rPr>
          <w:rFonts w:ascii="Times New Roman" w:hAnsi="Times New Roman"/>
          <w:b w:val="false"/>
          <w:i w:val="false"/>
          <w:color w:val="000000"/>
          <w:sz w:val="22"/>
        </w:rPr>
        <w:t>At the time of the posting of a filing office statement, a correction statement, or a withdrawal statement, a notice will be sent by email to all registered users, except the administrator, who have posted to the MNLR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721—45.16</w:t>
      </w:r>
      <w:r>
        <w:rPr>
          <w:rFonts w:ascii="Times New Roman" w:hAnsi="Times New Roman"/>
          <w:b/>
          <w:i w:val="false"/>
          <w:color w:val="000000"/>
          <w:sz w:val="22"/>
        </w:rPr>
        <w:t xml:space="preserve">(572) </w:t>
      </w:r>
      <w:r>
        <w:rPr>
          <w:rFonts w:ascii="Times New Roman" w:hAnsi="Times New Roman"/>
          <w:b/>
          <w:i w:val="false"/>
          <w:color w:val="000000"/>
          <w:sz w:val="22"/>
        </w:rPr>
        <w:t xml:space="preserve">Assignment of date and time stamp and MNLR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45.16(1)</w:t>
      </w:r>
      <w:r>
        <w:rPr>
          <w:rFonts w:ascii="Times New Roman" w:hAnsi="Times New Roman"/>
          <w:b w:val="false"/>
          <w:i w:val="false"/>
          <w:color w:val="000000"/>
          <w:sz w:val="22"/>
        </w:rPr>
        <w:t> </w:t>
      </w:r>
      <w:r>
        <w:rPr>
          <w:rFonts w:ascii="Times New Roman" w:hAnsi="Times New Roman"/>
          <w:b w:val="false"/>
          <w:i/>
          <w:color w:val="000000"/>
          <w:sz w:val="22"/>
        </w:rPr>
        <w:t xml:space="preserve">Method and time of posting.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notice of commencement of work or preliminary notice, the posting shall be date- and time-stamped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posted electronically on the MNLR, the time of posting shall be upon posting of all required information and payment of the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required information and fee are submitted by U.S. mail or facsimile transmission to the filing office, the administrator shall post to the MNLR within three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required information and fee are submitted by personal delivery or courier delivery to the filing office’s street address, the administrator shall post to the MNLR within three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mechanic’s lien, demand for acknowledgement of satisfaction of claim, demand to commence action to enforce the lien, bond to discharge a mechanic’s lien, or bond to prevent exemplary damages, the posting will be date- and time-stamped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posted electronically on the MNLR, the time of posting shall be upon submission of all required information and payment of the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required information and fee are submitted by U.S. mail to the filing office, the administrator shall post to the MNLR within three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filing office statement, a correction statement, or a withdrawal statement, the posting shall be date- and time-stamped at the time the statement is posted electronically on the MNLR by the registered MNLR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45.16(2)</w:t>
      </w:r>
      <w:r>
        <w:rPr>
          <w:rFonts w:ascii="Times New Roman" w:hAnsi="Times New Roman"/>
          <w:b w:val="false"/>
          <w:i w:val="false"/>
          <w:color w:val="000000"/>
          <w:sz w:val="22"/>
        </w:rPr>
        <w:t> </w:t>
      </w:r>
      <w:r>
        <w:rPr>
          <w:rFonts w:ascii="Times New Roman" w:hAnsi="Times New Roman"/>
          <w:b w:val="false"/>
          <w:i/>
          <w:color w:val="000000"/>
          <w:sz w:val="22"/>
        </w:rPr>
        <w:t xml:space="preserve">Assignment of an MNLR number. </w:t>
      </w:r>
      <w:r>
        <w:rPr>
          <w:rFonts w:ascii="Times New Roman" w:hAnsi="Times New Roman"/>
          <w:b w:val="false"/>
          <w:i w:val="false"/>
          <w:color w:val="000000"/>
          <w:sz w:val="22"/>
        </w:rPr>
        <w:t>The administrator shall assign an MNLR number at the time that a notice of commencement of work or a mechanic’s lien on a commercial property is posted on the MNLR.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721—45.17</w:t>
      </w:r>
      <w:r>
        <w:rPr>
          <w:rFonts w:ascii="Times New Roman" w:hAnsi="Times New Roman"/>
          <w:b/>
          <w:i w:val="false"/>
          <w:color w:val="000000"/>
          <w:sz w:val="22"/>
        </w:rPr>
        <w:t xml:space="preserve">(572) </w:t>
      </w:r>
      <w:r>
        <w:rPr>
          <w:rFonts w:ascii="Times New Roman" w:hAnsi="Times New Roman"/>
          <w:b/>
          <w:i w:val="false"/>
          <w:color w:val="000000"/>
          <w:sz w:val="22"/>
        </w:rPr>
        <w:t xml:space="preserve">Penalties. </w:t>
      </w:r>
      <w:r>
        <w:rPr>
          <w:rFonts w:ascii="Times New Roman" w:hAnsi="Times New Roman"/>
          <w:b w:val="false"/>
          <w:i w:val="false"/>
          <w:color w:val="000000"/>
          <w:sz w:val="22"/>
        </w:rPr>
        <w:t>Submission of fictitious, forged, or false information to the MNLR by a general contractor, owner-builder or subcontractor is a civil offense punishable by a civil penalty of not more than $750 for each violation or, if the infraction is a repeat offense, a civil penalty not to exceed $1,000 for each repeat offense.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721—45.18</w:t>
      </w:r>
      <w:r>
        <w:rPr>
          <w:rFonts w:ascii="Times New Roman" w:hAnsi="Times New Roman"/>
          <w:b/>
          <w:i w:val="false"/>
          <w:color w:val="000000"/>
          <w:sz w:val="22"/>
        </w:rPr>
        <w:t xml:space="preserve">(572) </w:t>
      </w:r>
      <w:r>
        <w:rPr>
          <w:rFonts w:ascii="Times New Roman" w:hAnsi="Times New Roman"/>
          <w:b/>
          <w:i w:val="false"/>
          <w:color w:val="000000"/>
          <w:sz w:val="22"/>
        </w:rPr>
        <w:t xml:space="preserve">Preservation and access by the public. </w:t>
      </w:r>
      <w:r>
        <w:rPr>
          <w:rFonts w:ascii="Times New Roman" w:hAnsi="Times New Roman"/>
          <w:b w:val="false"/>
          <w:i w:val="false"/>
          <w:color w:val="000000"/>
          <w:sz w:val="22"/>
        </w:rPr>
        <w:t>This rule relates to the maintenance of archives and the ability of those archives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45.18(1)</w:t>
      </w:r>
      <w:r>
        <w:rPr>
          <w:rFonts w:ascii="Times New Roman" w:hAnsi="Times New Roman"/>
          <w:b w:val="false"/>
          <w:i w:val="false"/>
          <w:color w:val="000000"/>
          <w:sz w:val="22"/>
        </w:rPr>
        <w:t> </w:t>
      </w:r>
      <w:r>
        <w:rPr>
          <w:rFonts w:ascii="Times New Roman" w:hAnsi="Times New Roman"/>
          <w:b w:val="false"/>
          <w:i/>
          <w:color w:val="000000"/>
          <w:sz w:val="22"/>
        </w:rPr>
        <w:t xml:space="preserve">Paper documents. </w:t>
      </w:r>
      <w:r>
        <w:rPr>
          <w:rFonts w:ascii="Times New Roman" w:hAnsi="Times New Roman"/>
          <w:b w:val="false"/>
          <w:i w:val="false"/>
          <w:color w:val="000000"/>
          <w:sz w:val="22"/>
        </w:rPr>
        <w:t>Paper documents are scanned into the MNLR. The paper submission is returned to the submitter.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45.18(2)</w:t>
      </w:r>
      <w:r>
        <w:rPr>
          <w:rFonts w:ascii="Times New Roman" w:hAnsi="Times New Roman"/>
          <w:b w:val="false"/>
          <w:i w:val="false"/>
          <w:color w:val="000000"/>
          <w:sz w:val="22"/>
        </w:rPr>
        <w:t> </w:t>
      </w:r>
      <w:r>
        <w:rPr>
          <w:rFonts w:ascii="Times New Roman" w:hAnsi="Times New Roman"/>
          <w:b w:val="false"/>
          <w:i/>
          <w:color w:val="000000"/>
          <w:sz w:val="22"/>
        </w:rPr>
        <w:t xml:space="preserve">Archives—data retention.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MNLR information management system is backed up to magnetic tape every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Data in the MNLR information management system is retained for 15 years from the date of commencement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Archival searches may be available through arrangements with the administrator in the administrator’s sole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0464C</w:t>
      </w:r>
      <w:r>
        <w:rPr>
          <w:rFonts w:ascii="Times New Roman" w:hAnsi="Times New Roman"/>
          <w:b w:val="false"/>
          <w:i w:val="false"/>
          <w:color w:val="000000"/>
          <w:sz w:val="21"/>
        </w:rPr>
        <w:t xml:space="preserve"> (Notice ARC 0339C, IAB 9/19/12)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p>
      <w:pPr>
        <w:spacing w:before="0" w:after="0"/>
        <w:ind w:left="120"/>
        <w:jc w:val="center"/>
      </w:pPr>
      <w:r>
        <w:rPr>
          <w:rFonts w:ascii="Times New Roman" w:hAnsi="Times New Roman"/>
          <w:b w:val="false"/>
          <w:i w:val="false"/>
          <w:color w:val="000000"/>
          <w:sz w:val="21"/>
        </w:rPr>
        <w:t>[Filed ARC 9564C</w:t>
      </w:r>
      <w:r>
        <w:rPr>
          <w:rFonts w:ascii="Times New Roman" w:hAnsi="Times New Roman"/>
          <w:b w:val="false"/>
          <w:i w:val="false"/>
          <w:color w:val="000000"/>
          <w:sz w:val="21"/>
        </w:rPr>
        <w:t xml:space="preserve"> (Amended Notice ARC 9394C, IAB 7/9/25; </w:t>
      </w:r>
      <w:r>
        <w:rPr>
          <w:rFonts w:ascii="Times New Roman" w:hAnsi="Times New Roman"/>
          <w:b w:val="false"/>
          <w:i w:val="false"/>
          <w:color w:val="000000"/>
          <w:sz w:val="21"/>
        </w:rPr>
        <w:t>Notice ARC 9290C, IAB 5/28/25)</w:t>
      </w:r>
      <w:r>
        <w:rPr>
          <w:rFonts w:ascii="Times New Roman" w:hAnsi="Times New Roman"/>
          <w:b w:val="false"/>
          <w:i w:val="false"/>
          <w:color w:val="000000"/>
          <w:sz w:val="21"/>
        </w:rPr>
        <w:t>, IAB 9/17/25, effective 10/22/25]</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2.pdf" Type="http://schemas.openxmlformats.org/officeDocument/2006/relationships/hyperlink" Id="rId5"/>
    <Relationship TargetMode="External" Target="https://www.legis.iowa.gov/docs/iac/rule/721.45.4.pdf" Type="http://schemas.openxmlformats.org/officeDocument/2006/relationships/hyperlink" Id="rId6"/>
    <Relationship TargetMode="External" Target="https://www.legis.iowa.gov/docs/iac/rule/721.45.5.pdf" Type="http://schemas.openxmlformats.org/officeDocument/2006/relationships/hyperlink" Id="rId7"/>
    <Relationship TargetMode="External" Target="https://www.legis.iowa.gov/docs/ico/chapter/572.pdf" Type="http://schemas.openxmlformats.org/officeDocument/2006/relationships/hyperlink" Id="rId8"/>
    <Relationship TargetMode="External" Target="https://www.legis.iowa.gov/docs/ico/chapter/499B.pdf" Type="http://schemas.openxmlformats.org/officeDocument/2006/relationships/hyperlink" Id="rId9"/>
    <Relationship TargetMode="External" Target="sos.iowa.gov/mnlr/index.aspx" Type="http://schemas.openxmlformats.org/officeDocument/2006/relationships/hyperlink" Id="rId10"/>
    <Relationship TargetMode="External" Target="https://www.legis.iowa.gov/docs/ico/chapter/572.pdf" Type="http://schemas.openxmlformats.org/officeDocument/2006/relationships/hyperlink" Id="rId11"/>
    <Relationship TargetMode="External" Target="https://www.legis.iowa.gov/docs/ico/chapter/572.pdf" Type="http://schemas.openxmlformats.org/officeDocument/2006/relationships/hyperlink" Id="rId12"/>
    <Relationship TargetMode="External" Target="https://www.legis.iowa.gov/docs/iac/rule/721.45.4.pdf" Type="http://schemas.openxmlformats.org/officeDocument/2006/relationships/hyperlink" Id="rId13"/>
    <Relationship TargetMode="External" Target="https://www.legis.iowa.gov/docs/iac/rule/721.45.4.pdf" Type="http://schemas.openxmlformats.org/officeDocument/2006/relationships/hyperlink" Id="rId14"/>
    <Relationship TargetMode="External" Target="https://www.legis.iowa.gov/docs/iac/rule/721.45.4.pdf" Type="http://schemas.openxmlformats.org/officeDocument/2006/relationships/hyperlink" Id="rId15"/>
    <Relationship TargetMode="External" Target="https://www.legis.iowa.gov/docs/iac/rule/721.45.4.pdf" Type="http://schemas.openxmlformats.org/officeDocument/2006/relationships/hyperlink" Id="rId16"/>
    <Relationship TargetMode="External" Target="https://www.legis.iowa.gov/docs/iac/rule/721.45.5.pdf" Type="http://schemas.openxmlformats.org/officeDocument/2006/relationships/hyperlink" Id="rId17"/>
    <Relationship TargetMode="External" Target="https://www.legis.iowa.gov/docs/ico/chapter/572.15.pdf" Type="http://schemas.openxmlformats.org/officeDocument/2006/relationships/hyperlink" Id="rId18"/>
    <Relationship TargetMode="External" Target="https://www.legis.iowa.gov/docs/ico/chapter/572.30.pdf" Type="http://schemas.openxmlformats.org/officeDocument/2006/relationships/hyperlink" Id="rId19"/>
    <Relationship TargetMode="External" Target="https://www.legis.iowa.gov/docs/ico/chapter/572.30.pdf" Type="http://schemas.openxmlformats.org/officeDocument/2006/relationships/hyperlink" Id="rId20"/>
    <Relationship TargetMode="External" Target="https://www.legis.iowa.gov/docs/ico/chapter/572.30.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ac/rule/721.2.3.pdf" Type="http://schemas.openxmlformats.org/officeDocument/2006/relationships/hyperlink" Id="rId23"/>
    <Relationship TargetMode="External" Target="https://www.legis.iowa.gov/docs/iac/rule/721.45.14.pdf" Type="http://schemas.openxmlformats.org/officeDocument/2006/relationships/hyperlink" Id="rId24"/>
    <Relationship TargetMode="External" Target="https://www.legis.iowa.gov/docs/iac/rule/721.45.4.pdf" Type="http://schemas.openxmlformats.org/officeDocument/2006/relationships/hyperlink" Id="rId25"/>
    <Relationship TargetMode="External" Target="https://www.legis.iowa.gov/docs/iac/rule/721.45.5.pdf" Type="http://schemas.openxmlformats.org/officeDocument/2006/relationships/hyperlink" Id="rId26"/>
    <Relationship TargetMode="External" Target="https://www.legis.iowa.gov/docs/iac/rule/721.45.6.pdf" Type="http://schemas.openxmlformats.org/officeDocument/2006/relationships/hyperlink" Id="rId27"/>
    <Relationship TargetMode="External" Target="https://www.legis.iowa.gov/docs/iac/rule/721.45.6.pdf" Type="http://schemas.openxmlformats.org/officeDocument/2006/relationships/hyperlink" Id="rId28"/>
    <Relationship TargetMode="External" Target="https://www.legis.iowa.gov/docs/iac/rule/721.45.6.pdf" Type="http://schemas.openxmlformats.org/officeDocument/2006/relationships/hyperlink" Id="rId29"/>
    <Relationship TargetMode="External" Target="https://www.legis.iowa.gov/docs/iac/rule/721.45.6.pdf" Type="http://schemas.openxmlformats.org/officeDocument/2006/relationships/hyperlink" Id="rId30"/>
    <Relationship TargetMode="External" Target="https://www.legis.iowa.gov/docs/iac/rule/721.45.6.pdf" Type="http://schemas.openxmlformats.org/officeDocument/2006/relationships/hyperlink" Id="rId31"/>
    <Relationship TargetMode="External" Target="https://www.legis.iowa.gov/docs/iac/rule/721.45.13.pdf" Type="http://schemas.openxmlformats.org/officeDocument/2006/relationships/hyperlink" Id="rId32"/>
    <Relationship TargetMode="External" Target="https://www.legis.iowa.gov/docs/ico/chapter/572.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