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FORMS</w:t>
      </w:r>
    </w:p>
    <w:p>
      <w:pPr>
        <w:spacing w:before="0" w:after="0"/>
        <w:ind w:left="120"/>
        <w:jc w:val="center"/>
      </w:pPr>
      <w:r>
        <w:rPr>
          <w:rFonts w:ascii="Times New Roman" w:hAnsi="Times New Roman"/>
          <w:b w:val="false"/>
          <w:i w:val="false"/>
          <w:color w:val="000000"/>
          <w:sz w:val="14"/>
        </w:rPr>
        <w:t>[Prior to 7/13/88, see Secretary of State[750],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721—4.1</w:t>
      </w:r>
      <w:r>
        <w:rPr>
          <w:rFonts w:ascii="Times New Roman" w:hAnsi="Times New Roman"/>
          <w:b/>
          <w:i w:val="false"/>
          <w:color w:val="000000"/>
          <w:sz w:val="22"/>
        </w:rPr>
        <w:t xml:space="preserve">(17A) </w:t>
      </w:r>
      <w:r>
        <w:rPr>
          <w:rFonts w:ascii="Times New Roman" w:hAnsi="Times New Roman"/>
          <w:b/>
          <w:i w:val="false"/>
          <w:color w:val="000000"/>
          <w:sz w:val="22"/>
        </w:rPr>
        <w:t xml:space="preserve">Forms and instructions. </w:t>
      </w:r>
      <w:r>
        <w:rPr>
          <w:rFonts w:ascii="Times New Roman" w:hAnsi="Times New Roman"/>
          <w:b w:val="false"/>
          <w:i w:val="false"/>
          <w:color w:val="000000"/>
          <w:sz w:val="22"/>
        </w:rPr>
        <w:t>Forms and their instructions are developed by the agency in accordance with statutory directives. Forms used on the secretary of state website’s fast track filing system have the same functions and descriptions as the forms described in this chapter.</w:t>
      </w:r>
    </w:p>
    <w:p>
      <w:pPr>
        <w:spacing w:before="0" w:after="0"/>
        <w:ind w:left="120"/>
        <w:jc w:val="both"/>
      </w:pPr>
      <w:r>
        <w:rPr>
          <w:rFonts w:ascii="Times New Roman" w:hAnsi="Times New Roman"/>
          <w:b w:val="false"/>
          <w:i w:val="false"/>
          <w:color w:val="000000"/>
          <w:sz w:val="22"/>
        </w:rPr>
        <w:t xml:space="preserve">Copies of forms relating to corporation matters, the Uniform Commercial Code, elections, and other services may be seen at the secretary of state’s Lucas State Office Building office, Des Moines, Iowa 50319; or on the secretary of state website at </w:t>
      </w:r>
      <w:hyperlink r:id="rId5">
        <w:r>
          <w:rPr>
            <w:rStyle w:val="Hyperlink"/>
            <w:rFonts w:ascii="Times New Roman" w:hAnsi="Times New Roman"/>
            <w:b w:val="false"/>
            <w:i w:val="false"/>
            <w:color w:val="000000"/>
            <w:sz w:val="22"/>
            <w:u w:val="single"/>
          </w:rPr>
          <w:t>sos.iowa.gov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subrules which follow describe those forms which members of the public use when dealing with the agency and its various divisions.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val="false"/>
          <w:color w:val="000000"/>
          <w:sz w:val="22"/>
        </w:rPr>
        <w:t>Forms of general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disclosure of gifts made to a “local official,” “local employee,” or to the person’s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Disaster Recovery Registration—used for registering in compliance with Iowa Code chapter </w:t>
      </w:r>
      <w:hyperlink r:id="rId6">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Apostille or Certification Request Form—used to order apostilles or certified copies.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Condemnation Application—for use by county recorders and sheriffs pursuant to Iowa Code sections </w:t>
      </w:r>
      <w:hyperlink r:id="rId7">
        <w:r>
          <w:rPr>
            <w:rStyle w:val="Hyperlink"/>
            <w:rFonts w:ascii="Times New Roman" w:hAnsi="Times New Roman"/>
            <w:b w:val="false"/>
            <w:i w:val="false"/>
            <w:color w:val="000000"/>
            <w:sz w:val="22"/>
          </w:rPr>
          <w:t>6B.3(3)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6B.38(2)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Credit Card Payment Authorization Form—used to pay fees with a credit or debit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Charge Transaction Form—used to charge fees to an existing secretary of state charge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Transient Merchant Application—application for transient merchant license required by Iowa Code section </w:t>
      </w:r>
      <w:hyperlink r:id="rId9">
        <w:r>
          <w:rPr>
            <w:rStyle w:val="Hyperlink"/>
            <w:rFonts w:ascii="Times New Roman" w:hAnsi="Times New Roman"/>
            <w:b w:val="false"/>
            <w:i w:val="false"/>
            <w:color w:val="000000"/>
            <w:sz w:val="22"/>
          </w:rPr>
          <w:t>9C.3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Application for Registration/Renewal as an Athlete Agent—used to apply for a new certificate of registration to act as an athlete agent in the state of Iowa or to renew an existing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val="false"/>
          <w:color w:val="000000"/>
          <w:sz w:val="22"/>
        </w:rPr>
        <w:t xml:space="preserve">Notary public forms. Copies of notary public forms are available to the public on the secretary of state website at </w:t>
      </w:r>
      <w:hyperlink r:id="rId10">
        <w:r>
          <w:rPr>
            <w:rStyle w:val="Hyperlink"/>
            <w:rFonts w:ascii="Times New Roman" w:hAnsi="Times New Roman"/>
            <w:b w:val="false"/>
            <w:i w:val="false"/>
            <w:color w:val="000000"/>
            <w:sz w:val="22"/>
            <w:u w:val="single"/>
          </w:rPr>
          <w:t>sos.iowa.gov</w:t>
        </w:r>
      </w:hyperlink>
      <w:r>
        <w:rPr>
          <w:rFonts w:ascii="Times New Roman" w:hAnsi="Times New Roman"/>
          <w:b w:val="false"/>
          <w:i w:val="false"/>
          <w:color w:val="000000"/>
          <w:sz w:val="22"/>
        </w:rPr>
        <w:t xml:space="preserve"> or upon request to the Notary Clerk, Office of the Secretary of State, Lucas State Office Building, Des Moines, Iowa 50319. The telephone number is (515)281-5204.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Commission as Notary Public—used to apply to be commissioned as an Iowa notary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 Renewal of Commission—used to apply to renew an existing Iowa notary public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Notary Public Change/Amendment to Application—used to update an Iowa notary public commission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Certificate of Notarial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Statement of Complaint Regarding a Notary Public, Notarial Officer, or Remote Notarization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Application for Approval to Perform Notarial Acts for Remotely Located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Trademark registration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Trademark/Service Mark Registration Application—application to register a mark currently in use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Trademark/Service Mark Renewal Application—application to apply to renew mark registration for one additional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Trademark Assignment Application—to assign a mark registration from current registrant to a new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color w:val="000000"/>
          <w:sz w:val="22"/>
        </w:rPr>
        <w:t xml:space="preserve">Credit services organization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of Credit Services Organization—registration statement required by Iowa Code section </w:t>
      </w:r>
      <w:hyperlink r:id="rId11">
        <w:r>
          <w:rPr>
            <w:rStyle w:val="Hyperlink"/>
            <w:rFonts w:ascii="Times New Roman" w:hAnsi="Times New Roman"/>
            <w:b w:val="false"/>
            <w:i w:val="false"/>
            <w:color w:val="000000"/>
            <w:sz w:val="22"/>
          </w:rPr>
          <w:t>538A.5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Credit Services Organization Bond Form—submitted with Iowa Code section </w:t>
      </w:r>
      <w:hyperlink r:id="rId12">
        <w:r>
          <w:rPr>
            <w:rStyle w:val="Hyperlink"/>
            <w:rFonts w:ascii="Times New Roman" w:hAnsi="Times New Roman"/>
            <w:b w:val="false"/>
            <w:i w:val="false"/>
            <w:color w:val="000000"/>
            <w:sz w:val="22"/>
          </w:rPr>
          <w:t>538A.4</w:t>
        </w:r>
      </w:hyperlink>
      <w:r>
        <w:rPr>
          <w:rFonts w:ascii="Times New Roman" w:hAnsi="Times New Roman"/>
          <w:b w:val="false"/>
          <w:i w:val="false"/>
          <w:color w:val="000000"/>
          <w:sz w:val="22"/>
        </w:rPr>
        <w:t xml:space="preserve"> surety bond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Surety Account Notice for a Credit Services Organization—submitted in accordance with Iowa Code section </w:t>
      </w:r>
      <w:hyperlink r:id="rId13">
        <w:r>
          <w:rPr>
            <w:rStyle w:val="Hyperlink"/>
            <w:rFonts w:ascii="Times New Roman" w:hAnsi="Times New Roman"/>
            <w:b w:val="false"/>
            <w:i w:val="false"/>
            <w:color w:val="000000"/>
            <w:sz w:val="22"/>
          </w:rPr>
          <w:t>538A.4</w:t>
        </w:r>
      </w:hyperlink>
      <w:r>
        <w:rPr>
          <w:rFonts w:ascii="Times New Roman" w:hAnsi="Times New Roman"/>
          <w:b w:val="false"/>
          <w:i w:val="false"/>
          <w:color w:val="000000"/>
          <w:sz w:val="22"/>
        </w:rPr>
        <w:t xml:space="preserve"> to notify the secretary of state of establishment of a surety account.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721—4.2</w:t>
      </w:r>
      <w:r>
        <w:rPr>
          <w:rFonts w:ascii="Times New Roman" w:hAnsi="Times New Roman"/>
          <w:b/>
          <w:i w:val="false"/>
          <w:color w:val="000000"/>
          <w:sz w:val="22"/>
        </w:rPr>
        <w:t xml:space="preserve">(17A) </w:t>
      </w:r>
      <w:r>
        <w:rPr>
          <w:rFonts w:ascii="Times New Roman" w:hAnsi="Times New Roman"/>
          <w:b/>
          <w:i w:val="false"/>
          <w:color w:val="000000"/>
          <w:sz w:val="22"/>
        </w:rPr>
        <w:t xml:space="preserve">Business entity forms. </w:t>
      </w:r>
      <w:r>
        <w:rPr>
          <w:rFonts w:ascii="Times New Roman" w:hAnsi="Times New Roman"/>
          <w:b w:val="false"/>
          <w:i w:val="false"/>
          <w:color w:val="000000"/>
          <w:sz w:val="22"/>
        </w:rPr>
        <w:t xml:space="preserve">Copies of business entity forms are available to the public on the secretary of state website at </w:t>
      </w:r>
      <w:hyperlink r:id="rId15">
        <w:r>
          <w:rPr>
            <w:rStyle w:val="Hyperlink"/>
            <w:rFonts w:ascii="Times New Roman" w:hAnsi="Times New Roman"/>
            <w:b w:val="false"/>
            <w:i w:val="false"/>
            <w:color w:val="000000"/>
            <w:sz w:val="22"/>
            <w:u w:val="single"/>
          </w:rPr>
          <w:t>sos.iowa.gov</w:t>
        </w:r>
      </w:hyperlink>
      <w:r>
        <w:rPr>
          <w:rFonts w:ascii="Times New Roman" w:hAnsi="Times New Roman"/>
          <w:b w:val="false"/>
          <w:i w:val="false"/>
          <w:color w:val="000000"/>
          <w:sz w:val="22"/>
        </w:rPr>
        <w:t xml:space="preserve"> or upon request to the Business Services Division, Office of the Secretary of State, Lucas State Office Building, Des Moines, Iowa 50319. The telephone number is (515)281-5204.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For-profit and nonprofit business entity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Certificate of Good Standing—shows that a corporation is in good standing and is also used to reflect that certain filings have not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Certification Certificates—certifies copies attached are true reproductions of documents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 for Certificate of Withdrawal—used by a foreign entity to stop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Profit Corporation Statement of Withdrawal—used by a foreign profit corporation to stop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Application for Certificate of Authority—used by a foreign entity to apply for authority to do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Foreign Profit Corporation Registration Statement—used by a foreign profit corporation to apply for authority to do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Certificate of Authority—issued to foreign entities that have registered to do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Application for Reinstatement—used by an administratively dissolved corporation, limited liability company, or cooperative to apply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Application for Reservation of Name—form by which applicant can reserve an entity name for future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Fictitious Name Resolution—used by a registered entity to notify the office of its adoption of a fictitious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Statement of Change of Registered Office and/or Registered Agent—used by a registered entity to change its registered office and/or registered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Appointment of Agent (501B)—used by an unincorporated nonprofit association to appoint its registered office and registered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Application for Amended Certificate of Authority—used by authorized foreign entities to reflect changes of name or authorized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Amended Foreign Registration Statement—used by authorized foreign profit corporations to reflect changes of name or other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Application for Registration of a Corporate Name—form by which a foreign corporation may register a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Application for Renewal of Registration of Corporate Name—used to renew registration of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Notice of Transfer of Reservation of Name—used to transfer an entity name reservation from one person to another.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Biennial reports. </w:t>
      </w:r>
    </w:p>
    <w:p>
      <w:pPr>
        <w:spacing w:before="0" w:after="0"/>
        <w:ind w:left="120"/>
        <w:jc w:val="both"/>
      </w:pPr>
      <w:r>
        <w:rPr>
          <w:rFonts w:ascii="Times New Roman" w:hAnsi="Times New Roman"/>
          <w:b w:val="false"/>
          <w:i w:val="false"/>
          <w:color w:val="000000"/>
          <w:sz w:val="22"/>
        </w:rPr>
        <w:t>Biennial Report for an Iowa Corporation—required to be filed by all domestic for-profit corporations.</w:t>
      </w:r>
    </w:p>
    <w:p>
      <w:pPr>
        <w:spacing w:before="0" w:after="0"/>
        <w:ind w:left="120"/>
        <w:jc w:val="both"/>
      </w:pPr>
      <w:r>
        <w:rPr>
          <w:rFonts w:ascii="Times New Roman" w:hAnsi="Times New Roman"/>
          <w:b w:val="false"/>
          <w:i w:val="false"/>
          <w:color w:val="000000"/>
          <w:sz w:val="22"/>
        </w:rPr>
        <w:t>Biennial Report for a Foreign Corporation—required to be filed by all foreign for-profit corporations.</w:t>
      </w:r>
    </w:p>
    <w:p>
      <w:pPr>
        <w:spacing w:before="0" w:after="0"/>
        <w:ind w:left="120"/>
        <w:jc w:val="both"/>
      </w:pPr>
      <w:r>
        <w:rPr>
          <w:rFonts w:ascii="Times New Roman" w:hAnsi="Times New Roman"/>
          <w:b w:val="false"/>
          <w:i w:val="false"/>
          <w:color w:val="000000"/>
          <w:sz w:val="22"/>
        </w:rPr>
        <w:t>Iowa Nonprofit Biennial Report—required to be filed by all domestic nonprofit corporations.</w:t>
      </w:r>
    </w:p>
    <w:p>
      <w:pPr>
        <w:spacing w:before="0" w:after="0"/>
        <w:ind w:left="120"/>
        <w:jc w:val="both"/>
      </w:pPr>
      <w:r>
        <w:rPr>
          <w:rFonts w:ascii="Times New Roman" w:hAnsi="Times New Roman"/>
          <w:b w:val="false"/>
          <w:i w:val="false"/>
          <w:color w:val="000000"/>
          <w:sz w:val="22"/>
        </w:rPr>
        <w:t>Foreign Nonprofit Biennial Report—required to be filed by all foreign nonprofit corporations.</w:t>
      </w:r>
    </w:p>
    <w:p>
      <w:pPr>
        <w:spacing w:before="0" w:after="0"/>
        <w:ind w:left="120"/>
        <w:jc w:val="both"/>
      </w:pPr>
      <w:r>
        <w:rPr>
          <w:rFonts w:ascii="Times New Roman" w:hAnsi="Times New Roman"/>
          <w:b w:val="false"/>
          <w:i w:val="false"/>
          <w:color w:val="000000"/>
          <w:sz w:val="22"/>
        </w:rPr>
        <w:t>Iowa Professional Biennial Report—required to be submitted by domestic professional corporations.</w:t>
      </w:r>
    </w:p>
    <w:p>
      <w:pPr>
        <w:spacing w:before="0" w:after="0"/>
        <w:ind w:left="120"/>
        <w:jc w:val="both"/>
      </w:pPr>
      <w:r>
        <w:rPr>
          <w:rFonts w:ascii="Times New Roman" w:hAnsi="Times New Roman"/>
          <w:b w:val="false"/>
          <w:i w:val="false"/>
          <w:color w:val="000000"/>
          <w:sz w:val="22"/>
        </w:rPr>
        <w:t xml:space="preserve">Domestic Professional Corporation Biennial Report Statement Under Oath—required by Iowa Code section </w:t>
      </w:r>
      <w:hyperlink r:id="rId16">
        <w:r>
          <w:rPr>
            <w:rStyle w:val="Hyperlink"/>
            <w:rFonts w:ascii="Times New Roman" w:hAnsi="Times New Roman"/>
            <w:b w:val="false"/>
            <w:i w:val="false"/>
            <w:color w:val="000000"/>
            <w:sz w:val="22"/>
          </w:rPr>
          <w:t>496C.21(1)</w:t>
        </w:r>
      </w:hyperlink>
      <w:r>
        <w:rPr>
          <w:rFonts w:ascii="Times New Roman" w:hAnsi="Times New Roman"/>
          <w:b w:val="false"/>
          <w:i/>
          <w:color w:val="000000"/>
          <w:sz w:val="22"/>
        </w:rPr>
        <w:t>“b”</w:t>
      </w:r>
      <w:r>
        <w:rPr>
          <w:rFonts w:ascii="Times New Roman" w:hAnsi="Times New Roman"/>
          <w:b w:val="false"/>
          <w:i w:val="false"/>
          <w:color w:val="000000"/>
          <w:sz w:val="22"/>
        </w:rPr>
        <w:t xml:space="preserve"> to be submitted with the Iowa professional biennial report.</w:t>
      </w:r>
    </w:p>
    <w:p>
      <w:pPr>
        <w:spacing w:before="0" w:after="0"/>
        <w:ind w:left="120"/>
        <w:jc w:val="both"/>
      </w:pPr>
      <w:r>
        <w:rPr>
          <w:rFonts w:ascii="Times New Roman" w:hAnsi="Times New Roman"/>
          <w:b w:val="false"/>
          <w:i w:val="false"/>
          <w:color w:val="000000"/>
          <w:sz w:val="22"/>
        </w:rPr>
        <w:t>Foreign Professional Biennial Report—required to be filed by foreign professional corporations.</w:t>
      </w:r>
    </w:p>
    <w:p>
      <w:pPr>
        <w:spacing w:before="0" w:after="0"/>
        <w:ind w:left="120"/>
        <w:jc w:val="both"/>
      </w:pPr>
      <w:r>
        <w:rPr>
          <w:rFonts w:ascii="Times New Roman" w:hAnsi="Times New Roman"/>
          <w:b w:val="false"/>
          <w:i w:val="false"/>
          <w:color w:val="000000"/>
          <w:sz w:val="22"/>
        </w:rPr>
        <w:t xml:space="preserve">Foreign Professional Corporation Biennial Report Statement Under Oath—required by Iowa Code section </w:t>
      </w:r>
      <w:hyperlink r:id="rId17">
        <w:r>
          <w:rPr>
            <w:rStyle w:val="Hyperlink"/>
            <w:rFonts w:ascii="Times New Roman" w:hAnsi="Times New Roman"/>
            <w:b w:val="false"/>
            <w:i w:val="false"/>
            <w:color w:val="000000"/>
            <w:sz w:val="22"/>
          </w:rPr>
          <w:t>496C.21(1)</w:t>
        </w:r>
      </w:hyperlink>
      <w:r>
        <w:rPr>
          <w:rFonts w:ascii="Times New Roman" w:hAnsi="Times New Roman"/>
          <w:b w:val="false"/>
          <w:i/>
          <w:color w:val="000000"/>
          <w:sz w:val="22"/>
        </w:rPr>
        <w:t>“c”</w:t>
      </w:r>
      <w:r>
        <w:rPr>
          <w:rFonts w:ascii="Times New Roman" w:hAnsi="Times New Roman"/>
          <w:b w:val="false"/>
          <w:i w:val="false"/>
          <w:color w:val="000000"/>
          <w:sz w:val="22"/>
        </w:rPr>
        <w:t xml:space="preserve"> to be submitted with the foreign professional biennial report.</w:t>
      </w:r>
    </w:p>
    <w:p>
      <w:pPr>
        <w:spacing w:before="0" w:after="0"/>
        <w:ind w:left="120"/>
        <w:jc w:val="both"/>
      </w:pPr>
      <w:r>
        <w:rPr>
          <w:rFonts w:ascii="Times New Roman" w:hAnsi="Times New Roman"/>
          <w:b w:val="false"/>
          <w:i w:val="false"/>
          <w:color w:val="000000"/>
          <w:sz w:val="22"/>
        </w:rPr>
        <w:t>Cooperative Association Biennial Report—required to be filed by cooperative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Agricultural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Biennial Agricultural Report—used by U.S. holders of Iowa agricultural land to comply with Iowa Code chapter </w:t>
      </w:r>
      <w:hyperlink r:id="rId18">
        <w:r>
          <w:rPr>
            <w:rStyle w:val="Hyperlink"/>
            <w:rFonts w:ascii="Times New Roman" w:hAnsi="Times New Roman"/>
            <w:b w:val="false"/>
            <w:i w:val="false"/>
            <w:color w:val="000000"/>
            <w:sz w:val="22"/>
          </w:rPr>
          <w:t>10B</w:t>
        </w:r>
      </w:hyperlink>
      <w:r>
        <w:rPr>
          <w:rFonts w:ascii="Times New Roman" w:hAnsi="Times New Roman"/>
          <w:b w:val="false"/>
          <w:i w:val="false"/>
          <w:color w:val="000000"/>
          <w:sz w:val="22"/>
        </w:rPr>
        <w:t xml:space="preserve"> biennial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Pork and Beef Processor Report—used by Iowa pork and beef processors to comply with Iowa Code chapter </w:t>
      </w:r>
      <w:hyperlink r:id="rId19">
        <w:r>
          <w:rPr>
            <w:rStyle w:val="Hyperlink"/>
            <w:rFonts w:ascii="Times New Roman" w:hAnsi="Times New Roman"/>
            <w:b w:val="false"/>
            <w:i w:val="false"/>
            <w:color w:val="000000"/>
            <w:sz w:val="22"/>
          </w:rPr>
          <w:t>202B</w:t>
        </w:r>
      </w:hyperlink>
      <w:r>
        <w:rPr>
          <w:rFonts w:ascii="Times New Roman" w:hAnsi="Times New Roman"/>
          <w:b w:val="false"/>
          <w:i w:val="false"/>
          <w:color w:val="000000"/>
          <w:sz w:val="22"/>
        </w:rPr>
        <w:t xml:space="preserve"> annual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of Nonresident Alien Land Ownership—used by non-U.S. holders of Iowa agricultural land to comply with Iowa Code chapter </w:t>
      </w:r>
      <w:hyperlink r:id="rId20">
        <w:r>
          <w:rPr>
            <w:rStyle w:val="Hyperlink"/>
            <w:rFonts w:ascii="Times New Roman" w:hAnsi="Times New Roman"/>
            <w:b w:val="false"/>
            <w:i w:val="false"/>
            <w:color w:val="000000"/>
            <w:sz w:val="22"/>
          </w:rPr>
          <w:t>9I</w:t>
        </w:r>
      </w:hyperlink>
      <w:r>
        <w:rPr>
          <w:rFonts w:ascii="Times New Roman" w:hAnsi="Times New Roman"/>
          <w:b w:val="false"/>
          <w:i w:val="false"/>
          <w:color w:val="000000"/>
          <w:sz w:val="22"/>
        </w:rPr>
        <w:t xml:space="preserve">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Nonresident Alien Land Ownership Report—used by non-U.S. holders of Iowa agricultural land to comply with Iowa Code chapter </w:t>
      </w:r>
      <w:hyperlink r:id="rId21">
        <w:r>
          <w:rPr>
            <w:rStyle w:val="Hyperlink"/>
            <w:rFonts w:ascii="Times New Roman" w:hAnsi="Times New Roman"/>
            <w:b w:val="false"/>
            <w:i w:val="false"/>
            <w:color w:val="000000"/>
            <w:sz w:val="22"/>
          </w:rPr>
          <w:t>9I</w:t>
        </w:r>
      </w:hyperlink>
      <w:r>
        <w:rPr>
          <w:rFonts w:ascii="Times New Roman" w:hAnsi="Times New Roman"/>
          <w:b w:val="false"/>
          <w:i w:val="false"/>
          <w:color w:val="000000"/>
          <w:sz w:val="22"/>
        </w:rPr>
        <w:t xml:space="preserve"> annual reporting requirements.</w:t>
      </w:r>
    </w:p>
    <w:p>
      <w:pPr>
        <w:spacing w:before="0" w:after="0"/>
        <w:ind w:left="120"/>
        <w:jc w:val="both"/>
      </w:pPr>
      <w:r>
        <w:rPr>
          <w:rFonts w:ascii="Times New Roman" w:hAnsi="Times New Roman"/>
          <w:b w:val="false"/>
          <w:i w:val="false"/>
          <w:color w:val="000000"/>
          <w:sz w:val="22"/>
        </w:rPr>
        <w:t>Information regarding forms for agricultural reporting may be requested from the Business Services Division, Office of the Secretary of State, Lucas State Office Building, Des Moines, Iowa 50319. The telephone number is (515)281-5204.</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9I.7</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9I.8</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9I.9</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10B.4</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202B.301</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202B.302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w:t>
      </w:r>
      <w:r>
        <w:rPr>
          <w:rFonts w:ascii="Times New Roman" w:hAnsi="Times New Roman"/>
          <w:b/>
          <w:i w:val="false"/>
          <w:color w:val="000000"/>
          <w:sz w:val="22"/>
        </w:rPr>
        <w:t xml:space="preserve">(17A) </w:t>
      </w:r>
      <w:r>
        <w:rPr>
          <w:rFonts w:ascii="Times New Roman" w:hAnsi="Times New Roman"/>
          <w:b/>
          <w:i w:val="false"/>
          <w:color w:val="000000"/>
          <w:sz w:val="22"/>
        </w:rPr>
        <w:t xml:space="preserve">Election forms. </w:t>
      </w:r>
    </w:p>
    <w:p>
      <w:pPr>
        <w:spacing w:before="0" w:after="0"/>
        <w:ind w:left="120"/>
        <w:jc w:val="both"/>
      </w:pPr>
      <w:r>
        <w:rPr>
          <w:rFonts w:ascii="Times New Roman" w:hAnsi="Times New Roman"/>
          <w:b w:val="false"/>
          <w:i w:val="false"/>
          <w:color w:val="000000"/>
          <w:sz w:val="22"/>
        </w:rPr>
        <w:t>Section 1. Election Day and Canvass Forms</w:t>
      </w:r>
    </w:p>
    <w:tbl>
      <w:tblPr>
        <w:tblW w:w="5000" w:type="pct"/>
        <w:tblCellSpacing w:w="0" w:type="auto"/>
        <w:tblBorders>
          <w:top w:val="none"/>
          <w:left w:val="none"/>
          <w:bottom w:val="none"/>
          <w:right w:val="none"/>
          <w:insideH w:val="none"/>
          <w:insideV w:val="none"/>
        </w:tblBorders>
        <w:tblLayout w:type="fixed"/>
      </w:tblPr>
      <w:tblGrid>
        <w:gridCol w:w="3195"/>
        <w:gridCol w:w="7995"/>
      </w:tblGrid>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Form Number </w:t>
            </w:r>
          </w:p>
        </w:tc>
        <w:tc>
          <w:tcPr>
            <w:tcW w:w="79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Description</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1-A(Rev.-95)</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Voter’s Declaration of Eligibility</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1-B</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(Reserved)</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1-C</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(Reserved)</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1-D(Rev.-90)</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Notice to Voter of Rejection of Absentee or Special Ballot</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1-E</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(Reserved)</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1-F(Rev.-90)</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Oath for Officer or Clerk of Election</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1-G(Rev.-95)</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Statement to Person Casting a Special Ballot</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1-H(Rev.-95)</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Envelope for Special Ballot</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1-I(Rev.-95)</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Affidavit of Voter Requesting Assistance</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1-J(Rev.-95)</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Declaration of Intent to Serve as Election Observer (Public Measure Elections)</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1-K(Rev.-90)</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Ballot Record and Receipt</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1-L(Rev.-95)</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County Abstract of Votes</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1-M(93)</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Accreditation Form—Pollwatchers for Political Parties (Challenging Committees)</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1-N(93)</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Accreditation Form—Observers for Political Parties (To Witness the Counting of Ballots)</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1-O(95)</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Letter of Appointment—Pollwatchers for Nonpartisan and Nonparty Candidates</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1-P(95)</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Application for Additional Ballots</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1-Q(95)</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Application for Additional Ballots—Auditor’s Record of Telephone Request</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1-R(95)</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Ballot Photocopy Record</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1-S(97)</w:t>
            </w:r>
          </w:p>
        </w:tc>
        <w:tc>
          <w:tcPr>
            <w:tcW w:w="79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Identification Statement</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Section 2. Nomination Documents and Forms</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Form Number </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Description</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2-A(Rev.-97)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Affidavit by Candidate—Primary Election</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2-B(Rev.-97)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Affidavit by Candidate—Nominations by Political Parties</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2-C(Rev.-97)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Affidavit by Candidate—Nominations by Nonparty Political Organizations</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2-D(Rev.-97)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Affidavit by Candidate—Nonpartisan Nominations</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2-E(Rev.-97)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Nomination Paper—For U.S. Senator, U.S. Representative &amp; Statewide Offices</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2-F(Rev.-97)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Nomination Paper—For State Senator</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2-G(Rev.-97)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Nomination Paper—For State Representative</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2-H(Rev.-97)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Nomination Paper—For Nonpartisan Nominations and Nonparty Political Organizations</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2-I(Rev.-93)</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xml:space="preserve">Certificate of Nomination by Nonparty Political Organization—Chapter </w:t>
            </w:r>
            <w:hyperlink r:id="rId28">
              <w:r>
                <w:rPr>
                  <w:rStyle w:val="Hyperlink"/>
                  <w:rFonts w:ascii="Times New Roman" w:hAnsi="Times New Roman"/>
                  <w:b w:val="false"/>
                  <w:i w:val="false"/>
                  <w:color w:val="000000"/>
                  <w:sz w:val="16"/>
                </w:rPr>
                <w:t>44</w:t>
              </w:r>
            </w:hyperlink>
          </w:p>
        </w:tc>
      </w:tr>
      <w:tr>
        <w:trPr>
          <w:trHeight w:val="39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2-J(Rev.-97)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Nomination Petition for the Offices of Electors for President and Vice President of the United States</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2-K(Rev.-97)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Nomination Paper for County Office</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2-L(Rev.-95)</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xml:space="preserve">Nomination by Convention—Certificate of Nomination by Political Party—Chapter </w:t>
            </w:r>
            <w:hyperlink r:id="rId29">
              <w:r>
                <w:rPr>
                  <w:rStyle w:val="Hyperlink"/>
                  <w:rFonts w:ascii="Times New Roman" w:hAnsi="Times New Roman"/>
                  <w:b w:val="false"/>
                  <w:i w:val="false"/>
                  <w:color w:val="000000"/>
                  <w:sz w:val="16"/>
                </w:rPr>
                <w:t>43</w:t>
              </w:r>
            </w:hyperlink>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2-M(Rev.-97)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Affidavit by Candidate—School and City Elections</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2-N(Rev.-97)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xml:space="preserve">Affidavit by Candidate—City Elections—Chapter </w:t>
            </w:r>
            <w:hyperlink r:id="rId30">
              <w:r>
                <w:rPr>
                  <w:rStyle w:val="Hyperlink"/>
                  <w:rFonts w:ascii="Times New Roman" w:hAnsi="Times New Roman"/>
                  <w:b w:val="false"/>
                  <w:i w:val="false"/>
                  <w:color w:val="000000"/>
                  <w:sz w:val="16"/>
                </w:rPr>
                <w:t>44</w:t>
              </w:r>
            </w:hyperlink>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2-O(Rev.-97)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Nomination Petition—Merged Area Schools</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2-P(Rev.-97)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Petition Requesting Election</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2-Q(93)</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Judicial Declaration of Candidacy</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2-R(93)</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Certificate of Candidates for Presidential Electors</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2-S(Rev.-97)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xml:space="preserve">Nomination Petition—Governor and Lieutenant Governor—Chapter </w:t>
            </w:r>
            <w:hyperlink r:id="rId31">
              <w:r>
                <w:rPr>
                  <w:rStyle w:val="Hyperlink"/>
                  <w:rFonts w:ascii="Times New Roman" w:hAnsi="Times New Roman"/>
                  <w:b w:val="false"/>
                  <w:i w:val="false"/>
                  <w:color w:val="000000"/>
                  <w:sz w:val="16"/>
                </w:rPr>
                <w:t>45</w:t>
              </w:r>
            </w:hyperlink>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Section 3. Absentee Voting Forms</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Form Number </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Description</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3-A(Rev.-97)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Application for Absentee Ballot</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3-B(Rev.-97)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Absent Voter’s Affidavit and Envelope</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3-C(Rev.-90)</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Affidavit for Voter Who Did Not Receive Absent Voter’s Ballot</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3-D(Rev.-97)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Absentee Ballot Carrier Envelope</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3-E(93)</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Statement of Voter—Lost Absentee Ballot</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3-F(93)</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Log for Absentee Ballot Delivery Team</w:t>
            </w:r>
          </w:p>
        </w:tc>
      </w:tr>
      <w:tr>
        <w:trPr>
          <w:trHeight w:val="36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3-G(Rev.-95)</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xml:space="preserve">Challenge of Absentee Voter </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3-H(Rev.-97)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Statement to Voter of Change or Declaration of Party Affiliation</w:t>
            </w:r>
          </w:p>
        </w:tc>
      </w:tr>
      <w:tr>
        <w:trPr>
          <w:trHeight w:val="39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3-I(97)</w:t>
            </w:r>
          </w:p>
        </w:tc>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Statement to Voter of Change or Declaration of Party Affiliation for </w:t>
            </w:r>
          </w:p>
          <w:p>
            <w:pPr>
              <w:spacing w:before="0" w:after="0"/>
              <w:ind w:left="160"/>
              <w:jc w:val="left"/>
            </w:pPr>
            <w:r>
              <w:rPr>
                <w:rFonts w:ascii="Times New Roman" w:hAnsi="Times New Roman"/>
                <w:b w:val="false"/>
                <w:i w:val="false"/>
                <w:color w:val="000000"/>
                <w:sz w:val="16"/>
              </w:rPr>
              <w:t>Voter in Nursing Home or Hospital</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Section 4. Armed Forces and Overseas Absentee Voting</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Form Number </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Description</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4-A(Rev.-97)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Armed Forces or Overseas Ballot—Delivery Envelope</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4-B(Rev.-97)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Armed Forces or Overseas Ballot—Return Carrier Envelope</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4-C(Rev.-97)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Armed Forces or Overseas Ballot—Affidavit Envelope</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4-D(93)</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Proxy Absentee Ballot Request</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Section 5. Administrative Forms</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Form Number </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Description</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5-A</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(Reserved)</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5-B(Rev.-97)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Certificate of Test—Central Count Tabulating Equipment</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5-C(Rev.-97)</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Certificate of Test—Precinct Count Tabulating Equipment</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5-D(Rev.-95)</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Election Document Retention Record</w:t>
            </w:r>
          </w:p>
        </w:tc>
      </w:tr>
      <w:tr>
        <w:trPr>
          <w:trHeight w:val="210" w:hRule="atLeast"/>
        </w:trPr>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5-E</w:t>
            </w:r>
          </w:p>
        </w:tc>
        <w:tc>
          <w:tcPr>
            <w:tcW w:w="79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Rescinded</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43.13</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43.14</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43.18</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43.42</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43.43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43.61</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43.67</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43.88</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44.3</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45.1</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45.3</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46.20</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48A.4</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48A.32</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49.65</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49.66</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49.79</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49.80</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49.90</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49.91</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49.104(2)</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49.104(3)</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49.104(5)</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49.104(6)</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50.3</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50.9</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50.10</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50.12</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50.24</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50.26</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50.28</w:t>
        </w:r>
      </w:hyperlink>
      <w:r>
        <w:rPr>
          <w:rFonts w:ascii="Times New Roman" w:hAnsi="Times New Roman"/>
          <w:b w:val="false"/>
          <w:i w:val="false"/>
          <w:color w:val="000000"/>
          <w:sz w:val="22"/>
        </w:rPr>
        <w:t xml:space="preserve">, 51.11, </w:t>
      </w:r>
      <w:hyperlink r:id="rId68">
        <w:r>
          <w:rPr>
            <w:rStyle w:val="Hyperlink"/>
            <w:rFonts w:ascii="Times New Roman" w:hAnsi="Times New Roman"/>
            <w:b w:val="false"/>
            <w:i w:val="false"/>
            <w:color w:val="000000"/>
            <w:sz w:val="22"/>
          </w:rPr>
          <w:t>52.23</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52.35</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52.38</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53.2</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53.13</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53.19</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53.21</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53.22</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53.23(4)</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53.26</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53.30</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53.31</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53.40</w:t>
        </w:r>
      </w:hyperlink>
      <w:r>
        <w:rPr>
          <w:rFonts w:ascii="Times New Roman" w:hAnsi="Times New Roman"/>
          <w:b w:val="false"/>
          <w:i w:val="false"/>
          <w:color w:val="000000"/>
          <w:sz w:val="22"/>
        </w:rPr>
        <w:t xml:space="preserve">, </w:t>
      </w:r>
      <w:hyperlink r:id="rId82">
        <w:r>
          <w:rPr>
            <w:rStyle w:val="Hyperlink"/>
            <w:rFonts w:ascii="Times New Roman" w:hAnsi="Times New Roman"/>
            <w:b w:val="false"/>
            <w:i w:val="false"/>
            <w:color w:val="000000"/>
            <w:sz w:val="22"/>
          </w:rPr>
          <w:t>53.46(2)</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54.5</w:t>
        </w:r>
      </w:hyperlink>
      <w:r>
        <w:rPr>
          <w:rFonts w:ascii="Times New Roman" w:hAnsi="Times New Roman"/>
          <w:b w:val="false"/>
          <w:i w:val="false"/>
          <w:color w:val="000000"/>
          <w:sz w:val="22"/>
        </w:rPr>
        <w:t xml:space="preserve">, 56.2(5), </w:t>
      </w:r>
      <w:hyperlink r:id="rId84">
        <w:r>
          <w:rPr>
            <w:rStyle w:val="Hyperlink"/>
            <w:rFonts w:ascii="Times New Roman" w:hAnsi="Times New Roman"/>
            <w:b w:val="false"/>
            <w:i w:val="false"/>
            <w:color w:val="000000"/>
            <w:sz w:val="22"/>
          </w:rPr>
          <w:t>260C.15(2)</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277.4</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278.2</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331.306</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362.4</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376.4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11 CFR, Subpart C, Section 8.7(1995)</w:t>
      </w:r>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721—4.4</w:t>
      </w:r>
      <w:r>
        <w:rPr>
          <w:rFonts w:ascii="Times New Roman" w:hAnsi="Times New Roman"/>
          <w:b/>
          <w:i w:val="false"/>
          <w:color w:val="000000"/>
          <w:sz w:val="22"/>
        </w:rPr>
        <w:t xml:space="preserve">(554,17A) </w:t>
      </w:r>
      <w:r>
        <w:rPr>
          <w:rFonts w:ascii="Times New Roman" w:hAnsi="Times New Roman"/>
          <w:b/>
          <w:i w:val="false"/>
          <w:color w:val="000000"/>
          <w:sz w:val="22"/>
        </w:rPr>
        <w:t xml:space="preserve">Uniform Commercial Code forms. </w:t>
      </w:r>
    </w:p>
    <w:p>
      <w:pPr>
        <w:spacing w:before="0" w:after="0"/>
        <w:ind w:left="120"/>
        <w:jc w:val="both"/>
      </w:pPr>
      <w:r>
        <w:rPr>
          <w:rFonts w:ascii="Times New Roman" w:hAnsi="Times New Roman"/>
          <w:b w:val="false"/>
          <w:i w:val="false"/>
          <w:color w:val="000000"/>
          <w:sz w:val="22"/>
        </w:rPr>
        <w:t>UCC1—Financing Statement.</w:t>
      </w:r>
    </w:p>
    <w:p>
      <w:pPr>
        <w:spacing w:before="0" w:after="0"/>
        <w:ind w:left="120"/>
        <w:jc w:val="both"/>
      </w:pPr>
      <w:r>
        <w:rPr>
          <w:rFonts w:ascii="Times New Roman" w:hAnsi="Times New Roman"/>
          <w:b w:val="false"/>
          <w:i w:val="false"/>
          <w:color w:val="000000"/>
          <w:sz w:val="22"/>
        </w:rPr>
        <w:t>UCC1Ad—Financing Statement Addendum (used in connection with UCC1).</w:t>
      </w:r>
    </w:p>
    <w:p>
      <w:pPr>
        <w:spacing w:before="0" w:after="0"/>
        <w:ind w:left="120"/>
        <w:jc w:val="both"/>
      </w:pPr>
      <w:r>
        <w:rPr>
          <w:rFonts w:ascii="Times New Roman" w:hAnsi="Times New Roman"/>
          <w:b w:val="false"/>
          <w:i w:val="false"/>
          <w:color w:val="000000"/>
          <w:sz w:val="22"/>
        </w:rPr>
        <w:t>UCC3—Financing Statement Amendment.</w:t>
      </w:r>
    </w:p>
    <w:p>
      <w:pPr>
        <w:spacing w:before="0" w:after="0"/>
        <w:ind w:left="120"/>
        <w:jc w:val="both"/>
      </w:pPr>
      <w:r>
        <w:rPr>
          <w:rFonts w:ascii="Times New Roman" w:hAnsi="Times New Roman"/>
          <w:b w:val="false"/>
          <w:i w:val="false"/>
          <w:color w:val="000000"/>
          <w:sz w:val="22"/>
        </w:rPr>
        <w:t>UCC3Ad—Financing Statement Amendment Addendum (used in connection with UCC3).</w:t>
      </w:r>
    </w:p>
    <w:p>
      <w:pPr>
        <w:spacing w:before="0" w:after="0"/>
        <w:ind w:left="120"/>
        <w:jc w:val="both"/>
      </w:pPr>
      <w:r>
        <w:rPr>
          <w:rFonts w:ascii="Times New Roman" w:hAnsi="Times New Roman"/>
          <w:b w:val="false"/>
          <w:i w:val="false"/>
          <w:color w:val="000000"/>
          <w:sz w:val="22"/>
        </w:rPr>
        <w:t>UCC5—Information Statement.</w:t>
      </w:r>
    </w:p>
    <w:p>
      <w:pPr>
        <w:spacing w:before="0" w:after="0"/>
        <w:ind w:left="120"/>
        <w:jc w:val="both"/>
      </w:pPr>
      <w:r>
        <w:rPr>
          <w:rFonts w:ascii="Times New Roman" w:hAnsi="Times New Roman"/>
          <w:b w:val="false"/>
          <w:i w:val="false"/>
          <w:color w:val="000000"/>
          <w:sz w:val="22"/>
        </w:rPr>
        <w:t>UCC11—Information Request.</w:t>
      </w:r>
    </w:p>
    <w:p>
      <w:pPr>
        <w:spacing w:before="0" w:after="0"/>
        <w:ind w:left="120"/>
        <w:jc w:val="both"/>
      </w:pPr>
      <w:r>
        <w:rPr>
          <w:rFonts w:ascii="Times New Roman" w:hAnsi="Times New Roman"/>
          <w:b w:val="false"/>
          <w:i w:val="false"/>
          <w:color w:val="000000"/>
          <w:sz w:val="22"/>
        </w:rPr>
        <w:t>Affidavit of Wrongful Filing—used to assert that a UCC document was not authorized to be filed and was caused to be communicated to the filing office with the intent to harass or defraud the affiant.</w:t>
      </w:r>
    </w:p>
    <w:p>
      <w:pPr>
        <w:spacing w:before="0" w:after="0"/>
        <w:ind w:left="120"/>
        <w:jc w:val="both"/>
      </w:pPr>
      <w:r>
        <w:rPr>
          <w:rFonts w:ascii="Times New Roman" w:hAnsi="Times New Roman"/>
          <w:b w:val="false"/>
          <w:i w:val="false"/>
          <w:color w:val="000000"/>
          <w:sz w:val="22"/>
        </w:rPr>
        <w:t>Master File Agreement—used to order corporation and UCC data.</w:t>
      </w:r>
    </w:p>
    <w:p>
      <w:pPr>
        <w:spacing w:before="0" w:after="0"/>
        <w:ind w:left="120"/>
        <w:jc w:val="both"/>
      </w:pPr>
      <w:r>
        <w:rPr>
          <w:rFonts w:ascii="Times New Roman" w:hAnsi="Times New Roman"/>
          <w:b w:val="false"/>
          <w:i w:val="false"/>
          <w:color w:val="000000"/>
          <w:sz w:val="22"/>
        </w:rPr>
        <w:t>Security Authorization Request—used to apply for security authorization to receive corporation and UCC data.</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0">
        <w:r>
          <w:rPr>
            <w:rStyle w:val="Hyperlink"/>
            <w:rFonts w:ascii="Times New Roman" w:hAnsi="Times New Roman"/>
            <w:b w:val="false"/>
            <w:i w:val="false"/>
            <w:color w:val="000000"/>
            <w:sz w:val="22"/>
          </w:rPr>
          <w:t>554</w:t>
        </w:r>
      </w:hyperlink>
      <w:r>
        <w:rPr>
          <w:rFonts w:ascii="Times New Roman" w:hAnsi="Times New Roman"/>
          <w:b w:val="false"/>
          <w:i w:val="false"/>
          <w:color w:val="000000"/>
          <w:sz w:val="22"/>
        </w:rPr>
        <w:t xml:space="preserve"> (Article 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w:t>
      </w:r>
      <w:r>
        <w:rPr>
          <w:rFonts w:ascii="Times New Roman" w:hAnsi="Times New Roman"/>
          <w:b/>
          <w:i w:val="false"/>
          <w:color w:val="000000"/>
          <w:sz w:val="22"/>
        </w:rPr>
        <w:t xml:space="preserve">(572,17A) </w:t>
      </w:r>
      <w:r>
        <w:rPr>
          <w:rFonts w:ascii="Times New Roman" w:hAnsi="Times New Roman"/>
          <w:b/>
          <w:i w:val="false"/>
          <w:color w:val="000000"/>
          <w:sz w:val="22"/>
        </w:rPr>
        <w:t xml:space="preserve">Mechanics’ notice and lien registry (MNLR) forms.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Mechanics’ Notice and Lien Registry—used to provide submitter information in conjunction with other MNLR forms.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Cover Page for Commencement of Work Notice—used in compliance with Iowa Code section </w:t>
      </w:r>
      <w:hyperlink r:id="rId91">
        <w:r>
          <w:rPr>
            <w:rStyle w:val="Hyperlink"/>
            <w:rFonts w:ascii="Times New Roman" w:hAnsi="Times New Roman"/>
            <w:b w:val="false"/>
            <w:i w:val="false"/>
            <w:color w:val="000000"/>
            <w:sz w:val="22"/>
          </w:rPr>
          <w:t>572.13A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Cover Page for Preliminary Notice—used in compliance with Iowa Code section </w:t>
      </w:r>
      <w:hyperlink r:id="rId92">
        <w:r>
          <w:rPr>
            <w:rStyle w:val="Hyperlink"/>
            <w:rFonts w:ascii="Times New Roman" w:hAnsi="Times New Roman"/>
            <w:b w:val="false"/>
            <w:i w:val="false"/>
            <w:color w:val="000000"/>
            <w:sz w:val="22"/>
          </w:rPr>
          <w:t>572.13B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Cover Page for Mechanics’ Lien - Commercial—used in compliance with Iowa Code section </w:t>
      </w:r>
      <w:hyperlink r:id="rId93">
        <w:r>
          <w:rPr>
            <w:rStyle w:val="Hyperlink"/>
            <w:rFonts w:ascii="Times New Roman" w:hAnsi="Times New Roman"/>
            <w:b w:val="false"/>
            <w:i w:val="false"/>
            <w:color w:val="000000"/>
            <w:sz w:val="22"/>
          </w:rPr>
          <w:t>572.8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Cover Page for Mechanics’ Lien - Residential—used in compliance with Iowa Code section </w:t>
      </w:r>
      <w:hyperlink r:id="rId94">
        <w:r>
          <w:rPr>
            <w:rStyle w:val="Hyperlink"/>
            <w:rFonts w:ascii="Times New Roman" w:hAnsi="Times New Roman"/>
            <w:b w:val="false"/>
            <w:i w:val="false"/>
            <w:color w:val="000000"/>
            <w:sz w:val="22"/>
          </w:rPr>
          <w:t>572.8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Mechanics’ Lien—used to comply with Iowa Code section </w:t>
      </w:r>
      <w:hyperlink r:id="rId95">
        <w:r>
          <w:rPr>
            <w:rStyle w:val="Hyperlink"/>
            <w:rFonts w:ascii="Times New Roman" w:hAnsi="Times New Roman"/>
            <w:b w:val="false"/>
            <w:i w:val="false"/>
            <w:color w:val="000000"/>
            <w:sz w:val="22"/>
          </w:rPr>
          <w:t>572.8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Assignment of Mechanics’ Lien—used to transfer a lien.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Cover Page for Bond for Discharge of Lien—used in compliance with Iowa Code section </w:t>
      </w:r>
      <w:hyperlink r:id="rId96">
        <w:r>
          <w:rPr>
            <w:rStyle w:val="Hyperlink"/>
            <w:rFonts w:ascii="Times New Roman" w:hAnsi="Times New Roman"/>
            <w:b w:val="false"/>
            <w:i w:val="false"/>
            <w:color w:val="000000"/>
            <w:sz w:val="22"/>
          </w:rPr>
          <w:t>572.15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Cover Page for Bond to Prevent Exemplary Damages—used in compliance with Iowa Code section </w:t>
      </w:r>
      <w:hyperlink r:id="rId97">
        <w:r>
          <w:rPr>
            <w:rStyle w:val="Hyperlink"/>
            <w:rFonts w:ascii="Times New Roman" w:hAnsi="Times New Roman"/>
            <w:b w:val="false"/>
            <w:i w:val="false"/>
            <w:color w:val="000000"/>
            <w:sz w:val="22"/>
          </w:rPr>
          <w:t>572.30(2)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Affidavit for Release of Mechanics’ Lien Bond—used in compliance with </w:t>
      </w:r>
      <w:hyperlink r:id="rId98">
        <w:r>
          <w:rPr>
            <w:rStyle w:val="Hyperlink"/>
            <w:rFonts w:ascii="Times New Roman" w:hAnsi="Times New Roman"/>
            <w:b w:val="false"/>
            <w:i w:val="false"/>
            <w:color w:val="000000"/>
            <w:sz w:val="22"/>
          </w:rPr>
          <w:t>721—subrule 45.8(3)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Cover Page for Demand for Acknowledgment—used in compliance with Iowa Code section </w:t>
      </w:r>
      <w:hyperlink r:id="rId99">
        <w:r>
          <w:rPr>
            <w:rStyle w:val="Hyperlink"/>
            <w:rFonts w:ascii="Times New Roman" w:hAnsi="Times New Roman"/>
            <w:b w:val="false"/>
            <w:i w:val="false"/>
            <w:color w:val="000000"/>
            <w:sz w:val="22"/>
          </w:rPr>
          <w:t>572.23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Cover Page for Demand to Commence Action—used in compliance with Iowa Code section </w:t>
      </w:r>
      <w:hyperlink r:id="rId100">
        <w:r>
          <w:rPr>
            <w:rStyle w:val="Hyperlink"/>
            <w:rFonts w:ascii="Times New Roman" w:hAnsi="Times New Roman"/>
            <w:b w:val="false"/>
            <w:i w:val="false"/>
            <w:color w:val="000000"/>
            <w:sz w:val="22"/>
          </w:rPr>
          <w:t>572.28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Information regarding forms for the mechanics’ notice and lien registry may be requested from the Business Services Division, Office of the Secretary of State, Lucas State Office Building, Des Moines, Iowa 50319. The telephone number is (515)281-5204.</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01">
        <w:r>
          <w:rPr>
            <w:rStyle w:val="Hyperlink"/>
            <w:rFonts w:ascii="Times New Roman" w:hAnsi="Times New Roman"/>
            <w:b w:val="false"/>
            <w:i w:val="false"/>
            <w:color w:val="000000"/>
            <w:sz w:val="22"/>
          </w:rPr>
          <w:t>572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721—4.6</w:t>
      </w:r>
      <w:r>
        <w:rPr>
          <w:rFonts w:ascii="Times New Roman" w:hAnsi="Times New Roman"/>
          <w:b/>
          <w:i w:val="false"/>
          <w:color w:val="000000"/>
          <w:sz w:val="22"/>
        </w:rPr>
        <w:t xml:space="preserve">(9A,17A) </w:t>
      </w:r>
      <w:r>
        <w:rPr>
          <w:rFonts w:ascii="Times New Roman" w:hAnsi="Times New Roman"/>
          <w:b/>
          <w:i w:val="false"/>
          <w:color w:val="000000"/>
          <w:sz w:val="22"/>
        </w:rPr>
        <w:t xml:space="preserve">Athlete agent.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7059C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8/23/23</w:t>
      </w:r>
      <w:r>
        <w:rPr>
          <w:rFonts w:ascii="Times New Roman" w:hAnsi="Times New Roman"/>
          <w:b w:val="false"/>
          <w:i w:val="false"/>
          <w:color w:val="000000"/>
          <w:sz w:val="22"/>
        </w:rPr>
        <w:t xml:space="preserve">, effective 9/27/23. </w:t>
      </w:r>
    </w:p>
    <w:p>
      <w:pPr>
        <w:spacing w:before="0" w:after="0"/>
        <w:ind w:left="120"/>
        <w:jc w:val="center"/>
      </w:pPr>
      <w:r>
        <w:rPr>
          <w:rFonts w:ascii="Times New Roman" w:hAnsi="Times New Roman"/>
          <w:b w:val="false"/>
          <w:i w:val="false"/>
          <w:color w:val="000000"/>
          <w:sz w:val="21"/>
        </w:rPr>
        <w:t>[Filed emergency 6/25/80—published 7/23/80, effective 7/l/80]</w:t>
      </w:r>
    </w:p>
    <w:p>
      <w:pPr>
        <w:spacing w:before="0" w:after="0"/>
        <w:ind w:left="120"/>
        <w:jc w:val="center"/>
      </w:pPr>
      <w:r>
        <w:rPr>
          <w:rFonts w:ascii="Times New Roman" w:hAnsi="Times New Roman"/>
          <w:b w:val="false"/>
          <w:i w:val="false"/>
          <w:color w:val="000000"/>
          <w:sz w:val="21"/>
        </w:rPr>
        <w:t>[Filed 9/24/80, Notice 8/20/80—published 10/15/80, effective 11/19/80]</w:t>
      </w:r>
    </w:p>
    <w:p>
      <w:pPr>
        <w:spacing w:before="0" w:after="0"/>
        <w:ind w:left="120"/>
        <w:jc w:val="center"/>
      </w:pPr>
      <w:r>
        <w:rPr>
          <w:rFonts w:ascii="Times New Roman" w:hAnsi="Times New Roman"/>
          <w:b w:val="false"/>
          <w:i w:val="false"/>
          <w:color w:val="000000"/>
          <w:sz w:val="21"/>
        </w:rPr>
        <w:t>[Filed 11/30/83, Notice 10/12/83—published 12/21/83, effective 1/25/84]</w:t>
      </w:r>
    </w:p>
    <w:p>
      <w:pPr>
        <w:spacing w:before="0" w:after="0"/>
        <w:ind w:left="120"/>
        <w:jc w:val="center"/>
      </w:pPr>
      <w:r>
        <w:rPr>
          <w:rFonts w:ascii="Times New Roman" w:hAnsi="Times New Roman"/>
          <w:b w:val="false"/>
          <w:i w:val="false"/>
          <w:color w:val="000000"/>
          <w:sz w:val="21"/>
        </w:rPr>
        <w:t>[Filed emergency 7/3/84—published 8/184, effective 7/3/84]</w:t>
      </w:r>
    </w:p>
    <w:p>
      <w:pPr>
        <w:spacing w:before="0" w:after="0"/>
        <w:ind w:left="120"/>
        <w:jc w:val="center"/>
      </w:pPr>
      <w:r>
        <w:rPr>
          <w:rFonts w:ascii="Times New Roman" w:hAnsi="Times New Roman"/>
          <w:b w:val="false"/>
          <w:i w:val="false"/>
          <w:color w:val="000000"/>
          <w:sz w:val="21"/>
        </w:rPr>
        <w:t>[Filed emergency 8/3/84—published 8/29/84, effective 8/3/84]</w:t>
      </w:r>
    </w:p>
    <w:p>
      <w:pPr>
        <w:spacing w:before="0" w:after="0"/>
        <w:ind w:left="120"/>
        <w:jc w:val="center"/>
      </w:pPr>
      <w:r>
        <w:rPr>
          <w:rFonts w:ascii="Times New Roman" w:hAnsi="Times New Roman"/>
          <w:b w:val="false"/>
          <w:i w:val="false"/>
          <w:color w:val="000000"/>
          <w:sz w:val="21"/>
        </w:rPr>
        <w:t>[Filed 12/14/84, Notice 8/1/84—published 1/2/85, effective 2/6/85]</w:t>
      </w:r>
    </w:p>
    <w:p>
      <w:pPr>
        <w:spacing w:before="0" w:after="0"/>
        <w:ind w:left="120"/>
        <w:jc w:val="center"/>
      </w:pPr>
      <w:r>
        <w:rPr>
          <w:rFonts w:ascii="Times New Roman" w:hAnsi="Times New Roman"/>
          <w:b w:val="false"/>
          <w:i w:val="false"/>
          <w:color w:val="000000"/>
          <w:sz w:val="21"/>
        </w:rPr>
        <w:t>[Filed emergency 7/6/87—published 7/29/87, effective 7/6/87]</w:t>
      </w:r>
    </w:p>
    <w:p>
      <w:pPr>
        <w:spacing w:before="0" w:after="0"/>
        <w:ind w:left="120"/>
        <w:jc w:val="center"/>
      </w:pPr>
      <w:r>
        <w:rPr>
          <w:rFonts w:ascii="Times New Roman" w:hAnsi="Times New Roman"/>
          <w:b w:val="false"/>
          <w:i w:val="false"/>
          <w:color w:val="000000"/>
          <w:sz w:val="21"/>
        </w:rPr>
        <w:t>[Filed emergency 8/4/87—published 8/26/87, effective 8/4/87]</w:t>
      </w:r>
    </w:p>
    <w:p>
      <w:pPr>
        <w:spacing w:before="0" w:after="0"/>
        <w:ind w:left="120"/>
        <w:jc w:val="center"/>
      </w:pPr>
      <w:r>
        <w:rPr>
          <w:rFonts w:ascii="Times New Roman" w:hAnsi="Times New Roman"/>
          <w:b w:val="false"/>
          <w:i w:val="false"/>
          <w:color w:val="000000"/>
          <w:sz w:val="21"/>
        </w:rPr>
        <w:t>[Filed 9/4/87, Notice 7/29/87—published 9/23/87, effective 10/28/87]</w:t>
      </w:r>
    </w:p>
    <w:p>
      <w:pPr>
        <w:spacing w:before="0" w:after="0"/>
        <w:ind w:left="120"/>
        <w:jc w:val="center"/>
      </w:pPr>
      <w:r>
        <w:rPr>
          <w:rFonts w:ascii="Times New Roman" w:hAnsi="Times New Roman"/>
          <w:b w:val="false"/>
          <w:i w:val="false"/>
          <w:color w:val="000000"/>
          <w:sz w:val="21"/>
        </w:rPr>
        <w:t>[Filed 6/23/88, Notice 5/18/88—published 7/13/88, effective 8/17/88]</w:t>
      </w:r>
    </w:p>
    <w:p>
      <w:pPr>
        <w:spacing w:before="0" w:after="0"/>
        <w:ind w:left="120"/>
        <w:jc w:val="center"/>
      </w:pPr>
      <w:r>
        <w:rPr>
          <w:rFonts w:ascii="Times New Roman" w:hAnsi="Times New Roman"/>
          <w:b w:val="false"/>
          <w:i w:val="false"/>
          <w:color w:val="000000"/>
          <w:sz w:val="21"/>
        </w:rPr>
        <w:t>[Filed emergency 7/8/88—published 7/27/88, effective 7/8/88]</w:t>
      </w:r>
    </w:p>
    <w:p>
      <w:pPr>
        <w:spacing w:before="0" w:after="0"/>
        <w:ind w:left="120"/>
        <w:jc w:val="center"/>
      </w:pPr>
      <w:r>
        <w:rPr>
          <w:rFonts w:ascii="Times New Roman" w:hAnsi="Times New Roman"/>
          <w:b w:val="false"/>
          <w:i w:val="false"/>
          <w:color w:val="000000"/>
          <w:sz w:val="21"/>
        </w:rPr>
        <w:t>[Filed 5/12/89, Notice 2/22/89—published 5/31/89, effective 7/19/89]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8/16/89, Notice 5/17/89—published 9/6/89, effective 10/11/89]</w:t>
      </w:r>
    </w:p>
    <w:p>
      <w:pPr>
        <w:spacing w:before="0" w:after="0"/>
        <w:ind w:left="120"/>
        <w:jc w:val="center"/>
      </w:pPr>
      <w:r>
        <w:rPr>
          <w:rFonts w:ascii="Times New Roman" w:hAnsi="Times New Roman"/>
          <w:b w:val="false"/>
          <w:i w:val="false"/>
          <w:color w:val="000000"/>
          <w:sz w:val="21"/>
        </w:rPr>
        <w:t>[Filed 7/5/90, Notice 5/30/90—published 7/25/90, effective 8/29/90]</w:t>
      </w:r>
    </w:p>
    <w:p>
      <w:pPr>
        <w:spacing w:before="0" w:after="0"/>
        <w:ind w:left="120"/>
        <w:jc w:val="center"/>
      </w:pPr>
      <w:r>
        <w:rPr>
          <w:rFonts w:ascii="Times New Roman" w:hAnsi="Times New Roman"/>
          <w:b w:val="false"/>
          <w:i w:val="false"/>
          <w:color w:val="000000"/>
          <w:sz w:val="21"/>
        </w:rPr>
        <w:t>[Filed emergency 6/21/91—published 7/10/91, effective 7/1/91]</w:t>
      </w:r>
    </w:p>
    <w:p>
      <w:pPr>
        <w:spacing w:before="0" w:after="0"/>
        <w:ind w:left="120"/>
        <w:jc w:val="center"/>
      </w:pPr>
      <w:r>
        <w:rPr>
          <w:rFonts w:ascii="Times New Roman" w:hAnsi="Times New Roman"/>
          <w:b w:val="false"/>
          <w:i w:val="false"/>
          <w:color w:val="000000"/>
          <w:sz w:val="21"/>
        </w:rPr>
        <w:t>[Filed emergency 7/10/91—published 8/7/91, effective 7/10/91]</w:t>
      </w:r>
    </w:p>
    <w:p>
      <w:pPr>
        <w:spacing w:before="0" w:after="0"/>
        <w:ind w:left="120"/>
        <w:jc w:val="center"/>
      </w:pPr>
      <w:r>
        <w:rPr>
          <w:rFonts w:ascii="Times New Roman" w:hAnsi="Times New Roman"/>
          <w:b w:val="false"/>
          <w:i w:val="false"/>
          <w:color w:val="000000"/>
          <w:sz w:val="21"/>
        </w:rPr>
        <w:t>[Filed 8/13/93, Notice 6/23/93—published 9/1/93, effective 10/6/93]</w:t>
      </w:r>
    </w:p>
    <w:p>
      <w:pPr>
        <w:spacing w:before="0" w:after="0"/>
        <w:ind w:left="120"/>
        <w:jc w:val="center"/>
      </w:pPr>
      <w:r>
        <w:rPr>
          <w:rFonts w:ascii="Times New Roman" w:hAnsi="Times New Roman"/>
          <w:b w:val="false"/>
          <w:i w:val="false"/>
          <w:color w:val="000000"/>
          <w:sz w:val="21"/>
        </w:rPr>
        <w:t>[Filed 8/25/95, Notice 7/19/95—published 9/13/95, effective 10/18/95]</w:t>
      </w:r>
    </w:p>
    <w:p>
      <w:pPr>
        <w:spacing w:before="0" w:after="0"/>
        <w:ind w:left="120"/>
        <w:jc w:val="center"/>
      </w:pPr>
      <w:r>
        <w:rPr>
          <w:rFonts w:ascii="Times New Roman" w:hAnsi="Times New Roman"/>
          <w:b w:val="false"/>
          <w:i w:val="false"/>
          <w:color w:val="000000"/>
          <w:sz w:val="21"/>
        </w:rPr>
        <w:t>[Filed 8/22/97, Notice 7/16/97—published 9/10/97, effective 10/15/97]</w:t>
      </w:r>
    </w:p>
    <w:p>
      <w:pPr>
        <w:spacing w:before="0" w:after="0"/>
        <w:ind w:left="120"/>
        <w:jc w:val="center"/>
      </w:pPr>
      <w:r>
        <w:rPr>
          <w:rFonts w:ascii="Times New Roman" w:hAnsi="Times New Roman"/>
          <w:b w:val="false"/>
          <w:i w:val="false"/>
          <w:color w:val="000000"/>
          <w:sz w:val="21"/>
        </w:rPr>
        <w:t>[Filed 10/29/99, Notice 9/8/99—published 11/17/99, effective 12/22/99]</w:t>
      </w:r>
    </w:p>
    <w:p>
      <w:pPr>
        <w:spacing w:before="0" w:after="0"/>
        <w:ind w:left="120"/>
        <w:jc w:val="center"/>
      </w:pPr>
      <w:r>
        <w:rPr>
          <w:rFonts w:ascii="Times New Roman" w:hAnsi="Times New Roman"/>
          <w:b w:val="false"/>
          <w:i w:val="false"/>
          <w:color w:val="000000"/>
          <w:sz w:val="21"/>
        </w:rPr>
        <w:t>[Filed emergency 6/8/01—published 6/27/01, effective 7/1/01]</w:t>
      </w:r>
    </w:p>
    <w:p>
      <w:pPr>
        <w:spacing w:before="0" w:after="0"/>
        <w:ind w:left="120"/>
        <w:jc w:val="center"/>
      </w:pPr>
      <w:r>
        <w:rPr>
          <w:rFonts w:ascii="Times New Roman" w:hAnsi="Times New Roman"/>
          <w:b w:val="false"/>
          <w:i w:val="false"/>
          <w:color w:val="000000"/>
          <w:sz w:val="21"/>
        </w:rPr>
        <w:t>[Filed 12/30/05, Notice 11/23/05—published 1/18/06, effective 2/22/06]</w:t>
      </w:r>
    </w:p>
    <w:p>
      <w:pPr>
        <w:spacing w:before="0" w:after="0"/>
        <w:ind w:left="120"/>
        <w:jc w:val="center"/>
      </w:pPr>
      <w:r>
        <w:rPr>
          <w:rFonts w:ascii="Times New Roman" w:hAnsi="Times New Roman"/>
          <w:b w:val="false"/>
          <w:i w:val="false"/>
          <w:color w:val="000000"/>
          <w:sz w:val="21"/>
        </w:rPr>
        <w:t>[Filed ARC 2962C</w:t>
      </w:r>
      <w:r>
        <w:rPr>
          <w:rFonts w:ascii="Times New Roman" w:hAnsi="Times New Roman"/>
          <w:b w:val="false"/>
          <w:i w:val="false"/>
          <w:color w:val="000000"/>
          <w:sz w:val="21"/>
        </w:rPr>
        <w:t xml:space="preserve"> (Notice ARC 2856C, IAB 12/7/16)</w:t>
      </w:r>
      <w:r>
        <w:rPr>
          <w:rFonts w:ascii="Times New Roman" w:hAnsi="Times New Roman"/>
          <w:b w:val="false"/>
          <w:i w:val="false"/>
          <w:color w:val="000000"/>
          <w:sz w:val="21"/>
        </w:rPr>
        <w:t>, IAB 3/1/17, effective 4/5/17]</w:t>
      </w:r>
    </w:p>
    <w:p>
      <w:pPr>
        <w:spacing w:before="0" w:after="0"/>
        <w:ind w:left="120"/>
        <w:jc w:val="center"/>
      </w:pPr>
      <w:r>
        <w:rPr>
          <w:rFonts w:ascii="Times New Roman" w:hAnsi="Times New Roman"/>
          <w:b w:val="false"/>
          <w:i w:val="false"/>
          <w:color w:val="000000"/>
          <w:sz w:val="21"/>
        </w:rPr>
        <w:t>[Filed ARC 7059C</w:t>
      </w:r>
      <w:r>
        <w:rPr>
          <w:rFonts w:ascii="Times New Roman" w:hAnsi="Times New Roman"/>
          <w:b w:val="false"/>
          <w:i w:val="false"/>
          <w:color w:val="000000"/>
          <w:sz w:val="21"/>
        </w:rPr>
        <w:t xml:space="preserve"> (Notice ARC 6886C, IAB 2/8/23)</w:t>
      </w:r>
      <w:r>
        <w:rPr>
          <w:rFonts w:ascii="Times New Roman" w:hAnsi="Times New Roman"/>
          <w:b w:val="false"/>
          <w:i w:val="false"/>
          <w:color w:val="000000"/>
          <w:sz w:val="21"/>
        </w:rPr>
        <w:t>, IAB 8/23/23, effective 9/27/23]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sos.iowa.gov/" Type="http://schemas.openxmlformats.org/officeDocument/2006/relationships/hyperlink" Id="rId5"/>
    <Relationship TargetMode="External" Target="https://www.legis.iowa.gov/docs/ico/chapter/29C.pdf" Type="http://schemas.openxmlformats.org/officeDocument/2006/relationships/hyperlink" Id="rId6"/>
    <Relationship TargetMode="External" Target="https://www.legis.iowa.gov/docs/ico/chapter/6B.3.pdf" Type="http://schemas.openxmlformats.org/officeDocument/2006/relationships/hyperlink" Id="rId7"/>
    <Relationship TargetMode="External" Target="https://www.legis.iowa.gov/docs/ico/chapter/6B.38.pdf" Type="http://schemas.openxmlformats.org/officeDocument/2006/relationships/hyperlink" Id="rId8"/>
    <Relationship TargetMode="External" Target="https://www.legis.iowa.gov/docs/ico/chapter/9C.3.pdf" Type="http://schemas.openxmlformats.org/officeDocument/2006/relationships/hyperlink" Id="rId9"/>
    <Relationship TargetMode="External" Target="https://sos.iowa.gov/" Type="http://schemas.openxmlformats.org/officeDocument/2006/relationships/hyperlink" Id="rId10"/>
    <Relationship TargetMode="External" Target="https://www.legis.iowa.gov/docs/ico/chapter/538A.5.pdf" Type="http://schemas.openxmlformats.org/officeDocument/2006/relationships/hyperlink" Id="rId11"/>
    <Relationship TargetMode="External" Target="https://www.legis.iowa.gov/docs/ico/chapter/538A.4.pdf" Type="http://schemas.openxmlformats.org/officeDocument/2006/relationships/hyperlink" Id="rId12"/>
    <Relationship TargetMode="External" Target="https://www.legis.iowa.gov/docs/ico/chapter/538A.4.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sos.iowa.gov/" Type="http://schemas.openxmlformats.org/officeDocument/2006/relationships/hyperlink" Id="rId15"/>
    <Relationship TargetMode="External" Target="https://www.legis.iowa.gov/docs/ico/chapter/496C.21.pdf" Type="http://schemas.openxmlformats.org/officeDocument/2006/relationships/hyperlink" Id="rId16"/>
    <Relationship TargetMode="External" Target="https://www.legis.iowa.gov/docs/ico/chapter/496C.21.pdf" Type="http://schemas.openxmlformats.org/officeDocument/2006/relationships/hyperlink" Id="rId17"/>
    <Relationship TargetMode="External" Target="https://www.legis.iowa.gov/docs/ico/chapter/10B.pdf" Type="http://schemas.openxmlformats.org/officeDocument/2006/relationships/hyperlink" Id="rId18"/>
    <Relationship TargetMode="External" Target="https://www.legis.iowa.gov/docs/ico/chapter/202B.pdf" Type="http://schemas.openxmlformats.org/officeDocument/2006/relationships/hyperlink" Id="rId19"/>
    <Relationship TargetMode="External" Target="https://www.legis.iowa.gov/docs/ico/chapter/9I.pdf" Type="http://schemas.openxmlformats.org/officeDocument/2006/relationships/hyperlink" Id="rId20"/>
    <Relationship TargetMode="External" Target="https://www.legis.iowa.gov/docs/ico/chapter/9I.pdf" Type="http://schemas.openxmlformats.org/officeDocument/2006/relationships/hyperlink" Id="rId21"/>
    <Relationship TargetMode="External" Target="https://www.legis.iowa.gov/docs/ico/chapter/9I.7.pdf" Type="http://schemas.openxmlformats.org/officeDocument/2006/relationships/hyperlink" Id="rId22"/>
    <Relationship TargetMode="External" Target="https://www.legis.iowa.gov/docs/ico/chapter/9I.8.pdf" Type="http://schemas.openxmlformats.org/officeDocument/2006/relationships/hyperlink" Id="rId23"/>
    <Relationship TargetMode="External" Target="https://www.legis.iowa.gov/docs/ico/chapter/9I.9.pdf" Type="http://schemas.openxmlformats.org/officeDocument/2006/relationships/hyperlink" Id="rId24"/>
    <Relationship TargetMode="External" Target="https://www.legis.iowa.gov/docs/ico/chapter/10B.4.pdf" Type="http://schemas.openxmlformats.org/officeDocument/2006/relationships/hyperlink" Id="rId25"/>
    <Relationship TargetMode="External" Target="https://www.legis.iowa.gov/docs/ico/chapter/202B.301.pdf" Type="http://schemas.openxmlformats.org/officeDocument/2006/relationships/hyperlink" Id="rId26"/>
    <Relationship TargetMode="External" Target="https://www.legis.iowa.gov/docs/ico/chapter/202B.302.pdf" Type="http://schemas.openxmlformats.org/officeDocument/2006/relationships/hyperlink" Id="rId27"/>
    <Relationship TargetMode="External" Target="https://www.legis.iowa.gov/docs/ico/chapter/44.pdf" Type="http://schemas.openxmlformats.org/officeDocument/2006/relationships/hyperlink" Id="rId28"/>
    <Relationship TargetMode="External" Target="https://www.legis.iowa.gov/docs/ico/chapter/43.pdf" Type="http://schemas.openxmlformats.org/officeDocument/2006/relationships/hyperlink" Id="rId29"/>
    <Relationship TargetMode="External" Target="https://www.legis.iowa.gov/docs/ico/chapter/44.pdf" Type="http://schemas.openxmlformats.org/officeDocument/2006/relationships/hyperlink" Id="rId30"/>
    <Relationship TargetMode="External" Target="https://www.legis.iowa.gov/docs/ico/chapter/45.pdf" Type="http://schemas.openxmlformats.org/officeDocument/2006/relationships/hyperlink" Id="rId31"/>
    <Relationship TargetMode="External" Target="https://www.legis.iowa.gov/docs/ico/chapter/43.13.pdf" Type="http://schemas.openxmlformats.org/officeDocument/2006/relationships/hyperlink" Id="rId32"/>
    <Relationship TargetMode="External" Target="https://www.legis.iowa.gov/docs/ico/chapter/43.14.pdf" Type="http://schemas.openxmlformats.org/officeDocument/2006/relationships/hyperlink" Id="rId33"/>
    <Relationship TargetMode="External" Target="https://www.legis.iowa.gov/docs/ico/chapter/43.18.pdf" Type="http://schemas.openxmlformats.org/officeDocument/2006/relationships/hyperlink" Id="rId34"/>
    <Relationship TargetMode="External" Target="https://www.legis.iowa.gov/docs/ico/chapter/43.42.pdf" Type="http://schemas.openxmlformats.org/officeDocument/2006/relationships/hyperlink" Id="rId35"/>
    <Relationship TargetMode="External" Target="https://www.legis.iowa.gov/docs/ico/chapter/43.43.pdf" Type="http://schemas.openxmlformats.org/officeDocument/2006/relationships/hyperlink" Id="rId36"/>
    <Relationship TargetMode="External" Target="https://www.legis.iowa.gov/docs/ico/chapter/43.61.pdf" Type="http://schemas.openxmlformats.org/officeDocument/2006/relationships/hyperlink" Id="rId37"/>
    <Relationship TargetMode="External" Target="https://www.legis.iowa.gov/docs/ico/chapter/43.67.pdf" Type="http://schemas.openxmlformats.org/officeDocument/2006/relationships/hyperlink" Id="rId38"/>
    <Relationship TargetMode="External" Target="https://www.legis.iowa.gov/docs/ico/chapter/43.88.pdf" Type="http://schemas.openxmlformats.org/officeDocument/2006/relationships/hyperlink" Id="rId39"/>
    <Relationship TargetMode="External" Target="https://www.legis.iowa.gov/docs/ico/chapter/44.3.pdf" Type="http://schemas.openxmlformats.org/officeDocument/2006/relationships/hyperlink" Id="rId40"/>
    <Relationship TargetMode="External" Target="https://www.legis.iowa.gov/docs/ico/chapter/45.1.pdf" Type="http://schemas.openxmlformats.org/officeDocument/2006/relationships/hyperlink" Id="rId41"/>
    <Relationship TargetMode="External" Target="https://www.legis.iowa.gov/docs/ico/chapter/45.3.pdf" Type="http://schemas.openxmlformats.org/officeDocument/2006/relationships/hyperlink" Id="rId42"/>
    <Relationship TargetMode="External" Target="https://www.legis.iowa.gov/docs/ico/chapter/46.20.pdf" Type="http://schemas.openxmlformats.org/officeDocument/2006/relationships/hyperlink" Id="rId43"/>
    <Relationship TargetMode="External" Target="https://www.legis.iowa.gov/docs/ico/chapter/48A.4.pdf" Type="http://schemas.openxmlformats.org/officeDocument/2006/relationships/hyperlink" Id="rId44"/>
    <Relationship TargetMode="External" Target="https://www.legis.iowa.gov/docs/ico/chapter/48A.32.pdf" Type="http://schemas.openxmlformats.org/officeDocument/2006/relationships/hyperlink" Id="rId45"/>
    <Relationship TargetMode="External" Target="https://www.legis.iowa.gov/docs/ico/chapter/49.65.pdf" Type="http://schemas.openxmlformats.org/officeDocument/2006/relationships/hyperlink" Id="rId46"/>
    <Relationship TargetMode="External" Target="https://www.legis.iowa.gov/docs/ico/chapter/49.66.pdf" Type="http://schemas.openxmlformats.org/officeDocument/2006/relationships/hyperlink" Id="rId47"/>
    <Relationship TargetMode="External" Target="https://www.legis.iowa.gov/docs/ico/chapter/49.77.pdf" Type="http://schemas.openxmlformats.org/officeDocument/2006/relationships/hyperlink" Id="rId48"/>
    <Relationship TargetMode="External" Target="https://www.legis.iowa.gov/docs/ico/chapter/49.79.pdf" Type="http://schemas.openxmlformats.org/officeDocument/2006/relationships/hyperlink" Id="rId49"/>
    <Relationship TargetMode="External" Target="https://www.legis.iowa.gov/docs/ico/chapter/49.80.pdf" Type="http://schemas.openxmlformats.org/officeDocument/2006/relationships/hyperlink" Id="rId50"/>
    <Relationship TargetMode="External" Target="https://www.legis.iowa.gov/docs/ico/chapter/49.81.pdf" Type="http://schemas.openxmlformats.org/officeDocument/2006/relationships/hyperlink" Id="rId51"/>
    <Relationship TargetMode="External" Target="https://www.legis.iowa.gov/docs/ico/chapter/49.90.pdf" Type="http://schemas.openxmlformats.org/officeDocument/2006/relationships/hyperlink" Id="rId52"/>
    <Relationship TargetMode="External" Target="https://www.legis.iowa.gov/docs/ico/chapter/49.91.pdf" Type="http://schemas.openxmlformats.org/officeDocument/2006/relationships/hyperlink" Id="rId53"/>
    <Relationship TargetMode="External" Target="https://www.legis.iowa.gov/docs/ico/chapter/49.104.pdf" Type="http://schemas.openxmlformats.org/officeDocument/2006/relationships/hyperlink" Id="rId54"/>
    <Relationship TargetMode="External" Target="https://www.legis.iowa.gov/docs/ico/chapter/49.104.pdf" Type="http://schemas.openxmlformats.org/officeDocument/2006/relationships/hyperlink" Id="rId55"/>
    <Relationship TargetMode="External" Target="https://www.legis.iowa.gov/docs/ico/chapter/49.104.pdf" Type="http://schemas.openxmlformats.org/officeDocument/2006/relationships/hyperlink" Id="rId56"/>
    <Relationship TargetMode="External" Target="https://www.legis.iowa.gov/docs/ico/chapter/49.104.pdf" Type="http://schemas.openxmlformats.org/officeDocument/2006/relationships/hyperlink" Id="rId57"/>
    <Relationship TargetMode="External" Target="https://www.legis.iowa.gov/docs/ico/chapter/50.3.pdf" Type="http://schemas.openxmlformats.org/officeDocument/2006/relationships/hyperlink" Id="rId58"/>
    <Relationship TargetMode="External" Target="https://www.legis.iowa.gov/docs/ico/chapter/50.4.pdf" Type="http://schemas.openxmlformats.org/officeDocument/2006/relationships/hyperlink" Id="rId59"/>
    <Relationship TargetMode="External" Target="https://www.legis.iowa.gov/docs/ico/chapter/50.5.pdf" Type="http://schemas.openxmlformats.org/officeDocument/2006/relationships/hyperlink" Id="rId60"/>
    <Relationship TargetMode="External" Target="https://www.legis.iowa.gov/docs/ico/chapter/50.9.pdf" Type="http://schemas.openxmlformats.org/officeDocument/2006/relationships/hyperlink" Id="rId61"/>
    <Relationship TargetMode="External" Target="https://www.legis.iowa.gov/docs/ico/chapter/50.10.pdf" Type="http://schemas.openxmlformats.org/officeDocument/2006/relationships/hyperlink" Id="rId62"/>
    <Relationship TargetMode="External" Target="https://www.legis.iowa.gov/docs/ico/chapter/50.12.pdf" Type="http://schemas.openxmlformats.org/officeDocument/2006/relationships/hyperlink" Id="rId63"/>
    <Relationship TargetMode="External" Target="https://www.legis.iowa.gov/docs/ico/chapter/50.19.pdf" Type="http://schemas.openxmlformats.org/officeDocument/2006/relationships/hyperlink" Id="rId64"/>
    <Relationship TargetMode="External" Target="https://www.legis.iowa.gov/docs/ico/chapter/50.24.pdf" Type="http://schemas.openxmlformats.org/officeDocument/2006/relationships/hyperlink" Id="rId65"/>
    <Relationship TargetMode="External" Target="https://www.legis.iowa.gov/docs/ico/chapter/50.26.pdf" Type="http://schemas.openxmlformats.org/officeDocument/2006/relationships/hyperlink" Id="rId66"/>
    <Relationship TargetMode="External" Target="https://www.legis.iowa.gov/docs/ico/chapter/50.28.pdf" Type="http://schemas.openxmlformats.org/officeDocument/2006/relationships/hyperlink" Id="rId67"/>
    <Relationship TargetMode="External" Target="https://www.legis.iowa.gov/docs/ico/chapter/52.23.pdf" Type="http://schemas.openxmlformats.org/officeDocument/2006/relationships/hyperlink" Id="rId68"/>
    <Relationship TargetMode="External" Target="https://www.legis.iowa.gov/docs/ico/chapter/52.35.pdf" Type="http://schemas.openxmlformats.org/officeDocument/2006/relationships/hyperlink" Id="rId69"/>
    <Relationship TargetMode="External" Target="https://www.legis.iowa.gov/docs/ico/chapter/52.38.pdf" Type="http://schemas.openxmlformats.org/officeDocument/2006/relationships/hyperlink" Id="rId70"/>
    <Relationship TargetMode="External" Target="https://www.legis.iowa.gov/docs/ico/chapter/53.2.pdf" Type="http://schemas.openxmlformats.org/officeDocument/2006/relationships/hyperlink" Id="rId71"/>
    <Relationship TargetMode="External" Target="https://www.legis.iowa.gov/docs/ico/chapter/53.13.pdf" Type="http://schemas.openxmlformats.org/officeDocument/2006/relationships/hyperlink" Id="rId72"/>
    <Relationship TargetMode="External" Target="https://www.legis.iowa.gov/docs/ico/chapter/53.19.pdf" Type="http://schemas.openxmlformats.org/officeDocument/2006/relationships/hyperlink" Id="rId73"/>
    <Relationship TargetMode="External" Target="https://www.legis.iowa.gov/docs/ico/chapter/53.21.pdf" Type="http://schemas.openxmlformats.org/officeDocument/2006/relationships/hyperlink" Id="rId74"/>
    <Relationship TargetMode="External" Target="https://www.legis.iowa.gov/docs/ico/chapter/53.22.pdf" Type="http://schemas.openxmlformats.org/officeDocument/2006/relationships/hyperlink" Id="rId75"/>
    <Relationship TargetMode="External" Target="https://www.legis.iowa.gov/docs/ico/chapter/53.23.pdf" Type="http://schemas.openxmlformats.org/officeDocument/2006/relationships/hyperlink" Id="rId76"/>
    <Relationship TargetMode="External" Target="https://www.legis.iowa.gov/docs/ico/chapter/53.25.pdf" Type="http://schemas.openxmlformats.org/officeDocument/2006/relationships/hyperlink" Id="rId77"/>
    <Relationship TargetMode="External" Target="https://www.legis.iowa.gov/docs/ico/chapter/53.26.pdf" Type="http://schemas.openxmlformats.org/officeDocument/2006/relationships/hyperlink" Id="rId78"/>
    <Relationship TargetMode="External" Target="https://www.legis.iowa.gov/docs/ico/chapter/53.30.pdf" Type="http://schemas.openxmlformats.org/officeDocument/2006/relationships/hyperlink" Id="rId79"/>
    <Relationship TargetMode="External" Target="https://www.legis.iowa.gov/docs/ico/chapter/53.31.pdf" Type="http://schemas.openxmlformats.org/officeDocument/2006/relationships/hyperlink" Id="rId80"/>
    <Relationship TargetMode="External" Target="https://www.legis.iowa.gov/docs/ico/chapter/53.40.pdf" Type="http://schemas.openxmlformats.org/officeDocument/2006/relationships/hyperlink" Id="rId81"/>
    <Relationship TargetMode="External" Target="https://www.legis.iowa.gov/docs/ico/chapter/53.46.pdf" Type="http://schemas.openxmlformats.org/officeDocument/2006/relationships/hyperlink" Id="rId82"/>
    <Relationship TargetMode="External" Target="https://www.legis.iowa.gov/docs/ico/chapter/54.5.pdf" Type="http://schemas.openxmlformats.org/officeDocument/2006/relationships/hyperlink" Id="rId83"/>
    <Relationship TargetMode="External" Target="https://www.legis.iowa.gov/docs/ico/chapter/260C.15.pdf" Type="http://schemas.openxmlformats.org/officeDocument/2006/relationships/hyperlink" Id="rId84"/>
    <Relationship TargetMode="External" Target="https://www.legis.iowa.gov/docs/ico/chapter/277.4.pdf" Type="http://schemas.openxmlformats.org/officeDocument/2006/relationships/hyperlink" Id="rId85"/>
    <Relationship TargetMode="External" Target="https://www.legis.iowa.gov/docs/ico/chapter/278.2.pdf" Type="http://schemas.openxmlformats.org/officeDocument/2006/relationships/hyperlink" Id="rId86"/>
    <Relationship TargetMode="External" Target="https://www.legis.iowa.gov/docs/ico/chapter/331.306.pdf" Type="http://schemas.openxmlformats.org/officeDocument/2006/relationships/hyperlink" Id="rId87"/>
    <Relationship TargetMode="External" Target="https://www.legis.iowa.gov/docs/ico/chapter/362.4.pdf" Type="http://schemas.openxmlformats.org/officeDocument/2006/relationships/hyperlink" Id="rId88"/>
    <Relationship TargetMode="External" Target="https://www.legis.iowa.gov/docs/ico/chapter/376.4.pdf" Type="http://schemas.openxmlformats.org/officeDocument/2006/relationships/hyperlink" Id="rId89"/>
    <Relationship TargetMode="External" Target="https://www.legis.iowa.gov/docs/ico/chapter/554.pdf" Type="http://schemas.openxmlformats.org/officeDocument/2006/relationships/hyperlink" Id="rId90"/>
    <Relationship TargetMode="External" Target="https://www.legis.iowa.gov/docs/ico/chapter/572.13A.pdf" Type="http://schemas.openxmlformats.org/officeDocument/2006/relationships/hyperlink" Id="rId91"/>
    <Relationship TargetMode="External" Target="https://www.legis.iowa.gov/docs/ico/chapter/572.13B.pdf" Type="http://schemas.openxmlformats.org/officeDocument/2006/relationships/hyperlink" Id="rId92"/>
    <Relationship TargetMode="External" Target="https://www.legis.iowa.gov/docs/ico/chapter/572.8.pdf" Type="http://schemas.openxmlformats.org/officeDocument/2006/relationships/hyperlink" Id="rId93"/>
    <Relationship TargetMode="External" Target="https://www.legis.iowa.gov/docs/ico/chapter/572.8.pdf" Type="http://schemas.openxmlformats.org/officeDocument/2006/relationships/hyperlink" Id="rId94"/>
    <Relationship TargetMode="External" Target="https://www.legis.iowa.gov/docs/ico/chapter/572.8.pdf" Type="http://schemas.openxmlformats.org/officeDocument/2006/relationships/hyperlink" Id="rId95"/>
    <Relationship TargetMode="External" Target="https://www.legis.iowa.gov/docs/ico/chapter/572.15.pdf" Type="http://schemas.openxmlformats.org/officeDocument/2006/relationships/hyperlink" Id="rId96"/>
    <Relationship TargetMode="External" Target="https://www.legis.iowa.gov/docs/ico/chapter/572.30.pdf" Type="http://schemas.openxmlformats.org/officeDocument/2006/relationships/hyperlink" Id="rId97"/>
    <Relationship TargetMode="External" Target="https://www.legis.iowa.gov/docs/iac/rule/721.45.8.pdf" Type="http://schemas.openxmlformats.org/officeDocument/2006/relationships/hyperlink" Id="rId98"/>
    <Relationship TargetMode="External" Target="https://www.legis.iowa.gov/docs/ico/chapter/572.23.pdf" Type="http://schemas.openxmlformats.org/officeDocument/2006/relationships/hyperlink" Id="rId99"/>
    <Relationship TargetMode="External" Target="https://www.legis.iowa.gov/docs/ico/chapter/572.28.pdf" Type="http://schemas.openxmlformats.org/officeDocument/2006/relationships/hyperlink" Id="rId100"/>
    <Relationship TargetMode="External" Target="https://www.legis.iowa.gov/docs/ico/chapter/572.pdf" Type="http://schemas.openxmlformats.org/officeDocument/2006/relationships/hyperlink" Id="rId10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