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DIVISION III</w:t>
      </w:r>
    </w:p>
    <w:p>
      <w:pPr>
        <w:pBdr>
          <w:bottom w:space="3"/>
        </w:pBdr>
        <w:spacing w:before="0" w:after="0"/>
        <w:ind w:left="120"/>
        <w:jc w:val="center"/>
      </w:pPr>
      <w:r>
        <w:rPr>
          <w:rFonts w:ascii="Times New Roman" w:hAnsi="Times New Roman"/>
          <w:b w:val="false"/>
          <w:i w:val="false"/>
          <w:color w:val="000000"/>
          <w:sz w:val="16"/>
        </w:rPr>
        <w:t>UNIFORM COMMERCIAL CODE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UNIFORM COMMERCIAL CODE</w:t>
      </w:r>
    </w:p>
    <w:p>
      <w:pPr>
        <w:spacing w:before="0" w:after="0"/>
        <w:ind w:left="120"/>
        <w:jc w:val="center"/>
      </w:pPr>
      <w:r>
        <w:rPr>
          <w:rFonts w:ascii="Times New Roman" w:hAnsi="Times New Roman"/>
          <w:b w:val="false"/>
          <w:i w:val="false"/>
          <w:color w:val="000000"/>
          <w:sz w:val="14"/>
        </w:rPr>
        <w:t>[Prior to 7/13/88, see Secretary of State [750],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721—30.1</w:t>
      </w:r>
      <w:r>
        <w:rPr>
          <w:rFonts w:ascii="Times New Roman" w:hAnsi="Times New Roman"/>
          <w:b/>
          <w:i w:val="false"/>
          <w:color w:val="000000"/>
          <w:sz w:val="22"/>
        </w:rPr>
        <w:t xml:space="preserve">(554)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w:t>
      </w:r>
      <w:r>
        <w:rPr>
          <w:rFonts w:ascii="Times New Roman" w:hAnsi="Times New Roman"/>
          <w:b w:val="false"/>
          <w:i w:val="false"/>
          <w:color w:val="000000"/>
          <w:sz w:val="22"/>
        </w:rPr>
        <w:t> </w:t>
      </w:r>
      <w:r>
        <w:rPr>
          <w:rFonts w:ascii="Times New Roman" w:hAnsi="Times New Roman"/>
          <w:b w:val="false"/>
          <w:i/>
          <w:color w:val="000000"/>
          <w:sz w:val="22"/>
        </w:rPr>
        <w:t xml:space="preserve">Policy statement. </w:t>
      </w:r>
      <w:r>
        <w:rPr>
          <w:rFonts w:ascii="Times New Roman" w:hAnsi="Times New Roman"/>
          <w:b w:val="false"/>
          <w:i w:val="false"/>
          <w:color w:val="000000"/>
          <w:sz w:val="22"/>
        </w:rPr>
        <w:t>The duties and responsibilities of the filing officer with respect to the administration of the UCC are ministerial. In accepting for filing or refusing to file a UCC document pursuant to these rules, the filing officer does none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the legal sufficiency or insufficiency of a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that a security interest in collateral exists or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that information in the document is correct or incorrect,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Create a presumption that information in the document is correct or incorrect,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shall have the respective meanings provided in this rule. Terms not defined in this rule which are defined in the UCC shall have the respective meanings accorded such terms in the UCC.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w:t>
      </w:r>
      <w:r>
        <w:rPr>
          <w:rFonts w:ascii="Times New Roman" w:hAnsi="Times New Roman"/>
          <w:b w:val="false"/>
          <w:i w:val="false"/>
          <w:color w:val="000000"/>
          <w:sz w:val="22"/>
        </w:rPr>
        <w:t>means a UCC record has not reached the one-year anniversary of its lapse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means a UCC document that purports to amend the information contained in a financing statement. Amendments include assignments, continuations and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means an amendment that purports to reflect an assignment of all or a part of a secured party’s power to authorize an amendment to a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“Continuation” </w:t>
      </w:r>
      <w:r>
        <w:rPr>
          <w:rFonts w:ascii="Times New Roman" w:hAnsi="Times New Roman"/>
          <w:b w:val="false"/>
          <w:i w:val="false"/>
          <w:color w:val="000000"/>
          <w:sz w:val="22"/>
        </w:rPr>
        <w:t>means an amendment that purports to continue the effectiveness of a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“Correction statement” </w:t>
      </w:r>
      <w:r>
        <w:rPr>
          <w:rFonts w:ascii="Times New Roman" w:hAnsi="Times New Roman"/>
          <w:b w:val="false"/>
          <w:i w:val="false"/>
          <w:color w:val="000000"/>
          <w:sz w:val="22"/>
        </w:rPr>
        <w:t>means a UCC document that purports to indicate that a financing statement is inaccurate or wrongfully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number” </w:t>
      </w:r>
      <w:r>
        <w:rPr>
          <w:rFonts w:ascii="Times New Roman" w:hAnsi="Times New Roman"/>
          <w:b w:val="false"/>
          <w:i w:val="false"/>
          <w:color w:val="000000"/>
          <w:sz w:val="22"/>
        </w:rPr>
        <w:t>means the unique identification number assigned to an initial financing statement by the filing officer for the purpose of identifying the financing statement and UCC documents relating to the financing statement in the filing officer’s information management system. The filing number bears no relation to the time of filing and is not an indicator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office” </w:t>
      </w:r>
      <w:r>
        <w:rPr>
          <w:rFonts w:ascii="Times New Roman" w:hAnsi="Times New Roman"/>
          <w:b w:val="false"/>
          <w:i w:val="false"/>
          <w:color w:val="000000"/>
          <w:sz w:val="22"/>
        </w:rPr>
        <w:t>and</w:t>
      </w:r>
      <w:r>
        <w:rPr>
          <w:rFonts w:ascii="Times New Roman" w:hAnsi="Times New Roman"/>
          <w:b w:val="false"/>
          <w:i/>
          <w:color w:val="000000"/>
          <w:sz w:val="22"/>
        </w:rPr>
        <w:t xml:space="preserve"> “filing officer” </w:t>
      </w:r>
      <w:r>
        <w:rPr>
          <w:rFonts w:ascii="Times New Roman" w:hAnsi="Times New Roman"/>
          <w:b w:val="false"/>
          <w:i w:val="false"/>
          <w:color w:val="000000"/>
          <w:sz w:val="22"/>
        </w:rPr>
        <w:t>mean the office of the secretary of state. The address of the office is Lucas State Office Building, First Floor, 321 East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“Financing statement” </w:t>
      </w:r>
      <w:r>
        <w:rPr>
          <w:rFonts w:ascii="Times New Roman" w:hAnsi="Times New Roman"/>
          <w:b w:val="false"/>
          <w:i w:val="false"/>
          <w:color w:val="000000"/>
          <w:sz w:val="22"/>
        </w:rPr>
        <w:t>means a record or records composed of an initial financing statement and any filed record(s) relating to the initial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w:t>
      </w:r>
      <w:r>
        <w:rPr>
          <w:rFonts w:ascii="Times New Roman" w:hAnsi="Times New Roman"/>
          <w:b w:val="false"/>
          <w:i w:val="false"/>
          <w:color w:val="000000"/>
          <w:sz w:val="22"/>
        </w:rPr>
        <w:t>means a UCC record has reached the first anniversary of its lapse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 human being, or a decedent in the case of a debtor that is such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financing statement” </w:t>
      </w:r>
      <w:r>
        <w:rPr>
          <w:rFonts w:ascii="Times New Roman" w:hAnsi="Times New Roman"/>
          <w:b w:val="false"/>
          <w:i w:val="false"/>
          <w:color w:val="000000"/>
          <w:sz w:val="22"/>
        </w:rPr>
        <w:t xml:space="preserve">means a UCC document that does not identify itself as an amendment or identify an initial financing statement to which it relates, as required by Iowa Code sections </w:t>
      </w:r>
      <w:hyperlink r:id="rId5">
        <w:r>
          <w:rPr>
            <w:rStyle w:val="Hyperlink"/>
            <w:rFonts w:ascii="Times New Roman" w:hAnsi="Times New Roman"/>
            <w:b w:val="false"/>
            <w:i w:val="false"/>
            <w:color w:val="000000"/>
            <w:sz w:val="22"/>
          </w:rPr>
          <w:t>554.9512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554.9514</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554.9518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legal person who is not an individual as defined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“Remitter” </w:t>
      </w:r>
      <w:r>
        <w:rPr>
          <w:rFonts w:ascii="Times New Roman" w:hAnsi="Times New Roman"/>
          <w:b w:val="false"/>
          <w:i w:val="false"/>
          <w:color w:val="000000"/>
          <w:sz w:val="22"/>
        </w:rPr>
        <w:t>means a person who tenders a UCC document to the filing officer for filing, whether the person is a filer or an agent of a filer responsible for tendering the document for filing. “Remitter” does not include a person responsible merely for the delivery of the document to the filing office, such as the postal service or a courier service, but does include a service provider who acts as a filer’s representative in the filing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“Secured party of record” </w:t>
      </w:r>
      <w:r>
        <w:rPr>
          <w:rFonts w:ascii="Times New Roman" w:hAnsi="Times New Roman"/>
          <w:b w:val="false"/>
          <w:i w:val="false"/>
          <w:color w:val="000000"/>
          <w:sz w:val="22"/>
        </w:rPr>
        <w:t xml:space="preserve">means, with respect to a financing statement, a person whose name is provided as the name of a secured party or a representative of the secured party in an initial financing statement that has been filed. If an initial financing statement is filed under Iowa Code section </w:t>
      </w:r>
      <w:hyperlink r:id="rId8">
        <w:r>
          <w:rPr>
            <w:rStyle w:val="Hyperlink"/>
            <w:rFonts w:ascii="Times New Roman" w:hAnsi="Times New Roman"/>
            <w:b w:val="false"/>
            <w:i w:val="false"/>
            <w:color w:val="000000"/>
            <w:sz w:val="22"/>
          </w:rPr>
          <w:t>554.9514(1)</w:t>
        </w:r>
      </w:hyperlink>
      <w:r>
        <w:rPr>
          <w:rFonts w:ascii="Times New Roman" w:hAnsi="Times New Roman"/>
          <w:b w:val="false"/>
          <w:i w:val="false"/>
          <w:color w:val="000000"/>
          <w:sz w:val="22"/>
        </w:rPr>
        <w:t xml:space="preserve">, the assignee named in the initial financing statement is the secured party of record with respect to the financing statement. If an amendment of a financing statement which provides the name of a person as a secured party or a representative of a secured party is filed, the person named in the amendment is a secured party of record. If an amendment is filed under Iowa Code section </w:t>
      </w:r>
      <w:hyperlink r:id="rId9">
        <w:r>
          <w:rPr>
            <w:rStyle w:val="Hyperlink"/>
            <w:rFonts w:ascii="Times New Roman" w:hAnsi="Times New Roman"/>
            <w:b w:val="false"/>
            <w:i w:val="false"/>
            <w:color w:val="000000"/>
            <w:sz w:val="22"/>
          </w:rPr>
          <w:t>554.9514(2)</w:t>
        </w:r>
      </w:hyperlink>
      <w:r>
        <w:rPr>
          <w:rFonts w:ascii="Times New Roman" w:hAnsi="Times New Roman"/>
          <w:b w:val="false"/>
          <w:i w:val="false"/>
          <w:color w:val="000000"/>
          <w:sz w:val="22"/>
        </w:rPr>
        <w:t>, the assignee named in the amendment is a secured party of record. A person remains a secured party of record until the filing of an amendment of the financing statement which deletes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means an amendment intended to indicate that the related financing statement has ceased to be effective with respect to the secured party authorizing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“UCC” </w:t>
      </w:r>
      <w:r>
        <w:rPr>
          <w:rFonts w:ascii="Times New Roman" w:hAnsi="Times New Roman"/>
          <w:b w:val="false"/>
          <w:i w:val="false"/>
          <w:color w:val="000000"/>
          <w:sz w:val="22"/>
        </w:rPr>
        <w:t>means the Uniform Commercial Code as adopted in this state and in effect from time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“UCC document” </w:t>
      </w:r>
      <w:r>
        <w:rPr>
          <w:rFonts w:ascii="Times New Roman" w:hAnsi="Times New Roman"/>
          <w:b w:val="false"/>
          <w:i w:val="false"/>
          <w:color w:val="000000"/>
          <w:sz w:val="22"/>
        </w:rPr>
        <w:t>means an initial financing statement, an amendment, an assignment, a continuation, a termination or a correction statement. The word “document” in the term “UCC document” shall not be deemed to refer exclusively to paper or paper-based writings; it being understood that UCC documents may be expressed or transmitted electronically or through media other than such writings. (N</w:t>
      </w:r>
      <w:r>
        <w:rPr>
          <w:rFonts w:ascii="Times New Roman" w:hAnsi="Times New Roman"/>
          <w:b w:val="false"/>
          <w:i w:val="false"/>
          <w:color w:val="000000"/>
          <w:sz w:val="22"/>
        </w:rPr>
        <w:t>OTE</w:t>
      </w:r>
      <w:r>
        <w:rPr>
          <w:rFonts w:ascii="Times New Roman" w:hAnsi="Times New Roman"/>
          <w:b w:val="false"/>
          <w:i w:val="false"/>
          <w:color w:val="000000"/>
          <w:sz w:val="22"/>
        </w:rPr>
        <w:t xml:space="preserve">: This definition is used for the purpose of these rules only. The use of the term “UCC document” in these rules has no relation to the definition of the term “document” in Iowa Code section </w:t>
      </w:r>
      <w:hyperlink r:id="rId10">
        <w:r>
          <w:rPr>
            <w:rStyle w:val="Hyperlink"/>
            <w:rFonts w:ascii="Times New Roman" w:hAnsi="Times New Roman"/>
            <w:b w:val="false"/>
            <w:i w:val="false"/>
            <w:color w:val="000000"/>
            <w:sz w:val="22"/>
          </w:rPr>
          <w:t>554.9102(1)</w:t>
        </w:r>
      </w:hyperlink>
      <w:r>
        <w:rPr>
          <w:rFonts w:ascii="Times New Roman" w:hAnsi="Times New Roman"/>
          <w:b w:val="false"/>
          <w:i/>
          <w:color w:val="000000"/>
          <w:sz w:val="22"/>
        </w:rPr>
        <w:t>“af.”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30.1(3)</w:t>
      </w:r>
      <w:r>
        <w:rPr>
          <w:rFonts w:ascii="Times New Roman" w:hAnsi="Times New Roman"/>
          <w:b w:val="false"/>
          <w:i w:val="false"/>
          <w:color w:val="000000"/>
          <w:sz w:val="22"/>
        </w:rPr>
        <w:t> </w:t>
      </w:r>
      <w:r>
        <w:rPr>
          <w:rFonts w:ascii="Times New Roman" w:hAnsi="Times New Roman"/>
          <w:b w:val="false"/>
          <w:i/>
          <w:color w:val="000000"/>
          <w:sz w:val="22"/>
        </w:rPr>
        <w:t xml:space="preserve">Singular and plural forms. </w:t>
      </w:r>
      <w:r>
        <w:rPr>
          <w:rFonts w:ascii="Times New Roman" w:hAnsi="Times New Roman"/>
          <w:b w:val="false"/>
          <w:i w:val="false"/>
          <w:color w:val="000000"/>
          <w:sz w:val="22"/>
        </w:rPr>
        <w:t>Singular nouns shall include the plural form, and plural nouns shall include the singular form,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w:t>
      </w:r>
      <w:r>
        <w:rPr>
          <w:rFonts w:ascii="Times New Roman" w:hAnsi="Times New Roman"/>
          <w:b w:val="false"/>
          <w:i w:val="false"/>
          <w:color w:val="000000"/>
          <w:sz w:val="22"/>
        </w:rPr>
        <w:t> </w:t>
      </w:r>
      <w:r>
        <w:rPr>
          <w:rFonts w:ascii="Times New Roman" w:hAnsi="Times New Roman"/>
          <w:b w:val="false"/>
          <w:i/>
          <w:color w:val="000000"/>
          <w:sz w:val="22"/>
        </w:rPr>
        <w:t xml:space="preserve">Place to file. </w:t>
      </w:r>
      <w:r>
        <w:rPr>
          <w:rFonts w:ascii="Times New Roman" w:hAnsi="Times New Roman"/>
          <w:b w:val="false"/>
          <w:i w:val="false"/>
          <w:color w:val="000000"/>
          <w:sz w:val="22"/>
        </w:rPr>
        <w:t xml:space="preserve">The filing office is the office for filing UCC documents relating to all types of collateral except for timber to be cut, as-extracted collateral (Iowa Code section </w:t>
      </w:r>
      <w:hyperlink r:id="rId11">
        <w:r>
          <w:rPr>
            <w:rStyle w:val="Hyperlink"/>
            <w:rFonts w:ascii="Times New Roman" w:hAnsi="Times New Roman"/>
            <w:b w:val="false"/>
            <w:i w:val="false"/>
            <w:color w:val="000000"/>
            <w:sz w:val="22"/>
          </w:rPr>
          <w:t>554.9102(1)</w:t>
        </w:r>
      </w:hyperlink>
      <w:r>
        <w:rPr>
          <w:rFonts w:ascii="Times New Roman" w:hAnsi="Times New Roman"/>
          <w:b w:val="false"/>
          <w:i/>
          <w:color w:val="000000"/>
          <w:sz w:val="22"/>
        </w:rPr>
        <w:t>“f”</w:t>
      </w:r>
      <w:r>
        <w:rPr>
          <w:rFonts w:ascii="Times New Roman" w:hAnsi="Times New Roman"/>
          <w:b w:val="false"/>
          <w:i w:val="false"/>
          <w:color w:val="000000"/>
          <w:sz w:val="22"/>
        </w:rPr>
        <w:t>) and, when the relevant financing statement is filed as a fixture filing, goods which are or are to become fixtures. Regardless of the nature of the collateral, the filing office is the office for filing all UCC documents where the debtor is a transmitting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30.1(5)</w:t>
      </w:r>
      <w:r>
        <w:rPr>
          <w:rFonts w:ascii="Times New Roman" w:hAnsi="Times New Roman"/>
          <w:b w:val="false"/>
          <w:i w:val="false"/>
          <w:color w:val="000000"/>
          <w:sz w:val="22"/>
        </w:rPr>
        <w:t> </w:t>
      </w:r>
      <w:r>
        <w:rPr>
          <w:rFonts w:ascii="Times New Roman" w:hAnsi="Times New Roman"/>
          <w:b w:val="false"/>
          <w:i/>
          <w:color w:val="000000"/>
          <w:sz w:val="22"/>
        </w:rPr>
        <w:t xml:space="preserve">Filing office identification. </w:t>
      </w:r>
      <w:r>
        <w:rPr>
          <w:rFonts w:ascii="Times New Roman" w:hAnsi="Times New Roman"/>
          <w:b w:val="false"/>
          <w:i w:val="false"/>
          <w:color w:val="000000"/>
          <w:sz w:val="22"/>
        </w:rPr>
        <w:t>In addition to the promulgation of these rules, the filing office will disseminate information of its location, mailing address, telephone and fax numbers, and its Internet and other electronic “addresses” through usual and customary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 Online information service. </w:t>
      </w:r>
      <w:r>
        <w:rPr>
          <w:rFonts w:ascii="Times New Roman" w:hAnsi="Times New Roman"/>
          <w:b w:val="false"/>
          <w:i w:val="false"/>
          <w:color w:val="000000"/>
          <w:sz w:val="22"/>
        </w:rPr>
        <w:t xml:space="preserve">The filing officer offers online information services at </w:t>
      </w:r>
      <w:hyperlink r:id="rId12">
        <w:r>
          <w:rPr>
            <w:rStyle w:val="Hyperlink"/>
            <w:rFonts w:ascii="Times New Roman" w:hAnsi="Times New Roman"/>
            <w:b w:val="false"/>
            <w:i w:val="false"/>
            <w:color w:val="000000"/>
            <w:sz w:val="22"/>
            <w:u w:val="single"/>
          </w:rPr>
          <w:t>sos.iowa.gov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mail. </w:t>
      </w:r>
      <w:r>
        <w:rPr>
          <w:rFonts w:ascii="Times New Roman" w:hAnsi="Times New Roman"/>
          <w:b w:val="false"/>
          <w:i w:val="false"/>
          <w:color w:val="000000"/>
          <w:sz w:val="22"/>
        </w:rPr>
        <w:t>Electronic mail cannot be used for filing UCC documents or for requesting searches of the records of financing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30.1(6)</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Although the filing office maintains regular office hours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except holidays), it receives transmissions electronically and by telefacsimile 24 hours per day, 365 days per year, except for scheduled maintenance and unscheduled interruptions of service. Electronic communications may be retrieved and processed periodically (but no less often than once each day the filing office is open for business) on a batch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30.1(7)</w:t>
      </w:r>
      <w:r>
        <w:rPr>
          <w:rFonts w:ascii="Times New Roman" w:hAnsi="Times New Roman"/>
          <w:b w:val="false"/>
          <w:i w:val="false"/>
          <w:color w:val="000000"/>
          <w:sz w:val="22"/>
        </w:rPr>
        <w:t> </w:t>
      </w:r>
      <w:r>
        <w:rPr>
          <w:rFonts w:ascii="Times New Roman" w:hAnsi="Times New Roman"/>
          <w:b w:val="false"/>
          <w:i/>
          <w:color w:val="000000"/>
          <w:sz w:val="22"/>
        </w:rPr>
        <w:t xml:space="preserve">UCC document delivery. </w:t>
      </w:r>
      <w:r>
        <w:rPr>
          <w:rFonts w:ascii="Times New Roman" w:hAnsi="Times New Roman"/>
          <w:b w:val="false"/>
          <w:i w:val="false"/>
          <w:color w:val="000000"/>
          <w:sz w:val="22"/>
        </w:rPr>
        <w:t>UCC documents may be tendered for filing at the filing office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delivery at the filing office’s street address. </w:t>
      </w:r>
      <w:r>
        <w:rPr>
          <w:rFonts w:ascii="Times New Roman" w:hAnsi="Times New Roman"/>
          <w:b w:val="false"/>
          <w:i w:val="false"/>
          <w:color w:val="000000"/>
          <w:sz w:val="22"/>
        </w:rPr>
        <w:t>The file time for a UCC document delivered by this method is when delivery of the UCC document is accepted by the filing office (even though the UCC document may not yet have been accepted for filing and subsequently may be rejected).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Courier delivery at the filing office’s street address. </w:t>
      </w:r>
      <w:r>
        <w:rPr>
          <w:rFonts w:ascii="Times New Roman" w:hAnsi="Times New Roman"/>
          <w:b w:val="false"/>
          <w:i w:val="false"/>
          <w:color w:val="000000"/>
          <w:sz w:val="22"/>
        </w:rPr>
        <w:t>The file time for a UCC document delivered by this method is, notwithstanding the time of delivery, the next close of business following the time of delivery (even though the UCC document may not yet have been accepted for filing and may be subsequently rejected). A UCC document delivered after regular business hours or on a day the filing office is not open for business will have a filing time of the close of business on the next day the filing office is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Postal service delivery to the filing office’s mailing address. </w:t>
      </w:r>
      <w:r>
        <w:rPr>
          <w:rFonts w:ascii="Times New Roman" w:hAnsi="Times New Roman"/>
          <w:b w:val="false"/>
          <w:i w:val="false"/>
          <w:color w:val="000000"/>
          <w:sz w:val="22"/>
        </w:rPr>
        <w:t>The file time for a UCC document delivered by this method is the next close of business following the time of delivery (even though the UCC document may not yet have been accepted for filing and may be subsequently rejected). A UCC document delivered after regular business hours or on a day the filing office is not open for business will have a filing time of the close of business on the next day the filing office is open for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Telefacsimile delivery to the filing office’s fax filing telephone number. </w:t>
      </w:r>
      <w:r>
        <w:rPr>
          <w:rFonts w:ascii="Times New Roman" w:hAnsi="Times New Roman"/>
          <w:b w:val="false"/>
          <w:i w:val="false"/>
          <w:color w:val="000000"/>
          <w:sz w:val="22"/>
        </w:rPr>
        <w:t>The file time for a UCC document delivered by this method is, notwithstanding the time of delivery, the next close of business following the time of delivery (even though the UCC document may not yet have been accepted for filing and may be subsequently rejected). A UCC document delivered after regular business hours or on a day the filing office is not open for business will have a filing time of the close of business on the next day the filing office is open for business.</w:t>
      </w:r>
    </w:p>
    <w:p>
      <w:pPr>
        <w:spacing w:before="0" w:after="0"/>
        <w:ind w:left="120"/>
        <w:jc w:val="both"/>
      </w:pPr>
      <w:r>
        <w:rPr>
          <w:rFonts w:ascii="Times New Roman" w:hAnsi="Times New Roman"/>
          <w:b w:val="false"/>
          <w:i w:val="false"/>
          <w:color w:val="000000"/>
          <w:sz w:val="22"/>
        </w:rPr>
        <w:t xml:space="preserve">In order for delivery of UCC documents by telefacsimile to be accepted, remitter must have a preapproved charge account as provided in </w:t>
      </w:r>
      <w:hyperlink r:id="rId13">
        <w:r>
          <w:rPr>
            <w:rStyle w:val="Hyperlink"/>
            <w:rFonts w:ascii="Times New Roman" w:hAnsi="Times New Roman"/>
            <w:b w:val="false"/>
            <w:i w:val="false"/>
            <w:color w:val="000000"/>
            <w:sz w:val="22"/>
          </w:rPr>
          <w:t>30.1(11)</w:t>
        </w:r>
      </w:hyperlink>
      <w:r>
        <w:rPr>
          <w:rFonts w:ascii="Times New Roman" w:hAnsi="Times New Roman"/>
          <w:b w:val="false"/>
          <w:i/>
          <w:color w:val="000000"/>
          <w:sz w:val="22"/>
        </w:rPr>
        <w:t>“d”</w:t>
      </w:r>
      <w:r>
        <w:rPr>
          <w:rFonts w:ascii="Times New Roman" w:hAnsi="Times New Roman"/>
          <w:b w:val="false"/>
          <w:i w:val="false"/>
          <w:color w:val="000000"/>
          <w:sz w:val="22"/>
        </w:rPr>
        <w:t xml:space="preserve"> or an acceptable credit card as provided by </w:t>
      </w:r>
      <w:hyperlink r:id="rId14">
        <w:r>
          <w:rPr>
            <w:rStyle w:val="Hyperlink"/>
            <w:rFonts w:ascii="Times New Roman" w:hAnsi="Times New Roman"/>
            <w:b w:val="false"/>
            <w:i w:val="false"/>
            <w:color w:val="000000"/>
            <w:sz w:val="22"/>
          </w:rPr>
          <w:t>30.1(11)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 xml:space="preserve">UCC documents may be transmitted electronically using the XML standard approved by the International Association of Commercial Administrators as described in </w:t>
      </w:r>
      <w:hyperlink r:id="rId15">
        <w:r>
          <w:rPr>
            <w:rStyle w:val="Hyperlink"/>
            <w:rFonts w:ascii="Times New Roman" w:hAnsi="Times New Roman"/>
            <w:b w:val="false"/>
            <w:i w:val="false"/>
            <w:color w:val="000000"/>
            <w:sz w:val="22"/>
          </w:rPr>
          <w:t>30.3(3)</w:t>
        </w:r>
      </w:hyperlink>
      <w:r>
        <w:rPr>
          <w:rFonts w:ascii="Times New Roman" w:hAnsi="Times New Roman"/>
          <w:b w:val="false"/>
          <w:i w:val="false"/>
          <w:color w:val="000000"/>
          <w:sz w:val="22"/>
        </w:rPr>
        <w:t xml:space="preserve">. UCC documents may also be transmitted electronically through online entry as described in </w:t>
      </w:r>
      <w:hyperlink r:id="rId16">
        <w:r>
          <w:rPr>
            <w:rStyle w:val="Hyperlink"/>
            <w:rFonts w:ascii="Times New Roman" w:hAnsi="Times New Roman"/>
            <w:b w:val="false"/>
            <w:i w:val="false"/>
            <w:color w:val="000000"/>
            <w:sz w:val="22"/>
          </w:rPr>
          <w:t>30.3(4)</w:t>
        </w:r>
      </w:hyperlink>
      <w:r>
        <w:rPr>
          <w:rFonts w:ascii="Times New Roman" w:hAnsi="Times New Roman"/>
          <w:b w:val="false"/>
          <w:i w:val="false"/>
          <w:color w:val="000000"/>
          <w:sz w:val="22"/>
        </w:rPr>
        <w:t>. The file time for a UCC document delivered by this method is the time that the filing office’s UCC information management system analyzes the relevant transmission and determines that all the required elements of the transmission have been received in a required format and are machine-readable.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30.1(8)</w:t>
      </w:r>
      <w:r>
        <w:rPr>
          <w:rFonts w:ascii="Times New Roman" w:hAnsi="Times New Roman"/>
          <w:b w:val="false"/>
          <w:i w:val="false"/>
          <w:color w:val="000000"/>
          <w:sz w:val="22"/>
        </w:rPr>
        <w:t> </w:t>
      </w:r>
      <w:r>
        <w:rPr>
          <w:rFonts w:ascii="Times New Roman" w:hAnsi="Times New Roman"/>
          <w:b w:val="false"/>
          <w:i/>
          <w:color w:val="000000"/>
          <w:sz w:val="22"/>
        </w:rPr>
        <w:t xml:space="preserve">Search request delivery. </w:t>
      </w:r>
      <w:r>
        <w:rPr>
          <w:rFonts w:ascii="Times New Roman" w:hAnsi="Times New Roman"/>
          <w:b w:val="false"/>
          <w:i w:val="false"/>
          <w:color w:val="000000"/>
          <w:sz w:val="22"/>
        </w:rPr>
        <w:t xml:space="preserve">UCC search requests may be delivered to the filing office by any of the means by which UCC documents may be delivered to the filing office, except as provided in </w:t>
      </w:r>
      <w:hyperlink r:id="rId17">
        <w:r>
          <w:rPr>
            <w:rStyle w:val="Hyperlink"/>
            <w:rFonts w:ascii="Times New Roman" w:hAnsi="Times New Roman"/>
            <w:b w:val="false"/>
            <w:i w:val="false"/>
            <w:color w:val="000000"/>
            <w:sz w:val="22"/>
          </w:rPr>
          <w:t>30.1(7)</w:t>
        </w:r>
        <w:r>
          <w:rPr>
            <w:rFonts w:ascii="Times New Roman" w:hAnsi="Times New Roman"/>
            <w:b w:val="false"/>
            <w:i/>
            <w:color w:val="000000"/>
            <w:sz w:val="22"/>
          </w:rPr>
          <w:t>“e.”</w:t>
        </w:r>
      </w:hyperlink>
      <w:r>
        <w:rPr>
          <w:rFonts w:ascii="Times New Roman" w:hAnsi="Times New Roman"/>
          <w:b w:val="false"/>
          <w:i w:val="false"/>
          <w:color w:val="000000"/>
          <w:sz w:val="22"/>
        </w:rPr>
        <w:t xml:space="preserve"> Requirements concerning search requests are set forth in </w:t>
      </w:r>
      <w:hyperlink r:id="rId18">
        <w:r>
          <w:rPr>
            <w:rStyle w:val="Hyperlink"/>
            <w:rFonts w:ascii="Times New Roman" w:hAnsi="Times New Roman"/>
            <w:b w:val="false"/>
            <w:i w:val="false"/>
            <w:color w:val="000000"/>
            <w:sz w:val="22"/>
          </w:rPr>
          <w:t>30.5(2)</w:t>
        </w:r>
      </w:hyperlink>
      <w:r>
        <w:rPr>
          <w:rFonts w:ascii="Times New Roman" w:hAnsi="Times New Roman"/>
          <w:b w:val="false"/>
          <w:i w:val="false"/>
          <w:color w:val="000000"/>
          <w:sz w:val="22"/>
        </w:rPr>
        <w:t>. UCC search requests upon a debtor named on an initial financing statement may be made by an appropriate indication on the face of the initial financing statement form if the form is entitled to be filed with the standard form fee and the relevant search fee is also tendered with the initial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30.1(9)</w:t>
      </w:r>
      <w:r>
        <w:rPr>
          <w:rFonts w:ascii="Times New Roman" w:hAnsi="Times New Roman"/>
          <w:b w:val="false"/>
          <w:i w:val="false"/>
          <w:color w:val="000000"/>
          <w:sz w:val="22"/>
        </w:rPr>
        <w:t> </w:t>
      </w:r>
      <w:r>
        <w:rPr>
          <w:rFonts w:ascii="Times New Roman" w:hAnsi="Times New Roman"/>
          <w:b w:val="false"/>
          <w:i/>
          <w:color w:val="000000"/>
          <w:sz w:val="22"/>
        </w:rPr>
        <w:t xml:space="preserve">Approved forms. </w:t>
      </w:r>
      <w:r>
        <w:rPr>
          <w:rFonts w:ascii="Times New Roman" w:hAnsi="Times New Roman"/>
          <w:b w:val="false"/>
          <w:i w:val="false"/>
          <w:color w:val="000000"/>
          <w:sz w:val="22"/>
        </w:rPr>
        <w:t>Forms for UCC documents that conform to the requirements of this rule will be accepted by the filing office. Other forms will not be accepted by the filing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Approved forms. </w:t>
      </w:r>
      <w:r>
        <w:rPr>
          <w:rFonts w:ascii="Times New Roman" w:hAnsi="Times New Roman"/>
          <w:b w:val="false"/>
          <w:i w:val="false"/>
          <w:color w:val="000000"/>
          <w:sz w:val="22"/>
        </w:rPr>
        <w:t xml:space="preserve">Only those forms approved for the relevant UCC document by the International Association of Commercial Administrators (the UCC National Forms) will be acceptable. Copies of these forms are available on the secretary of state’s website at </w:t>
      </w:r>
      <w:hyperlink r:id="rId19">
        <w:r>
          <w:rPr>
            <w:rStyle w:val="Hyperlink"/>
            <w:rFonts w:ascii="Times New Roman" w:hAnsi="Times New Roman"/>
            <w:b w:val="false"/>
            <w:i w:val="false"/>
            <w:color w:val="000000"/>
            <w:sz w:val="22"/>
            <w:u w:val="single"/>
          </w:rPr>
          <w:t>www.sos.iowa.gov</w:t>
        </w:r>
      </w:hyperlink>
      <w:r>
        <w:rPr>
          <w:rFonts w:ascii="Times New Roman" w:hAnsi="Times New Roman"/>
          <w:b w:val="false"/>
          <w:i w:val="false"/>
          <w:color w:val="000000"/>
          <w:sz w:val="22"/>
        </w:rPr>
        <w:t xml:space="preserve"> or by request to the secretary of state’s office.</w:t>
      </w:r>
    </w:p>
    <w:p>
      <w:pPr>
        <w:spacing w:before="0" w:after="0"/>
        <w:ind w:left="120"/>
        <w:jc w:val="both"/>
      </w:pPr>
      <w:r>
        <w:rPr>
          <w:rFonts w:ascii="Times New Roman" w:hAnsi="Times New Roman"/>
          <w:b/>
          <w:i w:val="false"/>
          <w:color w:val="000000"/>
          <w:sz w:val="22"/>
        </w:rPr>
        <w:t>NOTE</w:t>
      </w:r>
      <w:r>
        <w:rPr>
          <w:rFonts w:ascii="Times New Roman" w:hAnsi="Times New Roman"/>
          <w:b/>
          <w:i w:val="false"/>
          <w:color w:val="000000"/>
          <w:sz w:val="22"/>
        </w:rPr>
        <w:t>: The debtor’s taxpayer identification number (TAX ID #), social security number (SSN), and employer identification number (EIN) are not required, and will be readily available to the public if entered on UCC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Form—UCC search. </w:t>
      </w:r>
      <w:r>
        <w:rPr>
          <w:rFonts w:ascii="Times New Roman" w:hAnsi="Times New Roman"/>
          <w:b w:val="false"/>
          <w:i w:val="false"/>
          <w:color w:val="000000"/>
          <w:sz w:val="22"/>
        </w:rPr>
        <w:t xml:space="preserve">The information request form approved by the International Association of Commercial Administrators will be acceptable. Other request forms will also be acceptable, provided they contain the information required by </w:t>
      </w:r>
      <w:hyperlink r:id="rId20">
        <w:r>
          <w:rPr>
            <w:rStyle w:val="Hyperlink"/>
            <w:rFonts w:ascii="Times New Roman" w:hAnsi="Times New Roman"/>
            <w:b w:val="false"/>
            <w:i w:val="false"/>
            <w:color w:val="000000"/>
            <w:sz w:val="22"/>
          </w:rPr>
          <w:t>30.5(2)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filings. </w:t>
      </w:r>
      <w:r>
        <w:rPr>
          <w:rFonts w:ascii="Times New Roman" w:hAnsi="Times New Roman"/>
          <w:b w:val="false"/>
          <w:i w:val="false"/>
          <w:color w:val="000000"/>
          <w:sz w:val="22"/>
        </w:rPr>
        <w:t xml:space="preserve">A UCC document transmitted electronically pursuant to the International Association of Commercial Administrators’ XML standard and the procedures set forth in </w:t>
      </w:r>
      <w:hyperlink r:id="rId21">
        <w:r>
          <w:rPr>
            <w:rStyle w:val="Hyperlink"/>
            <w:rFonts w:ascii="Times New Roman" w:hAnsi="Times New Roman"/>
            <w:b w:val="false"/>
            <w:i w:val="false"/>
            <w:color w:val="000000"/>
            <w:sz w:val="22"/>
          </w:rPr>
          <w:t>30.3(3)</w:t>
        </w:r>
      </w:hyperlink>
      <w:r>
        <w:rPr>
          <w:rFonts w:ascii="Times New Roman" w:hAnsi="Times New Roman"/>
          <w:b w:val="false"/>
          <w:i w:val="false"/>
          <w:color w:val="000000"/>
          <w:sz w:val="22"/>
        </w:rPr>
        <w:t xml:space="preserve"> or pursuant to online data entry procedures set forth in </w:t>
      </w:r>
      <w:hyperlink r:id="rId22">
        <w:r>
          <w:rPr>
            <w:rStyle w:val="Hyperlink"/>
            <w:rFonts w:ascii="Times New Roman" w:hAnsi="Times New Roman"/>
            <w:b w:val="false"/>
            <w:i w:val="false"/>
            <w:color w:val="000000"/>
            <w:sz w:val="22"/>
          </w:rPr>
          <w:t>30.3(4)</w:t>
        </w:r>
      </w:hyperlink>
      <w:r>
        <w:rPr>
          <w:rFonts w:ascii="Times New Roman" w:hAnsi="Times New Roman"/>
          <w:b w:val="false"/>
          <w:i w:val="false"/>
          <w:color w:val="000000"/>
          <w:sz w:val="22"/>
        </w:rPr>
        <w:t xml:space="preserve"> will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30.1(10)</w:t>
      </w:r>
      <w:r>
        <w:rPr>
          <w:rFonts w:ascii="Times New Roman" w:hAnsi="Times New Roman"/>
          <w:b w:val="false"/>
          <w:i w:val="false"/>
          <w:color w:val="000000"/>
          <w:sz w:val="22"/>
        </w:rPr>
        <w:t> </w:t>
      </w:r>
      <w:r>
        <w:rPr>
          <w:rFonts w:ascii="Times New Roman" w:hAnsi="Times New Roman"/>
          <w:b w:val="false"/>
          <w:i/>
          <w:color w:val="000000"/>
          <w:sz w:val="22"/>
        </w:rPr>
        <w:t xml:space="preserve">Filing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fee. </w:t>
      </w:r>
      <w:r>
        <w:rPr>
          <w:rFonts w:ascii="Times New Roman" w:hAnsi="Times New Roman"/>
          <w:b w:val="false"/>
          <w:i w:val="false"/>
          <w:color w:val="000000"/>
          <w:sz w:val="22"/>
        </w:rPr>
        <w:t xml:space="preserve">The fee for filing and indexing a UCC document of one or two pages communicated on paper or in a paper-based format (including faxes) is $10. If there are additional pages, the fee is $20. The fee for filing and indexing a UCC document communicated using a medium authorized by these rules that is other than on paper or in a paper-based format shall be $5.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UCC search fee. </w:t>
      </w:r>
      <w:r>
        <w:rPr>
          <w:rFonts w:ascii="Times New Roman" w:hAnsi="Times New Roman"/>
          <w:b w:val="false"/>
          <w:i w:val="false"/>
          <w:color w:val="000000"/>
          <w:sz w:val="22"/>
        </w:rPr>
        <w:t>The fee for a UCC search request is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UCC search—copies. </w:t>
      </w:r>
      <w:r>
        <w:rPr>
          <w:rFonts w:ascii="Times New Roman" w:hAnsi="Times New Roman"/>
          <w:b w:val="false"/>
          <w:i w:val="false"/>
          <w:color w:val="000000"/>
          <w:sz w:val="22"/>
        </w:rPr>
        <w:t>The fee for paper copies of UCC documents is $1 per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30.1(11)</w:t>
      </w:r>
      <w:r>
        <w:rPr>
          <w:rFonts w:ascii="Times New Roman" w:hAnsi="Times New Roman"/>
          <w:b w:val="false"/>
          <w:i w:val="false"/>
          <w:color w:val="000000"/>
          <w:sz w:val="22"/>
        </w:rPr>
        <w:t> </w:t>
      </w:r>
      <w:r>
        <w:rPr>
          <w:rFonts w:ascii="Times New Roman" w:hAnsi="Times New Roman"/>
          <w:b w:val="false"/>
          <w:i/>
          <w:color w:val="000000"/>
          <w:sz w:val="22"/>
        </w:rPr>
        <w:t xml:space="preserve">Methods of payment. </w:t>
      </w:r>
      <w:r>
        <w:rPr>
          <w:rFonts w:ascii="Times New Roman" w:hAnsi="Times New Roman"/>
          <w:b w:val="false"/>
          <w:i w:val="false"/>
          <w:color w:val="000000"/>
          <w:sz w:val="22"/>
        </w:rPr>
        <w:t>Filing fees and fees for public records services rendered by the secretary of state may be paid to the secretary of state by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Cash. </w:t>
      </w:r>
      <w:r>
        <w:rPr>
          <w:rFonts w:ascii="Times New Roman" w:hAnsi="Times New Roman"/>
          <w:b w:val="false"/>
          <w:i w:val="false"/>
          <w:color w:val="000000"/>
          <w:sz w:val="22"/>
        </w:rPr>
        <w:t>The filing officer discourages cash payment unless made in person to the cashier at the filing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Checks. </w:t>
      </w:r>
      <w:r>
        <w:rPr>
          <w:rFonts w:ascii="Times New Roman" w:hAnsi="Times New Roman"/>
          <w:b w:val="false"/>
          <w:i w:val="false"/>
          <w:color w:val="000000"/>
          <w:sz w:val="22"/>
        </w:rPr>
        <w:t>Checks made payable to the filing office, including checks in an amount to be filled in by a filing officer but not to exceed a particular amount, will be accepted for payment if they are cashier’s checks or certified checks drawn on a bank acceptable to the filing office or if the drawer is acceptable to the filing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Electronic funds transfer. </w:t>
      </w:r>
      <w:r>
        <w:rPr>
          <w:rFonts w:ascii="Times New Roman" w:hAnsi="Times New Roman"/>
          <w:b w:val="false"/>
          <w:i w:val="false"/>
          <w:color w:val="000000"/>
          <w:sz w:val="22"/>
        </w:rPr>
        <w:t>The filing office may accept payment via electronic funds transfer under National Automated Clearing House Association (NACHA) rules from remitters who have entered into appropriate NACHA-approved arrangements for such transfers and who authorize the relevant transfer pursuant to such arrangements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Accounts receivable. </w:t>
      </w:r>
      <w:r>
        <w:rPr>
          <w:rFonts w:ascii="Times New Roman" w:hAnsi="Times New Roman"/>
          <w:b w:val="false"/>
          <w:i w:val="false"/>
          <w:color w:val="000000"/>
          <w:sz w:val="22"/>
        </w:rPr>
        <w:t xml:space="preserve">Payment for services shall be in accordance with </w:t>
      </w:r>
      <w:hyperlink r:id="rId23">
        <w:r>
          <w:rPr>
            <w:rStyle w:val="Hyperlink"/>
            <w:rFonts w:ascii="Times New Roman" w:hAnsi="Times New Roman"/>
            <w:b w:val="false"/>
            <w:i w:val="false"/>
            <w:color w:val="000000"/>
            <w:sz w:val="22"/>
          </w:rPr>
          <w:t>721—2.3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Credit card. </w:t>
      </w:r>
      <w:r>
        <w:rPr>
          <w:rFonts w:ascii="Times New Roman" w:hAnsi="Times New Roman"/>
          <w:b w:val="false"/>
          <w:i w:val="false"/>
          <w:color w:val="000000"/>
          <w:sz w:val="22"/>
        </w:rPr>
        <w:t>The filing office may accept payments using credit cards issued by approved credit card issuers.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30.1(12)</w:t>
      </w:r>
      <w:r>
        <w:rPr>
          <w:rFonts w:ascii="Times New Roman" w:hAnsi="Times New Roman"/>
          <w:b w:val="false"/>
          <w:i w:val="false"/>
          <w:color w:val="000000"/>
          <w:sz w:val="22"/>
        </w:rPr>
        <w:t> </w:t>
      </w:r>
      <w:r>
        <w:rPr>
          <w:rFonts w:ascii="Times New Roman" w:hAnsi="Times New Roman"/>
          <w:b w:val="false"/>
          <w:i/>
          <w:color w:val="000000"/>
          <w:sz w:val="22"/>
        </w:rPr>
        <w:t xml:space="preserve">Overpayment and underpayment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The filing officer shall refund the amount of an overpayment exceeding $10 to the remitter. The filing officer shall refund an overpayment of $10 or less only upon the written request of the remitter.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Underpayment. </w:t>
      </w:r>
      <w:r>
        <w:rPr>
          <w:rFonts w:ascii="Times New Roman" w:hAnsi="Times New Roman"/>
          <w:b w:val="false"/>
          <w:i w:val="false"/>
          <w:color w:val="000000"/>
          <w:sz w:val="22"/>
        </w:rPr>
        <w:t xml:space="preserve">Upon receipt of a document with an insufficient fee, the filing officer shall return the document to the remitter as provided in </w:t>
      </w:r>
      <w:hyperlink r:id="rId24">
        <w:r>
          <w:rPr>
            <w:rStyle w:val="Hyperlink"/>
            <w:rFonts w:ascii="Times New Roman" w:hAnsi="Times New Roman"/>
            <w:b w:val="false"/>
            <w:i w:val="false"/>
            <w:color w:val="000000"/>
            <w:sz w:val="22"/>
          </w:rPr>
          <w:t>30.2(5)</w:t>
        </w:r>
      </w:hyperlink>
      <w:r>
        <w:rPr>
          <w:rFonts w:ascii="Times New Roman" w:hAnsi="Times New Roman"/>
          <w:b w:val="false"/>
          <w:i w:val="false"/>
          <w:color w:val="000000"/>
          <w:sz w:val="22"/>
        </w:rPr>
        <w:t>. A refund of a partial payment may be included with the document or delivered under separate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30.1(13)</w:t>
      </w:r>
      <w:r>
        <w:rPr>
          <w:rFonts w:ascii="Times New Roman" w:hAnsi="Times New Roman"/>
          <w:b w:val="false"/>
          <w:i w:val="false"/>
          <w:color w:val="000000"/>
          <w:sz w:val="22"/>
        </w:rPr>
        <w:t> </w:t>
      </w:r>
      <w:r>
        <w:rPr>
          <w:rFonts w:ascii="Times New Roman" w:hAnsi="Times New Roman"/>
          <w:b w:val="false"/>
          <w:i/>
          <w:color w:val="000000"/>
          <w:sz w:val="22"/>
        </w:rPr>
        <w:t xml:space="preserve">Public records services. </w:t>
      </w:r>
      <w:r>
        <w:rPr>
          <w:rFonts w:ascii="Times New Roman" w:hAnsi="Times New Roman"/>
          <w:b w:val="false"/>
          <w:i w:val="false"/>
          <w:color w:val="000000"/>
          <w:sz w:val="22"/>
        </w:rPr>
        <w:t>Public records services are provided on a nondiscriminatory basis to any member of the public on the terms described in these rules. The following methods are available for obtaining copies of UCC documents and copies of data from the UCC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Individually identified documents. </w:t>
      </w:r>
      <w:r>
        <w:rPr>
          <w:rFonts w:ascii="Times New Roman" w:hAnsi="Times New Roman"/>
          <w:b w:val="false"/>
          <w:i w:val="false"/>
          <w:color w:val="000000"/>
          <w:sz w:val="22"/>
        </w:rPr>
        <w:t>Copies of individually identified UCC documents are available in the following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PDF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Bulk copies of documents. </w:t>
      </w:r>
      <w:r>
        <w:rPr>
          <w:rFonts w:ascii="Times New Roman" w:hAnsi="Times New Roman"/>
          <w:b w:val="false"/>
          <w:i w:val="false"/>
          <w:color w:val="000000"/>
          <w:sz w:val="22"/>
        </w:rPr>
        <w:t>Bulk copies of UCC documents are available in PDF format via download from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Data from the information management system. </w:t>
      </w:r>
      <w:r>
        <w:rPr>
          <w:rFonts w:ascii="Times New Roman" w:hAnsi="Times New Roman"/>
          <w:b w:val="false"/>
          <w:i w:val="false"/>
          <w:color w:val="000000"/>
          <w:sz w:val="22"/>
        </w:rPr>
        <w:t>A list of available data elements from the UCC information management system and the file layout of the data elements are available from the filing officer upon request. Data from the information management system is available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extract. A bulk data extract of information from the UCC information management system is available on a weekly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Format. Extracts from the UCC information management system are available via downloads from the filing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Direct online services. </w:t>
      </w:r>
      <w:r>
        <w:rPr>
          <w:rFonts w:ascii="Times New Roman" w:hAnsi="Times New Roman"/>
          <w:b w:val="false"/>
          <w:i w:val="false"/>
          <w:color w:val="000000"/>
          <w:sz w:val="22"/>
        </w:rPr>
        <w:t>Online services make UCC data and images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30.1(14)</w:t>
      </w:r>
      <w:r>
        <w:rPr>
          <w:rFonts w:ascii="Times New Roman" w:hAnsi="Times New Roman"/>
          <w:b w:val="false"/>
          <w:i w:val="false"/>
          <w:color w:val="000000"/>
          <w:sz w:val="22"/>
        </w:rPr>
        <w:t> </w:t>
      </w:r>
      <w:r>
        <w:rPr>
          <w:rFonts w:ascii="Times New Roman" w:hAnsi="Times New Roman"/>
          <w:b w:val="false"/>
          <w:i/>
          <w:color w:val="000000"/>
          <w:sz w:val="22"/>
        </w:rPr>
        <w:t xml:space="preserve">Fees for public records services. </w:t>
      </w:r>
      <w:r>
        <w:rPr>
          <w:rFonts w:ascii="Times New Roman" w:hAnsi="Times New Roman"/>
          <w:b w:val="false"/>
          <w:i w:val="false"/>
          <w:color w:val="000000"/>
          <w:sz w:val="22"/>
        </w:rPr>
        <w:t>Fees for public records services are established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Paper copies of individual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Regular delivery method—$1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Fax delivery—$2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Bulk copies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Subscription basis—4 cents per page plus $25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image master file—4 cents per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Data from the information management system—full extract. </w:t>
      </w:r>
      <w:r>
        <w:rPr>
          <w:rFonts w:ascii="Times New Roman" w:hAnsi="Times New Roman"/>
          <w:b w:val="false"/>
          <w:i w:val="false"/>
          <w:color w:val="000000"/>
          <w:sz w:val="22"/>
        </w:rPr>
        <w:t>Download—$300.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30.1(15)</w:t>
      </w:r>
      <w:r>
        <w:rPr>
          <w:rFonts w:ascii="Times New Roman" w:hAnsi="Times New Roman"/>
          <w:b w:val="false"/>
          <w:i w:val="false"/>
          <w:color w:val="000000"/>
          <w:sz w:val="22"/>
        </w:rPr>
        <w:t> </w:t>
      </w:r>
      <w:r>
        <w:rPr>
          <w:rFonts w:ascii="Times New Roman" w:hAnsi="Times New Roman"/>
          <w:b w:val="false"/>
          <w:i/>
          <w:color w:val="000000"/>
          <w:sz w:val="22"/>
        </w:rPr>
        <w:t xml:space="preserve">New practices and technologies. </w:t>
      </w:r>
      <w:r>
        <w:rPr>
          <w:rFonts w:ascii="Times New Roman" w:hAnsi="Times New Roman"/>
          <w:b w:val="false"/>
          <w:i w:val="false"/>
          <w:color w:val="000000"/>
          <w:sz w:val="22"/>
        </w:rPr>
        <w:t>The filing officer is authorized to adopt practices and procedures to accomplish receipt, processing, maintenance, retrieval and transmission of, and remote access to, Article 9 filing data by means of electronic, voice, optical or other technologies and, without limiting the foregoing, to maintain and operate, in addition to or in lieu of a paper-based system, a non-paper-based Article 9 filing system utilizing any of such technologies.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3467C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6887C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721—30.2</w:t>
      </w:r>
      <w:r>
        <w:rPr>
          <w:rFonts w:ascii="Times New Roman" w:hAnsi="Times New Roman"/>
          <w:b/>
          <w:i w:val="false"/>
          <w:color w:val="000000"/>
          <w:sz w:val="22"/>
        </w:rPr>
        <w:t xml:space="preserve">(554) </w:t>
      </w:r>
      <w:r>
        <w:rPr>
          <w:rFonts w:ascii="Times New Roman" w:hAnsi="Times New Roman"/>
          <w:b/>
          <w:i w:val="false"/>
          <w:color w:val="000000"/>
          <w:sz w:val="22"/>
        </w:rPr>
        <w:t xml:space="preserve">Acceptance and refusal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30.2(1)</w:t>
      </w:r>
      <w:r>
        <w:rPr>
          <w:rFonts w:ascii="Times New Roman" w:hAnsi="Times New Roman"/>
          <w:b w:val="false"/>
          <w:i w:val="false"/>
          <w:color w:val="000000"/>
          <w:sz w:val="22"/>
        </w:rPr>
        <w:t> </w:t>
      </w:r>
      <w:r>
        <w:rPr>
          <w:rFonts w:ascii="Times New Roman" w:hAnsi="Times New Roman"/>
          <w:b w:val="false"/>
          <w:i/>
          <w:color w:val="000000"/>
          <w:sz w:val="22"/>
        </w:rPr>
        <w:t xml:space="preserve">Duty to file. </w:t>
      </w:r>
      <w:r>
        <w:rPr>
          <w:rFonts w:ascii="Times New Roman" w:hAnsi="Times New Roman"/>
          <w:b w:val="false"/>
          <w:i w:val="false"/>
          <w:color w:val="000000"/>
          <w:sz w:val="22"/>
        </w:rPr>
        <w:t xml:space="preserve">Provided that there is no ground to refuse acceptance of the document under </w:t>
      </w:r>
      <w:hyperlink r:id="rId25">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a UCC document is filed upon its receipt by the filing officer with the filing fee, and the filing officer shall promptly assign a file number to the UCC document and index it in the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30.2(2)</w:t>
      </w:r>
      <w:r>
        <w:rPr>
          <w:rFonts w:ascii="Times New Roman" w:hAnsi="Times New Roman"/>
          <w:b w:val="false"/>
          <w:i w:val="false"/>
          <w:color w:val="000000"/>
          <w:sz w:val="22"/>
        </w:rPr>
        <w:t> </w:t>
      </w:r>
      <w:r>
        <w:rPr>
          <w:rFonts w:ascii="Times New Roman" w:hAnsi="Times New Roman"/>
          <w:b w:val="false"/>
          <w:i/>
          <w:color w:val="000000"/>
          <w:sz w:val="22"/>
        </w:rPr>
        <w:t xml:space="preserve">Grounds for refusal of UCC document. </w:t>
      </w:r>
      <w:r>
        <w:rPr>
          <w:rFonts w:ascii="Times New Roman" w:hAnsi="Times New Roman"/>
          <w:b w:val="false"/>
          <w:i w:val="false"/>
          <w:color w:val="000000"/>
          <w:sz w:val="22"/>
        </w:rPr>
        <w:t>The following grounds are the sole grounds for the filing officer’s refusal to accept a UCC document for filing. As used herein, the term “legible” is not limited to refer only to written expressions on paper: it requires a machine-readable transmission for electronic transmissions and an otherwise readily decipherable transmission in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Debtor name and address. </w:t>
      </w:r>
      <w:r>
        <w:rPr>
          <w:rFonts w:ascii="Times New Roman" w:hAnsi="Times New Roman"/>
          <w:b w:val="false"/>
          <w:i w:val="false"/>
          <w:color w:val="000000"/>
          <w:sz w:val="22"/>
        </w:rPr>
        <w:t>An initial financing statement or an amendment that purports to add a debtor shall be refused if the document fails to include a legible debtor name and address for a debtor, in the case of an initial financing statement, or for the debtor purporting to be added in the case of such an amendment. If the document contains more than one debtor name or address and some names or addresses are missing or illegible, the filing officer shall index the legible name and address pairings, and provide a notice to the remitter containing the file number of the document, identification of the debtor name(s) that was (were) indexed, and a statement that debtors with illegible or missing names or addresses were not indexed.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debtor identification. </w:t>
      </w:r>
      <w:r>
        <w:rPr>
          <w:rFonts w:ascii="Times New Roman" w:hAnsi="Times New Roman"/>
          <w:b w:val="false"/>
          <w:i w:val="false"/>
          <w:color w:val="000000"/>
          <w:sz w:val="22"/>
        </w:rPr>
        <w:t>An initial financing statement or an amendment adding one or more debtors shall be refused if the document fails to identify whether each named debtor (or each added debtor in the case of such an amendment) is an individual or an organization, if the last name of each individual debtor is not identified, or if, for each debtor identified as an organization, the document does not include in legible form the organization’s type, state of organization and organization number (if it has one) or a statement that it does not have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Secured party name and address. </w:t>
      </w:r>
      <w:r>
        <w:rPr>
          <w:rFonts w:ascii="Times New Roman" w:hAnsi="Times New Roman"/>
          <w:b w:val="false"/>
          <w:i w:val="false"/>
          <w:color w:val="000000"/>
          <w:sz w:val="22"/>
        </w:rPr>
        <w:t>An initial financing statement, an amendment purporting to add a secured party of record, or an assignment shall be refused if the document fails to include a legible secured party (or assignee in the case of an assignment) name and address. If the document contains more than one secured party (or assignee) name or address, and some names or addresses are missing or illegible, the filing officer shall refuse the UCC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Lack of identification of initial financing statement. </w:t>
      </w:r>
      <w:r>
        <w:rPr>
          <w:rFonts w:ascii="Times New Roman" w:hAnsi="Times New Roman"/>
          <w:b w:val="false"/>
          <w:i w:val="false"/>
          <w:color w:val="000000"/>
          <w:sz w:val="22"/>
        </w:rPr>
        <w:t>A UCC document other than an initial financing statement shall be refused if the document does not provide a file number of a financing statement in the UCC information management system that has not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Identifying information. </w:t>
      </w:r>
      <w:r>
        <w:rPr>
          <w:rFonts w:ascii="Times New Roman" w:hAnsi="Times New Roman"/>
          <w:b w:val="false"/>
          <w:i w:val="false"/>
          <w:color w:val="000000"/>
          <w:sz w:val="22"/>
        </w:rPr>
        <w:t xml:space="preserve">A UCC document that does not identify itself as an amendment or identify an initial financing statement to which it relates, as required by Iowa Code sections </w:t>
      </w:r>
      <w:hyperlink r:id="rId26">
        <w:r>
          <w:rPr>
            <w:rStyle w:val="Hyperlink"/>
            <w:rFonts w:ascii="Times New Roman" w:hAnsi="Times New Roman"/>
            <w:b w:val="false"/>
            <w:i w:val="false"/>
            <w:color w:val="000000"/>
            <w:sz w:val="22"/>
          </w:rPr>
          <w:t>554.9512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554.9514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554.9518</w:t>
        </w:r>
      </w:hyperlink>
      <w:r>
        <w:rPr>
          <w:rFonts w:ascii="Times New Roman" w:hAnsi="Times New Roman"/>
          <w:b w:val="false"/>
          <w:i w:val="false"/>
          <w:color w:val="000000"/>
          <w:sz w:val="22"/>
        </w:rPr>
        <w:t>, is an initial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Timeliness of continuation. </w:t>
      </w:r>
      <w:r>
        <w:rPr>
          <w:rFonts w:ascii="Times New Roman" w:hAnsi="Times New Roman"/>
          <w:b w:val="false"/>
          <w:i w:val="false"/>
          <w:color w:val="000000"/>
          <w:sz w:val="22"/>
        </w:rPr>
        <w:t>A continuation shall be refused if it is not received during the six-month period concluding on the day upon which the related financing statement would lapse.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day permitted. The first day on which a continuation may be filed is the date of the month corresponding to the date upon which the financing statement would lapse, six months preceding the month in which the financing statement would lapse. If there is no such corresponding date during the sixth month preceding the month in which the financing statement would lapse, the first day on which a continuation may be filed is the last day of the sixth month preceding the month in which the financing statement would lapse, although filing by certain means may not be possible on such date if the filing office is not open on such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Last day permitted. The last day on which a continuation may be filed is the date upon which the financing statement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A document shall be refused if the document is accompanied by less than the full filing fee tendered by a method described in </w:t>
      </w:r>
      <w:hyperlink r:id="rId29">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Means of communication. </w:t>
      </w:r>
      <w:r>
        <w:rPr>
          <w:rFonts w:ascii="Times New Roman" w:hAnsi="Times New Roman"/>
          <w:b w:val="false"/>
          <w:i w:val="false"/>
          <w:color w:val="000000"/>
          <w:sz w:val="22"/>
        </w:rPr>
        <w:t>UCC documents communicated to the filing office by a means of communication not authorized by the filing officer for the communication of UCC documents shall be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XML refusal. </w:t>
      </w:r>
      <w:r>
        <w:rPr>
          <w:rFonts w:ascii="Times New Roman" w:hAnsi="Times New Roman"/>
          <w:b w:val="false"/>
          <w:i w:val="false"/>
          <w:color w:val="000000"/>
          <w:sz w:val="22"/>
        </w:rPr>
        <w:t xml:space="preserve">UCC documents communicated by XML may be refused as provided in </w:t>
      </w:r>
      <w:hyperlink r:id="rId30">
        <w:r>
          <w:rPr>
            <w:rStyle w:val="Hyperlink"/>
            <w:rFonts w:ascii="Times New Roman" w:hAnsi="Times New Roman"/>
            <w:b w:val="false"/>
            <w:i w:val="false"/>
            <w:color w:val="000000"/>
            <w:sz w:val="22"/>
          </w:rPr>
          <w:t>30.3(3)</w:t>
        </w:r>
      </w:hyperlink>
      <w:r>
        <w:rPr>
          <w:rFonts w:ascii="Times New Roman" w:hAnsi="Times New Roman"/>
          <w:b w:val="false"/>
          <w:i w:val="false"/>
          <w:color w:val="000000"/>
          <w:sz w:val="22"/>
        </w:rPr>
        <w:t xml:space="preserve"> for reasons not applicable to other communications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30.2(3)</w:t>
      </w:r>
      <w:r>
        <w:rPr>
          <w:rFonts w:ascii="Times New Roman" w:hAnsi="Times New Roman"/>
          <w:b w:val="false"/>
          <w:i w:val="false"/>
          <w:color w:val="000000"/>
          <w:sz w:val="22"/>
        </w:rPr>
        <w:t> </w:t>
      </w:r>
      <w:r>
        <w:rPr>
          <w:rFonts w:ascii="Times New Roman" w:hAnsi="Times New Roman"/>
          <w:b w:val="false"/>
          <w:i/>
          <w:color w:val="000000"/>
          <w:sz w:val="22"/>
        </w:rPr>
        <w:t xml:space="preserve">Grounds not warranting refusal. </w:t>
      </w:r>
      <w:r>
        <w:rPr>
          <w:rFonts w:ascii="Times New Roman" w:hAnsi="Times New Roman"/>
          <w:b w:val="false"/>
          <w:i w:val="false"/>
          <w:color w:val="000000"/>
          <w:sz w:val="22"/>
        </w:rPr>
        <w:t xml:space="preserve">The sole grounds for the filing officer’s refusal to accept a UCC document for filing are enumerated in </w:t>
      </w:r>
      <w:hyperlink r:id="rId31">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The following are examples of defects that do not constitute grounds for refusal to accept a document. They are not a comprehensive enumeration of defects outside the scope of permitted grounds for refusal to accept a UCC document for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Errors. </w:t>
      </w:r>
      <w:r>
        <w:rPr>
          <w:rFonts w:ascii="Times New Roman" w:hAnsi="Times New Roman"/>
          <w:b w:val="false"/>
          <w:i w:val="false"/>
          <w:color w:val="000000"/>
          <w:sz w:val="22"/>
        </w:rPr>
        <w:t>The UCC document contains or appears to contain a misspelling or other apparently erroneous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Incorrect names.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UCC document appears to identify a debtor incorrectly.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UCC document appears to identify a secured party or a secured party of record incorrectly.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Extraneous information. </w:t>
      </w:r>
      <w:r>
        <w:rPr>
          <w:rFonts w:ascii="Times New Roman" w:hAnsi="Times New Roman"/>
          <w:b w:val="false"/>
          <w:i w:val="false"/>
          <w:color w:val="000000"/>
          <w:sz w:val="22"/>
        </w:rPr>
        <w:t>The UCC document contains additional or extraneous information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Insufficient information. </w:t>
      </w:r>
      <w:r>
        <w:rPr>
          <w:rFonts w:ascii="Times New Roman" w:hAnsi="Times New Roman"/>
          <w:b w:val="false"/>
          <w:i w:val="false"/>
          <w:color w:val="000000"/>
          <w:sz w:val="22"/>
        </w:rPr>
        <w:t xml:space="preserve">The UCC document contains less than the information required by Article 9 of the UCC, provided that the document contains the information required in </w:t>
      </w:r>
      <w:hyperlink r:id="rId32">
        <w:r>
          <w:rPr>
            <w:rStyle w:val="Hyperlink"/>
            <w:rFonts w:ascii="Times New Roman" w:hAnsi="Times New Roman"/>
            <w:b w:val="false"/>
            <w:i w:val="false"/>
            <w:color w:val="000000"/>
            <w:sz w:val="22"/>
          </w:rPr>
          <w:t>30.2(2)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hyperlink r:id="rId33">
        <w:r>
          <w:rPr>
            <w:rStyle w:val="Hyperlink"/>
            <w:rFonts w:ascii="Times New Roman" w:hAnsi="Times New Roman"/>
            <w:b w:val="false"/>
            <w:i w:val="false"/>
            <w:color w:val="000000"/>
            <w:sz w:val="22"/>
          </w:rPr>
          <w:t>30.2(2)</w:t>
        </w:r>
      </w:hyperlink>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NOTE</w:t>
      </w:r>
      <w:r>
        <w:rPr>
          <w:rFonts w:ascii="Times New Roman" w:hAnsi="Times New Roman"/>
          <w:b/>
          <w:i w:val="false"/>
          <w:color w:val="000000"/>
          <w:sz w:val="22"/>
        </w:rPr>
        <w:t>: The debtor’s taxpayer identification number (TAX ID #), social security number (SSN), and employer identification number (EIN) are not required, and may be readily available to the public if entered on UCC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Collateral description. </w:t>
      </w:r>
      <w:r>
        <w:rPr>
          <w:rFonts w:ascii="Times New Roman" w:hAnsi="Times New Roman"/>
          <w:b w:val="false"/>
          <w:i w:val="false"/>
          <w:color w:val="000000"/>
          <w:sz w:val="22"/>
        </w:rPr>
        <w:t>The UCC document incorrectly identifies collateral, or contains an illegible or unintelligible description of collateral, or appears to contain no such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Excess fee. </w:t>
      </w:r>
      <w:r>
        <w:rPr>
          <w:rFonts w:ascii="Times New Roman" w:hAnsi="Times New Roman"/>
          <w:b w:val="false"/>
          <w:i w:val="false"/>
          <w:color w:val="000000"/>
          <w:sz w:val="22"/>
        </w:rPr>
        <w:t>The document is accompanied by funds in excess of the full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30.2(4)</w:t>
      </w:r>
      <w:r>
        <w:rPr>
          <w:rFonts w:ascii="Times New Roman" w:hAnsi="Times New Roman"/>
          <w:b w:val="false"/>
          <w:i w:val="false"/>
          <w:color w:val="000000"/>
          <w:sz w:val="22"/>
        </w:rPr>
        <w:t> </w:t>
      </w:r>
      <w:r>
        <w:rPr>
          <w:rFonts w:ascii="Times New Roman" w:hAnsi="Times New Roman"/>
          <w:b w:val="false"/>
          <w:i/>
          <w:color w:val="000000"/>
          <w:sz w:val="22"/>
        </w:rPr>
        <w:t xml:space="preserve">Time limit. </w:t>
      </w:r>
      <w:r>
        <w:rPr>
          <w:rFonts w:ascii="Times New Roman" w:hAnsi="Times New Roman"/>
          <w:b w:val="false"/>
          <w:i w:val="false"/>
          <w:color w:val="000000"/>
          <w:sz w:val="22"/>
        </w:rPr>
        <w:t>The filing officer shall determine whether criteria exist to refuse acceptance of a UCC document for filing not later than the second business day after the date the document would have been filed had it been accepted for filing and shall index a UCC document not so refused within the same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30.2(5)</w:t>
      </w:r>
      <w:r>
        <w:rPr>
          <w:rFonts w:ascii="Times New Roman" w:hAnsi="Times New Roman"/>
          <w:b w:val="false"/>
          <w:i w:val="false"/>
          <w:color w:val="000000"/>
          <w:sz w:val="22"/>
        </w:rPr>
        <w:t> </w:t>
      </w:r>
      <w:r>
        <w:rPr>
          <w:rFonts w:ascii="Times New Roman" w:hAnsi="Times New Roman"/>
          <w:b w:val="false"/>
          <w:i/>
          <w:color w:val="000000"/>
          <w:sz w:val="22"/>
        </w:rPr>
        <w:t xml:space="preserve">Procedure upon refusal. </w:t>
      </w:r>
      <w:r>
        <w:rPr>
          <w:rFonts w:ascii="Times New Roman" w:hAnsi="Times New Roman"/>
          <w:b w:val="false"/>
          <w:i w:val="false"/>
          <w:color w:val="000000"/>
          <w:sz w:val="22"/>
        </w:rPr>
        <w:t xml:space="preserve">If the filing officer finds grounds under </w:t>
      </w:r>
      <w:hyperlink r:id="rId34">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xml:space="preserve"> to refuse acceptance of a UCC document, the filing officer shall return the document, if written, to the remitter and will refund the filing fee. The filing office shall send a notice that contains the date and time the document would have been filed had it been accepted for filing (unless such date and time are stamped on the document) and a brief description of the reason for refusal to accept the document under </w:t>
      </w:r>
      <w:hyperlink r:id="rId35">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xml:space="preserve">. The notice shall be sent to a secured party or the remitter as provided in </w:t>
      </w:r>
      <w:hyperlink r:id="rId36">
        <w:r>
          <w:rPr>
            <w:rStyle w:val="Hyperlink"/>
            <w:rFonts w:ascii="Times New Roman" w:hAnsi="Times New Roman"/>
            <w:b w:val="false"/>
            <w:i w:val="false"/>
            <w:color w:val="000000"/>
            <w:sz w:val="22"/>
          </w:rPr>
          <w:t>30.4(2)</w:t>
        </w:r>
        <w:r>
          <w:rPr>
            <w:rFonts w:ascii="Times New Roman" w:hAnsi="Times New Roman"/>
            <w:b w:val="false"/>
            <w:i/>
            <w:color w:val="000000"/>
            <w:sz w:val="22"/>
          </w:rPr>
          <w:t>“e”</w:t>
        </w:r>
      </w:hyperlink>
      <w:r>
        <w:rPr>
          <w:rFonts w:ascii="Times New Roman" w:hAnsi="Times New Roman"/>
          <w:b w:val="false"/>
          <w:i w:val="false"/>
          <w:color w:val="000000"/>
          <w:sz w:val="22"/>
        </w:rPr>
        <w:t xml:space="preserve"> no later than the second business day after the filing office receives the document. The refund may be delivered with the notice or under separate cover.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30.2(6)</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request of a filer or remitter who submits a paper or paper-based UCC document, the filing officer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Send to said filer or remitter an image of the record of the UCC document showing the file number assigned to it and the date and time of filing;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filer or remitter provides a copy of such UCC document, note the file number and the date and time of filing on the copy and deliver or send it to said filer or remitter.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UCC documents not filed in paper or paper-based form, the filing officer shall communicate to the filer or remitter the information in the filed document, the file number and the date and time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30.2(7)</w:t>
      </w:r>
      <w:r>
        <w:rPr>
          <w:rFonts w:ascii="Times New Roman" w:hAnsi="Times New Roman"/>
          <w:b w:val="false"/>
          <w:i w:val="false"/>
          <w:color w:val="000000"/>
          <w:sz w:val="22"/>
        </w:rPr>
        <w:t> </w:t>
      </w:r>
      <w:r>
        <w:rPr>
          <w:rFonts w:ascii="Times New Roman" w:hAnsi="Times New Roman"/>
          <w:b w:val="false"/>
          <w:i/>
          <w:color w:val="000000"/>
          <w:sz w:val="22"/>
        </w:rPr>
        <w:t xml:space="preserve">Other notices. </w:t>
      </w:r>
      <w:r>
        <w:rPr>
          <w:rFonts w:ascii="Times New Roman" w:hAnsi="Times New Roman"/>
          <w:b w:val="false"/>
          <w:i w:val="false"/>
          <w:color w:val="000000"/>
          <w:sz w:val="22"/>
        </w:rPr>
        <w:t>Nothing in these rules prevents a filing officer from communicating to a filer or a remitter that the filing officer noticed apparent potential defects in a UCC document, whether or not it was filed or refused for filing. However, the filing office is under no obligation to do so and may not, in fact, have the resources to do so or to identify such defects. THE RESPONSIBILITY FOR THE LEGAL EFFECTIVENESS OF FILING RESTS WITH FILERS AND REMITTERS AND THE FILING OFFICE BEARS NO RESPONSIBILITY FOR SUCH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30.2(8)</w:t>
      </w:r>
      <w:r>
        <w:rPr>
          <w:rFonts w:ascii="Times New Roman" w:hAnsi="Times New Roman"/>
          <w:b w:val="false"/>
          <w:i w:val="false"/>
          <w:color w:val="000000"/>
          <w:sz w:val="22"/>
        </w:rPr>
        <w:t> </w:t>
      </w:r>
      <w:r>
        <w:rPr>
          <w:rFonts w:ascii="Times New Roman" w:hAnsi="Times New Roman"/>
          <w:b w:val="false"/>
          <w:i/>
          <w:color w:val="000000"/>
          <w:sz w:val="22"/>
        </w:rPr>
        <w:t xml:space="preserve">Refusal errors. </w:t>
      </w:r>
      <w:r>
        <w:rPr>
          <w:rFonts w:ascii="Times New Roman" w:hAnsi="Times New Roman"/>
          <w:b w:val="false"/>
          <w:i w:val="false"/>
          <w:color w:val="000000"/>
          <w:sz w:val="22"/>
        </w:rPr>
        <w:t xml:space="preserve">If a secured party or a remitter demonstrates to the satisfaction of the filing officer that a UCC document that was refused for filing should not have been refused under </w:t>
      </w:r>
      <w:hyperlink r:id="rId37">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the filing officer will file the UCC document as provided in these rules with a filing date and time assigned when such filing would have occurred had it not been wrongfully rejected. The filing officer will also file a statement (and such demonstration of error shall constitute the secured party’s authorization to do so) that states that the effective date and time of filing is the date and time the UCC document was originally tendered for filing, and that sets forth such date and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721—30.3</w:t>
      </w:r>
      <w:r>
        <w:rPr>
          <w:rFonts w:ascii="Times New Roman" w:hAnsi="Times New Roman"/>
          <w:b/>
          <w:i w:val="false"/>
          <w:color w:val="000000"/>
          <w:sz w:val="22"/>
        </w:rPr>
        <w:t xml:space="preserve">(554) </w:t>
      </w:r>
      <w:r>
        <w:rPr>
          <w:rFonts w:ascii="Times New Roman" w:hAnsi="Times New Roman"/>
          <w:b/>
          <w:i w:val="false"/>
          <w:color w:val="000000"/>
          <w:sz w:val="22"/>
        </w:rPr>
        <w:t xml:space="preserve">UCC information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30.3(1)</w:t>
      </w:r>
      <w:r>
        <w:rPr>
          <w:rFonts w:ascii="Times New Roman" w:hAnsi="Times New Roman"/>
          <w:b w:val="false"/>
          <w:i w:val="false"/>
          <w:color w:val="000000"/>
          <w:sz w:val="22"/>
        </w:rPr>
        <w:t> </w:t>
      </w:r>
      <w:r>
        <w:rPr>
          <w:rFonts w:ascii="Times New Roman" w:hAnsi="Times New Roman"/>
          <w:b w:val="false"/>
          <w:i/>
          <w:color w:val="000000"/>
          <w:sz w:val="22"/>
        </w:rPr>
        <w:t xml:space="preserve">Policy statement. </w:t>
      </w:r>
      <w:r>
        <w:rPr>
          <w:rFonts w:ascii="Times New Roman" w:hAnsi="Times New Roman"/>
          <w:b w:val="false"/>
          <w:i w:val="false"/>
          <w:color w:val="000000"/>
          <w:sz w:val="22"/>
        </w:rPr>
        <w:t>The filing officer uses an information management system to store, index, and retrieve information relating to financing statements. The information management system includes an index of the names of debtors named on financing statements which are active. This rule describes the UCC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30.3(2)</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provisions—UCC information management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Primary data elements. </w:t>
      </w:r>
      <w:r>
        <w:rPr>
          <w:rFonts w:ascii="Times New Roman" w:hAnsi="Times New Roman"/>
          <w:b w:val="false"/>
          <w:i w:val="false"/>
          <w:color w:val="000000"/>
          <w:sz w:val="22"/>
        </w:rPr>
        <w:t>The primary data elements used in the UCC information management system are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numbers.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Each initial financing statement is identified by its file number as defined in </w:t>
      </w:r>
      <w:hyperlink r:id="rId38">
        <w:r>
          <w:rPr>
            <w:rStyle w:val="Hyperlink"/>
            <w:rFonts w:ascii="Times New Roman" w:hAnsi="Times New Roman"/>
            <w:b w:val="false"/>
            <w:i w:val="false"/>
            <w:color w:val="000000"/>
            <w:sz w:val="22"/>
          </w:rPr>
          <w:t>30.1(2)</w:t>
        </w:r>
      </w:hyperlink>
      <w:r>
        <w:rPr>
          <w:rFonts w:ascii="Times New Roman" w:hAnsi="Times New Roman"/>
          <w:b w:val="false"/>
          <w:i w:val="false"/>
          <w:color w:val="000000"/>
          <w:sz w:val="22"/>
        </w:rPr>
        <w:t>. Identification of the initial financing statement is stamped on written UCC documents or otherwise permanently associated with the record maintained for UCC documents in the UCC information management system. A record is created in the information management system for each initial financing statement and all information comprising such record is maintained in such system. Such record is identified by the same information assigned to the initial financing statement.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UCC document other than an initial financing statement is identified by a unique file number assigned by the filing officer. In the information management system, records of all UCC documents other than initial financing statements are linked to the record of their related initial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document. The type of UCC document from which data is transferred is identified in the information management system from information supplied by the remitter.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Filing date and filing time. The filing date and filing time of UCC documents are stored in the information management system. Calculation of the lapse date of an initial financing statement is based upon the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parties. The names and addresses of debtors and secured parties are transferred from UCC documents to the UCC information management system using one or more data entry or transmittal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Status of financing statement. In the information management system, each financing statement has a status of active or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Page count. The total number of pages in a UCC document is maintained in the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Lapse indicator. An indicator is maintained by which the information management system identifies whether a financing statement will lapse and, if it does, when it will lapse. The lapse date is determined as provided in </w:t>
      </w:r>
      <w:hyperlink r:id="rId39">
        <w:r>
          <w:rPr>
            <w:rStyle w:val="Hyperlink"/>
            <w:rFonts w:ascii="Times New Roman" w:hAnsi="Times New Roman"/>
            <w:b w:val="false"/>
            <w:i w:val="false"/>
            <w:color w:val="000000"/>
            <w:sz w:val="22"/>
          </w:rPr>
          <w:t>30.4(5)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Names of debtors who are individuals. </w:t>
      </w:r>
      <w:r>
        <w:rPr>
          <w:rFonts w:ascii="Times New Roman" w:hAnsi="Times New Roman"/>
          <w:b w:val="false"/>
          <w:i w:val="false"/>
          <w:color w:val="000000"/>
          <w:sz w:val="22"/>
        </w:rPr>
        <w:t>For the purpose of this paragraph, “individual” means a human being, or a decedent in the case of a debtor that is such decedent’s estate. This rule applies to the name of a debtor or a secured party on a UCC document who is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name fields. The names of individuals are stored in files that include only the names of individuals, and not the names of organizations. Separate data entry fields are established for first (given), middle (given), and last names (surnames or family names) of individuals. A filer should place the name of a debtor with a single name (e.g., “Cher”) in the last name field. The filing officer assumes no responsibility for the accurate designation of the components of a name but will accurately enter the data in accordance with the filer’s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Titles and prefixes before names. Titles and prefixes, such as “doctor,” “reverend,” “Mr.,” and “Ms.,” should not be entered in the UCC information management system. However, as provided in </w:t>
      </w:r>
      <w:hyperlink r:id="rId40">
        <w:r>
          <w:rPr>
            <w:rStyle w:val="Hyperlink"/>
            <w:rFonts w:ascii="Times New Roman" w:hAnsi="Times New Roman"/>
            <w:b w:val="false"/>
            <w:i w:val="false"/>
            <w:color w:val="000000"/>
            <w:sz w:val="22"/>
          </w:rPr>
          <w:t>30.4(8)</w:t>
        </w:r>
      </w:hyperlink>
      <w:r>
        <w:rPr>
          <w:rFonts w:ascii="Times New Roman" w:hAnsi="Times New Roman"/>
          <w:b w:val="false"/>
          <w:i w:val="false"/>
          <w:color w:val="000000"/>
          <w:sz w:val="22"/>
        </w:rPr>
        <w:t>, when a UCC document is submitted with designated name fields, the data will be entered in the UCC information management system exactly as it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Titles and suffixes after names. Titles or indications of status such as “M.D.” and “esquire” are not part of an individual’s name and should not be provided by filers in UCC documents. Suffixes that indicate which individual is being named, such as “senior,” “junior,” “I,” “II,” and “III,” are appropriate. In either case, as provided in </w:t>
      </w:r>
      <w:hyperlink r:id="rId41">
        <w:r>
          <w:rPr>
            <w:rStyle w:val="Hyperlink"/>
            <w:rFonts w:ascii="Times New Roman" w:hAnsi="Times New Roman"/>
            <w:b w:val="false"/>
            <w:i w:val="false"/>
            <w:color w:val="000000"/>
            <w:sz w:val="22"/>
          </w:rPr>
          <w:t>30.4(8)</w:t>
        </w:r>
      </w:hyperlink>
      <w:r>
        <w:rPr>
          <w:rFonts w:ascii="Times New Roman" w:hAnsi="Times New Roman"/>
          <w:b w:val="false"/>
          <w:i w:val="false"/>
          <w:color w:val="000000"/>
          <w:sz w:val="22"/>
        </w:rPr>
        <w:t>, the suffixes will be entered into the information management system exactly 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Truncation—individual names. Personal name fields in the UCC database are fixed in length. Although filers should continue to provide full names on their UCC documents, a name that exceeds the fixed length is entered as presented to the filing officer, up to the maximum length of the data entry field. The lengths of data entry name fields, except for online filing (</w:t>
      </w:r>
      <w:hyperlink r:id="rId42">
        <w:r>
          <w:rPr>
            <w:rStyle w:val="Hyperlink"/>
            <w:rFonts w:ascii="Times New Roman" w:hAnsi="Times New Roman"/>
            <w:b w:val="false"/>
            <w:i w:val="false"/>
            <w:color w:val="000000"/>
            <w:sz w:val="22"/>
          </w:rPr>
          <w:t>30.3(4)</w:t>
        </w:r>
        <w:r>
          <w:rPr>
            <w:rFonts w:ascii="Times New Roman" w:hAnsi="Times New Roman"/>
            <w:b w:val="false"/>
            <w:i/>
            <w:color w:val="000000"/>
            <w:sz w:val="22"/>
          </w:rPr>
          <w:t>“b”</w:t>
        </w:r>
      </w:hyperlink>
      <w:r>
        <w:rPr>
          <w:rFonts w:ascii="Times New Roman" w:hAnsi="Times New Roman"/>
          <w:b w:val="false"/>
          <w:i w:val="false"/>
          <w:color w:val="000000"/>
          <w:sz w:val="22"/>
        </w:rPr>
        <w:t>),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First name: 50 characters.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Middle name: 50 characters.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Last name: 50 characters.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Suffix: 15 characters.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Names of debtors that are organizations. </w:t>
      </w:r>
      <w:r>
        <w:rPr>
          <w:rFonts w:ascii="Times New Roman" w:hAnsi="Times New Roman"/>
          <w:b w:val="false"/>
          <w:i w:val="false"/>
          <w:color w:val="000000"/>
          <w:sz w:val="22"/>
        </w:rPr>
        <w:t>This rule applies to the name of an organization that is a debtor or a secured party on a UCC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field. The names of organizations are stored in files that include only the names of organizations and not the names of individuals. A single field is used to store an organization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Truncation—organization names. The organization name field in the UCC database is fixed in length. The maximum length is 100 characters. Although filers should continue to provide full names on their UCC documents, a name that exceeds the fixed length is entered as presented to the filing officer, up to the maximum length of the data entry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Estates. </w:t>
      </w:r>
      <w:r>
        <w:rPr>
          <w:rFonts w:ascii="Times New Roman" w:hAnsi="Times New Roman"/>
          <w:b w:val="false"/>
          <w:i w:val="false"/>
          <w:color w:val="000000"/>
          <w:sz w:val="22"/>
        </w:rPr>
        <w:t xml:space="preserve">Although they are not human beings, estates are treated as if the decedent were the debtor under </w:t>
      </w:r>
      <w:hyperlink r:id="rId43">
        <w:r>
          <w:rPr>
            <w:rStyle w:val="Hyperlink"/>
            <w:rFonts w:ascii="Times New Roman" w:hAnsi="Times New Roman"/>
            <w:b w:val="false"/>
            <w:i w:val="false"/>
            <w:color w:val="000000"/>
            <w:sz w:val="22"/>
          </w:rPr>
          <w:t>30.3(2)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Trusts. </w:t>
      </w:r>
      <w:r>
        <w:rPr>
          <w:rFonts w:ascii="Times New Roman" w:hAnsi="Times New Roman"/>
          <w:b w:val="false"/>
          <w:i w:val="false"/>
          <w:color w:val="000000"/>
          <w:sz w:val="22"/>
        </w:rPr>
        <w:t xml:space="preserve">If the trust is named in its organic document(s), its full legal name, as set forth in such document(s), is used. Such trusts are treated as organizations. If the trust is not so named, the name of the settlor is used. If a settlor is indicated to be an organization, the name is treated as an organization name. If the settlor is an individual, the name is treated as an individual name. A UCC document that uses a settlor’s name should include other information provided by the filer to distinguish the debtor trust from other trusts having the same settlor, and all financing statements filed against trusts or trustees acting with respect to property held in trust should indicate the nature of the debtor. If other information is included in, or as part of, the name of the debtor, the information will be entered as if it were a part of the name under </w:t>
      </w:r>
      <w:hyperlink r:id="rId44">
        <w:r>
          <w:rPr>
            <w:rStyle w:val="Hyperlink"/>
            <w:rFonts w:ascii="Times New Roman" w:hAnsi="Times New Roman"/>
            <w:b w:val="false"/>
            <w:i w:val="false"/>
            <w:color w:val="000000"/>
            <w:sz w:val="22"/>
          </w:rPr>
          <w:t>30.4(8)</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30.4(9)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Initial financing statement. </w:t>
      </w:r>
      <w:r>
        <w:rPr>
          <w:rFonts w:ascii="Times New Roman" w:hAnsi="Times New Roman"/>
          <w:b w:val="false"/>
          <w:i w:val="false"/>
          <w:color w:val="000000"/>
          <w:sz w:val="22"/>
        </w:rPr>
        <w:t>Upon the filing of an initial financing statement, the status of the parties and the status of the financing statement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Status of secured party. Each secured party named on an initial financing statement shall be a secured party of record, except that if the UCC document names an assignee, the secured party/assignor shall not be a secured party of record and the secured party/assignee shall be a secured party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debtor. The status of a debtor named on the document shall be active and shall continue as active until one year after the financing statement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Status of financing statement. The status of the financing statement shall be active. A lapse date shall be calculated five years from the file date, unless the initial financing statement indicates that it is filed with respect to a public-financing transaction or a manufactured-home transaction, in which case the lapse date shall be 30 years from the file date, or if the initial financing statement indicates that it is filed against a transmitting utility, in which case there shall be no lapse date. A financing statement remains active until one year after it lapses, or if it is indicated to be filed against a transmitting utility, until one year after it is terminated with respect to all secured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Upon the filing of an amendment, the status of the parties and the status of the financing statement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Status of secured party and debtor. An amendment shall affect the status of its debtor(s) and secured party(ies)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Collateral amendment or address change. An amendment that amends only the collateral description or one or more addresses has no effect upon the status of any debtor or secured party. If a statement of amendment is authorized by less than all of the secured parties (or, in the case of an amendment that adds collateral, less than all of the debtors), the statement affects only the interests of each authorizing secured party (or debtor).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Debtor name change. An amendment that changes a debtor’s name has no effect on the status of any debtor or secured party, except that the related initial financing statement and all UCC documents that include an identification of such initial financing statement shall be cross-indexed in the UCC information management system so that a search under either the debtor’s old name or the debtor’s new name will reveal such initial financing statement and such related UCC documents. Such a statement of amendment affects only the rights of its authorizing secured party(ies).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Secured party name change. An amendment that changes the name of a secured party has no effect on the status of any debtor or any secured party, but the new name is added to the index as if it were a new secured party of record.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Addition of a debtor. An amendment that adds a new debtor name has no effect upon the status of any party to the financing statement, except that the new debtor name shall be added as a new debtor on the financing statement. The addition shall affect only the rights of the secured party(ies) authorizing the statement of amendment.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Addition of a secured party. An amendment that adds a new secured party shall not affect the status of any party to the financing statement, except that the new secured party name shall be added as a new secured party on the financing statement.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Deletion of a debtor. An amendment that deletes a debtor has no effect on the status of any party to the financing statement, even if the amendment purports to delete all debtors.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Deletion of a secured party. An amendment that deletes a secured party of record has no effect on the status of any party to the financing statement, even if the amendment purports to delete all secured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financing statement. An amendment shall have no effect upon the status of the financing statement, except that a continuation may extend the period of effectiveness of a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Assignment of powers of secured party of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Status of the parties. An assignment shall have no effect on the status of the parties to the financing statement, except that each assignee named in the assignment shall become a secured party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financing statement. An assignment shall have no effect upon the status of the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Continuation.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Continuation of lapse date. Upon the timely filing of one or more continuations by any secured party(ies) of record, the lapse date of the financing statement shall be postponed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parties. The filing of a continuation shall have no effect upon the status of any party to the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Status of financing statement. Upon the filing of a continuation statement, the status of the financing statement remains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Status of parties. The filing of a termination shall have no effect upon the status of any party to the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financing statement. A termination shall have no effect upon the status of the financing statement and the financing statement shall remain active in the information management system until one year after it lapses, unless the termination relates to a financing statement that indicates it is filed against a transmitting utility, in which case the financing statement will become inactive one year after it is terminated with respect to all secured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Correction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Status of parties. The filing of a correction statement shall have no effect upon the status of any party to the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financing statement. A correction statement shall have no effect upon the status of the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Procedure upon lapse. </w:t>
      </w:r>
      <w:r>
        <w:rPr>
          <w:rFonts w:ascii="Times New Roman" w:hAnsi="Times New Roman"/>
          <w:b w:val="false"/>
          <w:i w:val="false"/>
          <w:color w:val="000000"/>
          <w:sz w:val="22"/>
        </w:rPr>
        <w:t>If there is no timely filing of a continuation with respect to a financing statement, the financing statement lapses on its lapse date, but no action is then taken by the filing office. On the first anniversary of such lapse date, the information management system renders or is caused to render the financing statement inactive and the financing statement will no longer be made available to a searcher unless inactive statements are requested by the searcher and the financing statement is still retrievable by the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30.3(3)</w:t>
      </w:r>
      <w:r>
        <w:rPr>
          <w:rFonts w:ascii="Times New Roman" w:hAnsi="Times New Roman"/>
          <w:b w:val="false"/>
          <w:i w:val="false"/>
          <w:color w:val="000000"/>
          <w:sz w:val="22"/>
        </w:rPr>
        <w:t> </w:t>
      </w:r>
      <w:r>
        <w:rPr>
          <w:rFonts w:ascii="Times New Roman" w:hAnsi="Times New Roman"/>
          <w:b w:val="false"/>
          <w:i/>
          <w:color w:val="000000"/>
          <w:sz w:val="22"/>
        </w:rPr>
        <w:t xml:space="preserve">XML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rules relating to the electronic transmission of UCC documents, the following terms shall have the meaning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“XML” </w:t>
      </w:r>
      <w:r>
        <w:rPr>
          <w:rFonts w:ascii="Times New Roman" w:hAnsi="Times New Roman"/>
          <w:b w:val="false"/>
          <w:i w:val="false"/>
          <w:color w:val="000000"/>
          <w:sz w:val="22"/>
        </w:rPr>
        <w:t>means extensible markup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“XML document” </w:t>
      </w:r>
      <w:r>
        <w:rPr>
          <w:rFonts w:ascii="Times New Roman" w:hAnsi="Times New Roman"/>
          <w:b w:val="false"/>
          <w:i w:val="false"/>
          <w:color w:val="000000"/>
          <w:sz w:val="22"/>
        </w:rPr>
        <w:t>means a UCC document transmitted from a remitter to the filing officer by XML techniques authorized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XML authorized. </w:t>
      </w:r>
      <w:r>
        <w:rPr>
          <w:rFonts w:ascii="Times New Roman" w:hAnsi="Times New Roman"/>
          <w:b w:val="false"/>
          <w:i w:val="false"/>
          <w:color w:val="000000"/>
          <w:sz w:val="22"/>
        </w:rPr>
        <w:t>A remitter may be authorized for XML transmission upon the written authorization of the filing officer. A request to be authorized to transmit XML documents shall be in writing and delivered to the filing officer. Upon receipt of a request for authorization, the filing officer shall provide the remitter with necessary information on the requirements for XML transmission, including format, address for transmission, and other necessary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filing officer shall authorize a remitter to engage in XML transmissions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remitter holds an account for the billing of fees by the filing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remitter has entered into an agreement, in form and substance satisfactory to the filing officer, with the filing office,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filing officer determines, after appropriate testing of transmissions in accordance with the filing officer’s specifications, that the remitter is capable of transmitting XML documents in a manner that permits the filing officer to receive, index, and retrieve the XML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filing officer may suspend or revoke the authorization when, in the filing officer’s sole discretion, it is determined that a remitter’s transmissions are incompatible with the filing officer’s XML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IACA standard adopted. </w:t>
      </w:r>
      <w:r>
        <w:rPr>
          <w:rFonts w:ascii="Times New Roman" w:hAnsi="Times New Roman"/>
          <w:b w:val="false"/>
          <w:i w:val="false"/>
          <w:color w:val="000000"/>
          <w:sz w:val="22"/>
        </w:rPr>
        <w:t>The XML format for filing a UCC document, as adopted by the International Association of Commercial Administrators and in effect from time to time, is adopted in this state as a format for electronic transmission of UCC documents, although the filing officer shall, periodically and at the request of an authorized XML remitter, identify which versions and releases of the XML format are then in use by and acceptable to the filing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Implementation guide. </w:t>
      </w:r>
      <w:r>
        <w:rPr>
          <w:rFonts w:ascii="Times New Roman" w:hAnsi="Times New Roman"/>
          <w:b w:val="false"/>
          <w:i w:val="false"/>
          <w:color w:val="000000"/>
          <w:sz w:val="22"/>
        </w:rPr>
        <w:t xml:space="preserve">The filing office publishes an implementation guide that prescribes in further detail the use of the XML format in the UCC filing system. The guide is available upon request made in writing to the filing office at its mailing address set forth in </w:t>
      </w:r>
      <w:hyperlink r:id="rId46">
        <w:r>
          <w:rPr>
            <w:rStyle w:val="Hyperlink"/>
            <w:rFonts w:ascii="Times New Roman" w:hAnsi="Times New Roman"/>
            <w:b w:val="false"/>
            <w:i w:val="false"/>
            <w:color w:val="000000"/>
            <w:sz w:val="22"/>
          </w:rPr>
          <w:t>30.1(2)</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30.3(4)</w:t>
      </w:r>
      <w:r>
        <w:rPr>
          <w:rFonts w:ascii="Times New Roman" w:hAnsi="Times New Roman"/>
          <w:b w:val="false"/>
          <w:i w:val="false"/>
          <w:color w:val="000000"/>
          <w:sz w:val="22"/>
        </w:rPr>
        <w:t> </w:t>
      </w:r>
      <w:r>
        <w:rPr>
          <w:rFonts w:ascii="Times New Roman" w:hAnsi="Times New Roman"/>
          <w:b w:val="false"/>
          <w:i/>
          <w:color w:val="000000"/>
          <w:sz w:val="22"/>
        </w:rPr>
        <w:t xml:space="preserve">Direct online filing and search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 online filing and search services are available to any person with Internet access to the secretary of state website: </w:t>
      </w:r>
      <w:hyperlink r:id="rId47">
        <w:r>
          <w:rPr>
            <w:rStyle w:val="Hyperlink"/>
            <w:rFonts w:ascii="Times New Roman" w:hAnsi="Times New Roman"/>
            <w:b w:val="false"/>
            <w:i w:val="false"/>
            <w:color w:val="000000"/>
            <w:sz w:val="22"/>
            <w:u w:val="single"/>
          </w:rPr>
          <w:t>sos.iowa.gov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filing procedures. Initial financing statements and amendments may be filed via the secretary of state website, which allows for entry of information required on the approved UCC forms specified in </w:t>
      </w:r>
      <w:hyperlink r:id="rId48">
        <w:r>
          <w:rPr>
            <w:rStyle w:val="Hyperlink"/>
            <w:rFonts w:ascii="Times New Roman" w:hAnsi="Times New Roman"/>
            <w:b w:val="false"/>
            <w:i w:val="false"/>
            <w:color w:val="000000"/>
            <w:sz w:val="22"/>
          </w:rPr>
          <w:t>30.1(9)</w:t>
        </w:r>
      </w:hyperlink>
      <w:r>
        <w:rPr>
          <w:rFonts w:ascii="Times New Roman" w:hAnsi="Times New Roman"/>
          <w:b w:val="false"/>
          <w:i w:val="false"/>
          <w:color w:val="000000"/>
          <w:sz w:val="22"/>
        </w:rPr>
        <w:t xml:space="preserve">. The online filing procedure does not allow for the maximum length of characters as defined in </w:t>
      </w:r>
      <w:hyperlink r:id="rId49">
        <w:r>
          <w:rPr>
            <w:rStyle w:val="Hyperlink"/>
            <w:rFonts w:ascii="Times New Roman" w:hAnsi="Times New Roman"/>
            <w:b w:val="false"/>
            <w:i w:val="false"/>
            <w:color w:val="000000"/>
            <w:sz w:val="22"/>
          </w:rPr>
          <w:t>30.3(2)</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Therefore, online filing should be used only if the filer is able to key all information without truncation. A record which is created by the filer in this manner is subject to all of the provisions of the UCC, as if it were a paper document submitted to the filing office. However, attachments may not be submitted. Filing instructions are provided on the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Search request procedures. A certified search naming a particular debtor may be obtained via the secretary of state website: </w:t>
      </w:r>
      <w:hyperlink r:id="rId50">
        <w:r>
          <w:rPr>
            <w:rStyle w:val="Hyperlink"/>
            <w:rFonts w:ascii="Times New Roman" w:hAnsi="Times New Roman"/>
            <w:b w:val="false"/>
            <w:i w:val="false"/>
            <w:color w:val="000000"/>
            <w:sz w:val="22"/>
            <w:u w:val="single"/>
          </w:rPr>
          <w:t>sos.iowa.gov</w:t>
        </w:r>
      </w:hyperlink>
      <w:r>
        <w:rPr>
          <w:rFonts w:ascii="Times New Roman" w:hAnsi="Times New Roman"/>
          <w:b w:val="false"/>
          <w:i w:val="false"/>
          <w:color w:val="000000"/>
          <w:sz w:val="22"/>
        </w:rPr>
        <w:t>. A request that is created by the filer in this manner is subject to all of the provisions of the UCC as if it were a paper search request submitted to the filing office. Images of individual financing statements may be obtained online. Instructions are provided on the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721—30.4</w:t>
      </w:r>
      <w:r>
        <w:rPr>
          <w:rFonts w:ascii="Times New Roman" w:hAnsi="Times New Roman"/>
          <w:b/>
          <w:i w:val="false"/>
          <w:color w:val="000000"/>
          <w:sz w:val="22"/>
        </w:rPr>
        <w:t xml:space="preserve">(554) </w:t>
      </w:r>
      <w:r>
        <w:rPr>
          <w:rFonts w:ascii="Times New Roman" w:hAnsi="Times New Roman"/>
          <w:b/>
          <w:i w:val="false"/>
          <w:color w:val="000000"/>
          <w:sz w:val="22"/>
        </w:rPr>
        <w:t xml:space="preserve">Filing and data entry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Policy statement. </w:t>
      </w:r>
      <w:r>
        <w:rPr>
          <w:rFonts w:ascii="Times New Roman" w:hAnsi="Times New Roman"/>
          <w:b w:val="false"/>
          <w:i w:val="false"/>
          <w:color w:val="000000"/>
          <w:sz w:val="22"/>
        </w:rPr>
        <w:t>This rule describes the filing procedures of the filing officer upon and after receipt of a UCC document. Except as provided in these rules, data are transferred from a UCC document to the information management system exactly as the data are set forth in the document. Personnel who create reports in response to search requests type search criteria exactly as set forth on the search request. No effort is made to detect or correct errors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Document indexing and other procedures before archiving.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Date and time stamp. </w:t>
      </w:r>
      <w:r>
        <w:rPr>
          <w:rFonts w:ascii="Times New Roman" w:hAnsi="Times New Roman"/>
          <w:b w:val="false"/>
          <w:i w:val="false"/>
          <w:color w:val="000000"/>
          <w:sz w:val="22"/>
        </w:rPr>
        <w:t>The date and time of receipt are noted on the document or otherwise permanently associated with the record maintained for a UCC document in the UCC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Cash management. </w:t>
      </w:r>
      <w:r>
        <w:rPr>
          <w:rFonts w:ascii="Times New Roman" w:hAnsi="Times New Roman"/>
          <w:b w:val="false"/>
          <w:i w:val="false"/>
          <w:color w:val="000000"/>
          <w:sz w:val="22"/>
        </w:rPr>
        <w:t>Transactions necessary to payment of the filing fee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 review. </w:t>
      </w:r>
      <w:r>
        <w:rPr>
          <w:rFonts w:ascii="Times New Roman" w:hAnsi="Times New Roman"/>
          <w:b w:val="false"/>
          <w:i w:val="false"/>
          <w:color w:val="000000"/>
          <w:sz w:val="22"/>
        </w:rPr>
        <w:t xml:space="preserve">The filing office determines whether a ground exists to refuse the document under </w:t>
      </w:r>
      <w:hyperlink r:id="rId51">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File stamp. </w:t>
      </w:r>
      <w:r>
        <w:rPr>
          <w:rFonts w:ascii="Times New Roman" w:hAnsi="Times New Roman"/>
          <w:b w:val="false"/>
          <w:i w:val="false"/>
          <w:color w:val="000000"/>
          <w:sz w:val="22"/>
        </w:rPr>
        <w:t>If there is no ground for refusal of the document, the document is stamped or deemed filed and a unique identification number and the filing date are stamped on the document or permanently associated with the record of the document maintained in the UCC information management system. The sequence of the identification number is not an indication of the order in which the document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Acknowledgment of filing. If there is no ground for refusal of the document, an acknowledgment of filing is prepared as provided in </w:t>
      </w:r>
      <w:hyperlink r:id="rId52">
        <w:r>
          <w:rPr>
            <w:rStyle w:val="Hyperlink"/>
            <w:rFonts w:ascii="Times New Roman" w:hAnsi="Times New Roman"/>
            <w:b w:val="false"/>
            <w:i w:val="false"/>
            <w:color w:val="000000"/>
            <w:sz w:val="22"/>
          </w:rPr>
          <w:t>30.2(6)</w:t>
        </w:r>
      </w:hyperlink>
      <w:r>
        <w:rPr>
          <w:rFonts w:ascii="Times New Roman" w:hAnsi="Times New Roman"/>
          <w:b w:val="false"/>
          <w:i w:val="false"/>
          <w:color w:val="000000"/>
          <w:sz w:val="22"/>
        </w:rPr>
        <w:t xml:space="preserve"> and communicated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UCC document tendered in person. Acknowledgment of filing is given to the remitter by personal delivery or sent by regular mail to the remitter or the secured party (or the first secured party if there is more than one) named on the UCC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UCC document tendered by courier or postal service delivery. Acknowledgment of filing is sent by regular mail to the remitter or to the secured party (or the first secured party if there is more than one).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UCC document tendered by telefacsimile delivery. Acknowledgment of filing is sent by regular mail (or, if requested, by telefacsimile) to the remitter or to the secured party (or the first secured party if there is more than one).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UCC document transmitted electronically using XML standard. Acknowledgment of filing is returned electronically.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UCC document transmitted by online entry. Acknowledgment of filing is returned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refusal. If there is a ground for refusal of the document, notification of refusal to accept the document is prepared as provided in </w:t>
      </w:r>
      <w:hyperlink r:id="rId53">
        <w:r>
          <w:rPr>
            <w:rStyle w:val="Hyperlink"/>
            <w:rFonts w:ascii="Times New Roman" w:hAnsi="Times New Roman"/>
            <w:b w:val="false"/>
            <w:i w:val="false"/>
            <w:color w:val="000000"/>
            <w:sz w:val="22"/>
          </w:rPr>
          <w:t>30.2(5)</w:t>
        </w:r>
      </w:hyperlink>
      <w:r>
        <w:rPr>
          <w:rFonts w:ascii="Times New Roman" w:hAnsi="Times New Roman"/>
          <w:b w:val="false"/>
          <w:i w:val="false"/>
          <w:color w:val="000000"/>
          <w:sz w:val="22"/>
        </w:rPr>
        <w:t xml:space="preserve"> and communicated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UCC document tendered in person. Notice of refusal is given to the remitter by personal delivery or sent by regular mail to the remitter or the secured party (or the first secured party if there is more than one) named on the UCC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UCC document tendered by courier or postal service delivery. Notice of refusal is sent by regular mail to the remitter or to the secured party (or the first secured party if there is more than one).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UCC document tendered by telefacsimile delivery. Notice of refusal is sent by regular mail (or, if requested, by telefacsimile) to the remitter or to the secured party (or the first secured party if there is more than one).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UCC document transmitted electronically using XML standard. Notice of refusal is returned electronically.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UCC document transmitted by online entry. Notice of refusal is returned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Data entry. </w:t>
      </w:r>
      <w:r>
        <w:rPr>
          <w:rFonts w:ascii="Times New Roman" w:hAnsi="Times New Roman"/>
          <w:b w:val="false"/>
          <w:i w:val="false"/>
          <w:color w:val="000000"/>
          <w:sz w:val="22"/>
        </w:rPr>
        <w:t>Data entry and indexing functions are performed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The filing date of a UCC document is the date the UCC document is received with the proper filing fee if the filing office is open to the public on that date or, if the filing office is not open on that date, the filing date is the next date the filing office is open, except that, in each case, UCC documents received after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shall be deemed received on the next date the filing office is open. The filing officer may perform any duty relating to the document on the filing date or on a date after the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color w:val="000000"/>
          <w:sz w:val="22"/>
        </w:rPr>
        <w:t xml:space="preserve">Filing time. </w:t>
      </w:r>
      <w:r>
        <w:rPr>
          <w:rFonts w:ascii="Times New Roman" w:hAnsi="Times New Roman"/>
          <w:b w:val="false"/>
          <w:i w:val="false"/>
          <w:color w:val="000000"/>
          <w:sz w:val="22"/>
        </w:rPr>
        <w:t xml:space="preserve">The filing time of a UCC document is determined as provided in </w:t>
      </w:r>
      <w:hyperlink r:id="rId54">
        <w:r>
          <w:rPr>
            <w:rStyle w:val="Hyperlink"/>
            <w:rFonts w:ascii="Times New Roman" w:hAnsi="Times New Roman"/>
            <w:b w:val="false"/>
            <w:i w:val="false"/>
            <w:color w:val="000000"/>
            <w:sz w:val="22"/>
          </w:rPr>
          <w:t>30.1(7)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color w:val="000000"/>
          <w:sz w:val="22"/>
        </w:rPr>
        <w:t xml:space="preserve">Lapse date and time. </w:t>
      </w:r>
      <w:r>
        <w:rPr>
          <w:rFonts w:ascii="Times New Roman" w:hAnsi="Times New Roman"/>
          <w:b w:val="false"/>
          <w:i w:val="false"/>
          <w:color w:val="000000"/>
          <w:sz w:val="22"/>
        </w:rPr>
        <w:t>A lapse date is calculated for each initial financing statement (unless the debtor is indicated to be a transmitting utility). The lapse date is the same date of the same month as the filing date in the fifth year after the filing date or relevant subsequent fifth anniversary thereof if a timely continuation statement is filed, but if the initial financing statement indicates that it is filed with respect to a public-finance transaction or a manufactured-home transaction, the lapse date is the same date of the same month as the filing date in the thirtieth year after the filing date. The lapse takes effect at midnight at the end of the lapse date. The relevant anniversary for a February 29 filing date shall be March 1 in the fifth year following the year of the filing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w:t>
      </w:r>
      <w:r>
        <w:rPr>
          <w:rFonts w:ascii="Times New Roman" w:hAnsi="Times New Roman"/>
          <w:b w:val="false"/>
          <w:i w:val="false"/>
          <w:color w:val="000000"/>
          <w:sz w:val="22"/>
        </w:rPr>
        <w:t> </w:t>
      </w:r>
      <w:r>
        <w:rPr>
          <w:rFonts w:ascii="Times New Roman" w:hAnsi="Times New Roman"/>
          <w:b w:val="false"/>
          <w:i/>
          <w:color w:val="000000"/>
          <w:sz w:val="22"/>
        </w:rPr>
        <w:t xml:space="preserve">Errors of the filing officer. </w:t>
      </w:r>
      <w:r>
        <w:rPr>
          <w:rFonts w:ascii="Times New Roman" w:hAnsi="Times New Roman"/>
          <w:b w:val="false"/>
          <w:i w:val="false"/>
          <w:color w:val="000000"/>
          <w:sz w:val="22"/>
        </w:rPr>
        <w:t>The filing office may correct the errors of filing officer personnel in the UCC information management system at any time. If the correction is made after the filing officer has issued a UCC search report with a certification date that includes the filing date of a corrected document, the filing officer shall place a record relating to the relevant initial financing statement in the UCC information management system stating the date of the correction and explaining the nature of the corrective action taken. The record shall be preserved for so long as the record of the initial financing statement is preserved in the UCC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w:t>
      </w:r>
      <w:r>
        <w:rPr>
          <w:rFonts w:ascii="Times New Roman" w:hAnsi="Times New Roman"/>
          <w:b w:val="false"/>
          <w:i w:val="false"/>
          <w:color w:val="000000"/>
          <w:sz w:val="22"/>
        </w:rPr>
        <w:t> </w:t>
      </w:r>
      <w:r>
        <w:rPr>
          <w:rFonts w:ascii="Times New Roman" w:hAnsi="Times New Roman"/>
          <w:b w:val="false"/>
          <w:i/>
          <w:color w:val="000000"/>
          <w:sz w:val="22"/>
        </w:rPr>
        <w:t xml:space="preserve">Errors other than filing office errors. </w:t>
      </w:r>
      <w:r>
        <w:rPr>
          <w:rFonts w:ascii="Times New Roman" w:hAnsi="Times New Roman"/>
          <w:b w:val="false"/>
          <w:i w:val="false"/>
          <w:color w:val="000000"/>
          <w:sz w:val="22"/>
        </w:rPr>
        <w:t>An error by a filer is the responsibility of such filer. It can be corrected by filing an amendment or it can be disclosed by a correction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30.4(8)</w:t>
      </w:r>
      <w:r>
        <w:rPr>
          <w:rFonts w:ascii="Times New Roman" w:hAnsi="Times New Roman"/>
          <w:b w:val="false"/>
          <w:i w:val="false"/>
          <w:color w:val="000000"/>
          <w:sz w:val="22"/>
        </w:rPr>
        <w:t> </w:t>
      </w:r>
      <w:r>
        <w:rPr>
          <w:rFonts w:ascii="Times New Roman" w:hAnsi="Times New Roman"/>
          <w:b w:val="false"/>
          <w:i/>
          <w:color w:val="000000"/>
          <w:sz w:val="22"/>
        </w:rPr>
        <w:t xml:space="preserve">Data entry of names—designated fields. </w:t>
      </w:r>
      <w:r>
        <w:rPr>
          <w:rFonts w:ascii="Times New Roman" w:hAnsi="Times New Roman"/>
          <w:b w:val="false"/>
          <w:i w:val="false"/>
          <w:color w:val="000000"/>
          <w:sz w:val="22"/>
        </w:rPr>
        <w:t>A filing should designate whether a name is that of an individual or an organization and, if an individual, also designate the first, middle and last names and any suffix. With regard to designated fields,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Organization names. </w:t>
      </w:r>
      <w:r>
        <w:rPr>
          <w:rFonts w:ascii="Times New Roman" w:hAnsi="Times New Roman"/>
          <w:b w:val="false"/>
          <w:i w:val="false"/>
          <w:color w:val="000000"/>
          <w:sz w:val="22"/>
        </w:rPr>
        <w:t>Organization names are entered into the UCC information management system exactly as set forth in the UCC document, even if it appears that multiple names are set forth in the document or if it appears that the name of an individual has been included in the field designated for an organization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names. </w:t>
      </w:r>
      <w:r>
        <w:rPr>
          <w:rFonts w:ascii="Times New Roman" w:hAnsi="Times New Roman"/>
          <w:b w:val="false"/>
          <w:i w:val="false"/>
          <w:color w:val="000000"/>
          <w:sz w:val="22"/>
        </w:rPr>
        <w:t>On the form that designates separate fields for first, middle, and last names and any suffix, the filing officer enters the names into the first, middle, and last name and suffix fields in the UCC information management system exactly as set forth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Designated fields required. </w:t>
      </w:r>
      <w:r>
        <w:rPr>
          <w:rFonts w:ascii="Times New Roman" w:hAnsi="Times New Roman"/>
          <w:b w:val="false"/>
          <w:i w:val="false"/>
          <w:color w:val="000000"/>
          <w:sz w:val="22"/>
        </w:rPr>
        <w:t xml:space="preserve">The filing office specifies in </w:t>
      </w:r>
      <w:hyperlink r:id="rId55">
        <w:r>
          <w:rPr>
            <w:rStyle w:val="Hyperlink"/>
            <w:rFonts w:ascii="Times New Roman" w:hAnsi="Times New Roman"/>
            <w:b w:val="false"/>
            <w:i w:val="false"/>
            <w:color w:val="000000"/>
            <w:sz w:val="22"/>
          </w:rPr>
          <w:t>30.1(9)</w:t>
        </w:r>
      </w:hyperlink>
      <w:r>
        <w:rPr>
          <w:rFonts w:ascii="Times New Roman" w:hAnsi="Times New Roman"/>
          <w:b w:val="false"/>
          <w:i w:val="false"/>
          <w:color w:val="000000"/>
          <w:sz w:val="22"/>
        </w:rPr>
        <w:t xml:space="preserve"> the use of forms that designate separate fields for individual and organization names and separate fields for first, middle, and last names and any suffix. Such forms diminish the possibility of filing office error and help ensure that filers’ expectations are met. However, filers should be aware that the inclusion of names in an incorrect field or failures to transmit names accurately to the filing office may cause filings to be ineffective. All documents submitted through direct data entry or through XML will be required to use designated name fields.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30.4(9)</w:t>
      </w:r>
      <w:r>
        <w:rPr>
          <w:rFonts w:ascii="Times New Roman" w:hAnsi="Times New Roman"/>
          <w:b w:val="false"/>
          <w:i w:val="false"/>
          <w:color w:val="000000"/>
          <w:sz w:val="22"/>
        </w:rPr>
        <w:t> </w:t>
      </w:r>
      <w:r>
        <w:rPr>
          <w:rFonts w:ascii="Times New Roman" w:hAnsi="Times New Roman"/>
          <w:b w:val="false"/>
          <w:i/>
          <w:color w:val="000000"/>
          <w:sz w:val="22"/>
        </w:rPr>
        <w:t xml:space="preserve">Data entry of names—no designated fields. </w:t>
      </w:r>
      <w:r>
        <w:rPr>
          <w:rFonts w:ascii="Times New Roman" w:hAnsi="Times New Roman"/>
          <w:b w:val="false"/>
          <w:i w:val="false"/>
          <w:color w:val="000000"/>
          <w:sz w:val="22"/>
        </w:rPr>
        <w:t>A UCC document that is an initial financing statement or an amendment that adds a debtor to a financing statement and that fails to specify whether the debtor is an individual or an organization will be refused by the filing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30.4(10)</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data entry. </w:t>
      </w:r>
      <w:r>
        <w:rPr>
          <w:rFonts w:ascii="Times New Roman" w:hAnsi="Times New Roman"/>
          <w:b w:val="false"/>
          <w:i w:val="false"/>
          <w:color w:val="000000"/>
          <w:sz w:val="22"/>
        </w:rPr>
        <w:t>The filing officer uses the following procedures to verify the accuracy of data entry tasks. Double key entry is employed for data entered in the following fields.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Time and date of filing.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Document identification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Document type.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Debtor name fields.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City address of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30.4(11)</w:t>
      </w:r>
      <w:r>
        <w:rPr>
          <w:rFonts w:ascii="Times New Roman" w:hAnsi="Times New Roman"/>
          <w:b w:val="false"/>
          <w:i w:val="false"/>
          <w:color w:val="000000"/>
          <w:sz w:val="22"/>
        </w:rPr>
        <w:t> </w:t>
      </w:r>
      <w:r>
        <w:rPr>
          <w:rFonts w:ascii="Times New Roman" w:hAnsi="Times New Roman"/>
          <w:b w:val="false"/>
          <w:i/>
          <w:color w:val="000000"/>
          <w:sz w:val="22"/>
        </w:rPr>
        <w:t xml:space="preserve">Initial financing statement. </w:t>
      </w:r>
      <w:r>
        <w:rPr>
          <w:rFonts w:ascii="Times New Roman" w:hAnsi="Times New Roman"/>
          <w:b w:val="false"/>
          <w:i w:val="false"/>
          <w:color w:val="000000"/>
          <w:sz w:val="22"/>
        </w:rPr>
        <w:t>A new record bearing the file number of the financing statement and the date and time of filing is opened in the UCC information management system for each initial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debtor that are legibly set forth in the financing statement are entered into the record of the financing statement. Each debtor name and city are included in the searchable index and not removed until one year after the financing statement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secured party that are legibly set forth in the financing statement are entered into the record of the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record is indexed according to the name of the debtor(s) and is maintained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lapse date is established for the financing statement and the lapse date is maintained as part of the record, unless the initial financing statement indicates that it is filed against a transmitting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30.4(12)</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 record is created for the amendment that bears the file number for the amendment and the date and time of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of the amendment is associated with the record of the related initial financing statement in a manner that causes the amendment to be retrievable each time a record of the financing statement is retrieved.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additional debtor and secured party are entered into the UCC information management system in the record of the financing statement. Each additional debtor name and city are added to the searchable index and not removed until one year after the financing statement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amendment is a continuation, a new lapse date is established for the financing statement and maintained as part of its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30.4(13)</w:t>
      </w:r>
      <w:r>
        <w:rPr>
          <w:rFonts w:ascii="Times New Roman" w:hAnsi="Times New Roman"/>
          <w:b w:val="false"/>
          <w:i w:val="false"/>
          <w:color w:val="000000"/>
          <w:sz w:val="22"/>
        </w:rPr>
        <w:t> </w:t>
      </w:r>
      <w:r>
        <w:rPr>
          <w:rFonts w:ascii="Times New Roman" w:hAnsi="Times New Roman"/>
          <w:b w:val="false"/>
          <w:i/>
          <w:color w:val="000000"/>
          <w:sz w:val="22"/>
        </w:rPr>
        <w:t xml:space="preserve">Correction statement. </w:t>
      </w:r>
      <w:r>
        <w:rPr>
          <w:rFonts w:ascii="Times New Roman" w:hAnsi="Times New Roman"/>
          <w:b w:val="false"/>
          <w:i w:val="false"/>
          <w:color w:val="000000"/>
          <w:sz w:val="22"/>
        </w:rPr>
        <w:t>A record is created for the correction statement that bears the file number for the correction statement and the date and time of filing. The record of the correction statement is associated with the record of the related initial financing statement in a manner that causes the correction statement to be retrievable each time a record of the financing statement is retrieved.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30.4(14)</w:t>
      </w:r>
      <w:r>
        <w:rPr>
          <w:rFonts w:ascii="Times New Roman" w:hAnsi="Times New Roman"/>
          <w:b w:val="false"/>
          <w:i w:val="false"/>
          <w:color w:val="000000"/>
          <w:sz w:val="22"/>
        </w:rPr>
        <w:t> </w:t>
      </w:r>
      <w:r>
        <w:rPr>
          <w:rFonts w:ascii="Times New Roman" w:hAnsi="Times New Roman"/>
          <w:b w:val="false"/>
          <w:i/>
          <w:color w:val="000000"/>
          <w:sz w:val="22"/>
        </w:rPr>
        <w:t xml:space="preserve">Affidavit of wrongful filing. </w:t>
      </w:r>
      <w:r>
        <w:rPr>
          <w:rFonts w:ascii="Times New Roman" w:hAnsi="Times New Roman"/>
          <w:b w:val="false"/>
          <w:i w:val="false"/>
          <w:color w:val="000000"/>
          <w:sz w:val="22"/>
        </w:rPr>
        <w:t xml:space="preserve">Assessment is made, notices are sent, and records determined to be wrongful are terminated and reinstated in accordance with Iowa Code section </w:t>
      </w:r>
      <w:hyperlink r:id="rId56">
        <w:r>
          <w:rPr>
            <w:rStyle w:val="Hyperlink"/>
            <w:rFonts w:ascii="Times New Roman" w:hAnsi="Times New Roman"/>
            <w:b w:val="false"/>
            <w:i w:val="false"/>
            <w:color w:val="000000"/>
            <w:sz w:val="22"/>
          </w:rPr>
          <w:t>554.9513A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30.4(15)</w:t>
      </w:r>
      <w:r>
        <w:rPr>
          <w:rFonts w:ascii="Times New Roman" w:hAnsi="Times New Roman"/>
          <w:b w:val="false"/>
          <w:i w:val="false"/>
          <w:color w:val="000000"/>
          <w:sz w:val="22"/>
        </w:rPr>
        <w:t> </w:t>
      </w:r>
      <w:r>
        <w:rPr>
          <w:rFonts w:ascii="Times New Roman" w:hAnsi="Times New Roman"/>
          <w:b w:val="false"/>
          <w:i/>
          <w:color w:val="000000"/>
          <w:sz w:val="22"/>
        </w:rPr>
        <w:t xml:space="preserve">Archives—general. </w:t>
      </w:r>
      <w:r>
        <w:rPr>
          <w:rFonts w:ascii="Times New Roman" w:hAnsi="Times New Roman"/>
          <w:b w:val="false"/>
          <w:i w:val="false"/>
          <w:color w:val="000000"/>
          <w:sz w:val="22"/>
        </w:rPr>
        <w:t>This subrule relates to the maintenance of inactive financing statements and the ability of those archives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Paper UCC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Storage. Paper UCC documents are scanned into the UCC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Paper is not retained.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Databases. </w:t>
      </w:r>
      <w:r>
        <w:rPr>
          <w:rFonts w:ascii="Times New Roman" w:hAnsi="Times New Roman"/>
          <w:b w:val="false"/>
          <w:i w:val="false"/>
          <w:color w:val="000000"/>
          <w:sz w:val="22"/>
        </w:rPr>
        <w:t>The UCC information management system is backed up every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30.4(16)</w:t>
      </w:r>
      <w:r>
        <w:rPr>
          <w:rFonts w:ascii="Times New Roman" w:hAnsi="Times New Roman"/>
          <w:b w:val="false"/>
          <w:i w:val="false"/>
          <w:color w:val="000000"/>
          <w:sz w:val="22"/>
        </w:rPr>
        <w:t> </w:t>
      </w:r>
      <w:r>
        <w:rPr>
          <w:rFonts w:ascii="Times New Roman" w:hAnsi="Times New Roman"/>
          <w:b w:val="false"/>
          <w:i/>
          <w:color w:val="000000"/>
          <w:sz w:val="22"/>
        </w:rPr>
        <w:t xml:space="preserve">Archives—data retention. </w:t>
      </w:r>
      <w:r>
        <w:rPr>
          <w:rFonts w:ascii="Times New Roman" w:hAnsi="Times New Roman"/>
          <w:b w:val="false"/>
          <w:i w:val="false"/>
          <w:color w:val="000000"/>
          <w:sz w:val="22"/>
        </w:rPr>
        <w:t>Data in the UCC information management system relating to financing statements that have lapsed is retained for at least five years from the date of 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30.4(17)</w:t>
      </w:r>
      <w:r>
        <w:rPr>
          <w:rFonts w:ascii="Times New Roman" w:hAnsi="Times New Roman"/>
          <w:b w:val="false"/>
          <w:i w:val="false"/>
          <w:color w:val="000000"/>
          <w:sz w:val="22"/>
        </w:rPr>
        <w:t> </w:t>
      </w:r>
      <w:r>
        <w:rPr>
          <w:rFonts w:ascii="Times New Roman" w:hAnsi="Times New Roman"/>
          <w:b w:val="false"/>
          <w:i/>
          <w:color w:val="000000"/>
          <w:sz w:val="22"/>
        </w:rPr>
        <w:t xml:space="preserve">Archival searches. </w:t>
      </w:r>
      <w:r>
        <w:rPr>
          <w:rFonts w:ascii="Times New Roman" w:hAnsi="Times New Roman"/>
          <w:b w:val="false"/>
          <w:i w:val="false"/>
          <w:color w:val="000000"/>
          <w:sz w:val="22"/>
        </w:rPr>
        <w:t>Archival searches may be available through arrangements with the filing office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30.4(18)</w:t>
      </w:r>
      <w:r>
        <w:rPr>
          <w:rFonts w:ascii="Times New Roman" w:hAnsi="Times New Roman"/>
          <w:b w:val="false"/>
          <w:i w:val="false"/>
          <w:color w:val="000000"/>
          <w:sz w:val="22"/>
        </w:rPr>
        <w:t> </w:t>
      </w:r>
      <w:r>
        <w:rPr>
          <w:rFonts w:ascii="Times New Roman" w:hAnsi="Times New Roman"/>
          <w:b w:val="false"/>
          <w:i/>
          <w:color w:val="000000"/>
          <w:sz w:val="22"/>
        </w:rPr>
        <w:t xml:space="preserve">Notice of bankruptcy. </w:t>
      </w:r>
      <w:r>
        <w:rPr>
          <w:rFonts w:ascii="Times New Roman" w:hAnsi="Times New Roman"/>
          <w:b w:val="false"/>
          <w:i w:val="false"/>
          <w:color w:val="000000"/>
          <w:sz w:val="22"/>
        </w:rPr>
        <w:t>The filing officer takes no action upon receipt of a notification, formal or informal, of a bankruptcy proceeding involving a debtor named in the UCC information management system. Accordingly, financing statements will lapse as scheduled unless properly continued.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721—30.5</w:t>
      </w:r>
      <w:r>
        <w:rPr>
          <w:rFonts w:ascii="Times New Roman" w:hAnsi="Times New Roman"/>
          <w:b/>
          <w:i w:val="false"/>
          <w:color w:val="000000"/>
          <w:sz w:val="22"/>
        </w:rPr>
        <w:t xml:space="preserve">(554) </w:t>
      </w:r>
      <w:r>
        <w:rPr>
          <w:rFonts w:ascii="Times New Roman" w:hAnsi="Times New Roman"/>
          <w:b/>
          <w:i w:val="false"/>
          <w:color w:val="000000"/>
          <w:sz w:val="22"/>
        </w:rPr>
        <w:t xml:space="preserve">Search requests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The filing officer maintains for public inspection a searchable index of all records of active UCC documents that provides for the retrieval of a record by the name of the debtor and by the file number of the initial financing statement to which the record relates and which associates with one another each initial financing statement and each filed UCC document relating to the initial financing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color w:val="000000"/>
          <w:sz w:val="22"/>
        </w:rPr>
        <w:t xml:space="preserve">Search requests. </w:t>
      </w:r>
      <w:r>
        <w:rPr>
          <w:rFonts w:ascii="Times New Roman" w:hAnsi="Times New Roman"/>
          <w:b w:val="false"/>
          <w:i w:val="false"/>
          <w:color w:val="000000"/>
          <w:sz w:val="22"/>
        </w:rPr>
        <w:t>Search requests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Name searched. </w:t>
      </w:r>
      <w:r>
        <w:rPr>
          <w:rFonts w:ascii="Times New Roman" w:hAnsi="Times New Roman"/>
          <w:b w:val="false"/>
          <w:i w:val="false"/>
          <w:color w:val="000000"/>
          <w:sz w:val="22"/>
        </w:rPr>
        <w:t>A search request should set forth the full correct name of a debtor or the name variant desired to be searched and must specify whether the debtor is an individual or an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The full name of an individual shall consist of a first name, a middle name or initial, and a last name, although a search request may be submitted with no middle name or initial and, if only a single name is presented (e.g., “Cher”), it will be treated as a last name, and a search will disclose only those UCC documents where only the last name was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Organization. The full name of an organization shall consist of the name of the organization as stated on the articles of incorporation or other organic documents in the state or country of organization or the name variant desired to be searched. A search request will be processed using the name in the exact form it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Requesting party. </w:t>
      </w:r>
      <w:r>
        <w:rPr>
          <w:rFonts w:ascii="Times New Roman" w:hAnsi="Times New Roman"/>
          <w:b w:val="false"/>
          <w:i w:val="false"/>
          <w:color w:val="000000"/>
          <w:sz w:val="22"/>
        </w:rPr>
        <w:t>The name and address of the person to whom the search report is to be sent,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The appropriate fee shall be enclosed, if applicable, payable by a method described in </w:t>
      </w:r>
      <w:hyperlink r:id="rId57">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request with filing. </w:t>
      </w:r>
      <w:r>
        <w:rPr>
          <w:rFonts w:ascii="Times New Roman" w:hAnsi="Times New Roman"/>
          <w:b w:val="false"/>
          <w:i w:val="false"/>
          <w:color w:val="000000"/>
          <w:sz w:val="22"/>
        </w:rPr>
        <w:t xml:space="preserve">If a filer requests a search at the time a UCC document is filed, by checking the box on the form set forth in </w:t>
      </w:r>
      <w:hyperlink r:id="rId58">
        <w:r>
          <w:rPr>
            <w:rStyle w:val="Hyperlink"/>
            <w:rFonts w:ascii="Times New Roman" w:hAnsi="Times New Roman"/>
            <w:b w:val="false"/>
            <w:i w:val="false"/>
            <w:color w:val="000000"/>
            <w:sz w:val="22"/>
          </w:rPr>
          <w:t>30.1(9)</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to be searched will be the debtor name as set forth on the form, the requesting party will be the remitter of the UCC document, and the search request will be deemed to request a search that would be effective to retrieve all financing statements filed on or prior to the date the UCC document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color w:val="000000"/>
          <w:sz w:val="22"/>
        </w:rPr>
        <w:t xml:space="preserve">Optional information. </w:t>
      </w:r>
      <w:r>
        <w:rPr>
          <w:rFonts w:ascii="Times New Roman" w:hAnsi="Times New Roman"/>
          <w:b w:val="false"/>
          <w:i w:val="false"/>
          <w:color w:val="000000"/>
          <w:sz w:val="22"/>
        </w:rPr>
        <w:t>A UCC search request may contain any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that copies of documents referred to in the report be included with the report. The request may limit the copies requested by limiting them by reference to the address of the debtor, the city of the debtor, the date of filing (or a range of filing dates) or the identity of the secured party(ies) of record on the financing statements located by the related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that the search of a debtor name be limited to debtors in a particular city. A report created by the filing officer in response to such a request shall contain the following statement:</w:t>
      </w:r>
    </w:p>
    <w:p>
      <w:pPr>
        <w:spacing w:before="0" w:after="0"/>
        <w:ind w:left="120"/>
        <w:jc w:val="both"/>
      </w:pPr>
      <w:r>
        <w:rPr>
          <w:rFonts w:ascii="Times New Roman" w:hAnsi="Times New Roman"/>
          <w:b w:val="false"/>
          <w:i w:val="false"/>
          <w:color w:val="000000"/>
          <w:sz w:val="22"/>
        </w:rPr>
        <w:t>“A search limited to a particular city may not reveal all filings against the debtor searched and the searcher bears the risk of relying on such a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Instructions on the mode of delivery requested, if other than by ordinary mail, which request will be honored if the requested mode is then made available by the filing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w:t>
      </w:r>
      <w:r>
        <w:rPr>
          <w:rFonts w:ascii="Times New Roman" w:hAnsi="Times New Roman"/>
          <w:b w:val="false"/>
          <w:i w:val="false"/>
          <w:color w:val="000000"/>
          <w:sz w:val="22"/>
        </w:rPr>
        <w:t> </w:t>
      </w:r>
      <w:r>
        <w:rPr>
          <w:rFonts w:ascii="Times New Roman" w:hAnsi="Times New Roman"/>
          <w:b w:val="false"/>
          <w:i/>
          <w:color w:val="000000"/>
          <w:sz w:val="22"/>
        </w:rPr>
        <w:t xml:space="preserve">Rules applied to search requests. </w:t>
      </w:r>
      <w:r>
        <w:rPr>
          <w:rFonts w:ascii="Times New Roman" w:hAnsi="Times New Roman"/>
          <w:b w:val="false"/>
          <w:i w:val="false"/>
          <w:color w:val="000000"/>
          <w:sz w:val="22"/>
        </w:rPr>
        <w:t>Search results are created by applying standardized search logic to the name presented to the filing officer by the person requesting the search. Human judgment does not play a role in determining the results of the search. Only the following rules are applied to conduct searches.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limit to the number of matches that may be returned in response to the search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distinction is made between uppercase and lowercase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Punctuation marks and accents are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Words and abbreviations at the end of a name that indicate the existence or nature of an organization as set forth in the “Ending Noise Words” list as promulgated by the International Association of Commercial Administrators, and adopted from time to time, are disregarded (e.g., company, limited, incorporated, corporation, limited partnership, limited liability company or abbreviations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word “the” at the beginning of the search criteria is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spaces are disregarded.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first and middle names of individuals, initials are treated as the logical equivalent of all names that begin with such initials, and no middle name or initial is equated with all middle names and initials. For example, a search request for “John A. Smith” would cause the search to retrieve all filings against all individual debtors with “John” as the first name, “Smith” as the last name, and with the initial “A” or any name beginning with “A” in the middle name field. If the search request were for “John Smith” (first and last names with no designation in the middle name field), the search would retrieve all filings against individual debtors with “John” as the first name, “Smith” as the last name and with any name or initial or no name or initial in the middle name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taking the preceding rules into account to modify the name of the debtor requested to be searched and to modify the names of debtors contained in active financing statements in the UCC information management system, the search will reveal only names of debtors that are contained in active financing statements and, as modified, exactly match the name requested, as modified.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w:t>
      </w:r>
      <w:r>
        <w:rPr>
          <w:rFonts w:ascii="Times New Roman" w:hAnsi="Times New Roman"/>
          <w:b w:val="false"/>
          <w:i w:val="false"/>
          <w:color w:val="000000"/>
          <w:sz w:val="22"/>
        </w:rPr>
        <w:t> </w:t>
      </w:r>
      <w:r>
        <w:rPr>
          <w:rFonts w:ascii="Times New Roman" w:hAnsi="Times New Roman"/>
          <w:b w:val="false"/>
          <w:i/>
          <w:color w:val="000000"/>
          <w:sz w:val="22"/>
        </w:rPr>
        <w:t xml:space="preserve">Search responses. </w:t>
      </w:r>
      <w:r>
        <w:rPr>
          <w:rFonts w:ascii="Times New Roman" w:hAnsi="Times New Roman"/>
          <w:b w:val="false"/>
          <w:i w:val="false"/>
          <w:color w:val="000000"/>
          <w:sz w:val="22"/>
        </w:rPr>
        <w:t>Reports created in response to a search request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officer. </w:t>
      </w:r>
      <w:r>
        <w:rPr>
          <w:rFonts w:ascii="Times New Roman" w:hAnsi="Times New Roman"/>
          <w:b w:val="false"/>
          <w:i w:val="false"/>
          <w:color w:val="000000"/>
          <w:sz w:val="22"/>
        </w:rPr>
        <w:t>Identification of the filing officer and the certification of the filing officer required by the UCC.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 date. </w:t>
      </w:r>
      <w:r>
        <w:rPr>
          <w:rFonts w:ascii="Times New Roman" w:hAnsi="Times New Roman"/>
          <w:b w:val="false"/>
          <w:i w:val="false"/>
          <w:color w:val="000000"/>
          <w:sz w:val="22"/>
        </w:rPr>
        <w:t>The date the report was generated.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Name searched. </w:t>
      </w:r>
      <w:r>
        <w:rPr>
          <w:rFonts w:ascii="Times New Roman" w:hAnsi="Times New Roman"/>
          <w:b w:val="false"/>
          <w:i w:val="false"/>
          <w:color w:val="000000"/>
          <w:sz w:val="22"/>
        </w:rPr>
        <w:t>Identification of the name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Certification date. </w:t>
      </w:r>
      <w:r>
        <w:rPr>
          <w:rFonts w:ascii="Times New Roman" w:hAnsi="Times New Roman"/>
          <w:b w:val="false"/>
          <w:i w:val="false"/>
          <w:color w:val="000000"/>
          <w:sz w:val="22"/>
        </w:rPr>
        <w:t>The certification date applicable to the report; i.e., the date and time through which the search is effective and reveals all relevant UCC documents filed on or prior to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initial financing statements. </w:t>
      </w:r>
      <w:r>
        <w:rPr>
          <w:rFonts w:ascii="Times New Roman" w:hAnsi="Times New Roman"/>
          <w:b w:val="false"/>
          <w:i w:val="false"/>
          <w:color w:val="000000"/>
          <w:sz w:val="22"/>
        </w:rPr>
        <w:t>Identification of each unlapsed (or active, if requested) initial financing statement filed on or prior to the certification date and time corresponding to the search criteria, by name of debtor, by identification number, and by file date and file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History of financing statement. </w:t>
      </w:r>
      <w:r>
        <w:rPr>
          <w:rFonts w:ascii="Times New Roman" w:hAnsi="Times New Roman"/>
          <w:b w:val="false"/>
          <w:i w:val="false"/>
          <w:color w:val="000000"/>
          <w:sz w:val="22"/>
        </w:rPr>
        <w:t>For each initial financing statement on the report, a listing of all related UCC documents filed by the filing officer on or prior to the certification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Copies of all UCC documents revealed by the search and requested by the searcher.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721—30.6</w:t>
      </w:r>
      <w:r>
        <w:rPr>
          <w:rFonts w:ascii="Times New Roman" w:hAnsi="Times New Roman"/>
          <w:b/>
          <w:i w:val="false"/>
          <w:color w:val="000000"/>
          <w:sz w:val="22"/>
        </w:rPr>
        <w:t xml:space="preserve">(554) </w:t>
      </w:r>
      <w:r>
        <w:rPr>
          <w:rFonts w:ascii="Times New Roman" w:hAnsi="Times New Roman"/>
          <w:b/>
          <w:i w:val="false"/>
          <w:color w:val="000000"/>
          <w:sz w:val="22"/>
        </w:rPr>
        <w:t xml:space="preserve">Other notices of liens.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statement. The purpose of this rule is to describe records of liens maintained by the filing office created pursuant to statutes other than the UCC that are treated by the filing officer in a manner substantially similar to UCC documents and that are included on request with the reports described in </w:t>
      </w:r>
      <w:hyperlink r:id="rId59">
        <w:r>
          <w:rPr>
            <w:rStyle w:val="Hyperlink"/>
            <w:rFonts w:ascii="Times New Roman" w:hAnsi="Times New Roman"/>
            <w:b w:val="false"/>
            <w:i w:val="false"/>
            <w:color w:val="000000"/>
            <w:sz w:val="22"/>
          </w:rPr>
          <w:t>30.5(4)</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30.5(5)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val="false"/>
          <w:color w:val="000000"/>
          <w:sz w:val="22"/>
        </w:rPr>
        <w:t>Records of liens maintained by the filing office which are created pursuant to statutes other than the UCC are maintained in the information management system and indexed and searched in the same manner under these rules.</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11/4/67]</w:t>
      </w:r>
    </w:p>
    <w:p>
      <w:pPr>
        <w:spacing w:before="0" w:after="0"/>
        <w:ind w:left="120"/>
        <w:jc w:val="center"/>
      </w:pPr>
      <w:r>
        <w:rPr>
          <w:rFonts w:ascii="Times New Roman" w:hAnsi="Times New Roman"/>
          <w:b w:val="false"/>
          <w:i w:val="false"/>
          <w:color w:val="000000"/>
          <w:sz w:val="21"/>
        </w:rPr>
        <w:t>[Filed 10/22/75, Notice 8/25/75—published 11/3/75, effective 12/9/75]</w:t>
      </w:r>
    </w:p>
    <w:p>
      <w:pPr>
        <w:spacing w:before="0" w:after="0"/>
        <w:ind w:left="120"/>
        <w:jc w:val="center"/>
      </w:pPr>
      <w:r>
        <w:rPr>
          <w:rFonts w:ascii="Times New Roman" w:hAnsi="Times New Roman"/>
          <w:b w:val="false"/>
          <w:i w:val="false"/>
          <w:color w:val="000000"/>
          <w:sz w:val="21"/>
        </w:rPr>
        <w:t>[Filed emergency 6/5/81—published 6/24/81, effective 7/1/81]</w:t>
      </w:r>
    </w:p>
    <w:p>
      <w:pPr>
        <w:spacing w:before="0" w:after="0"/>
        <w:ind w:left="120"/>
        <w:jc w:val="center"/>
      </w:pPr>
      <w:r>
        <w:rPr>
          <w:rFonts w:ascii="Times New Roman" w:hAnsi="Times New Roman"/>
          <w:b w:val="false"/>
          <w:i w:val="false"/>
          <w:color w:val="000000"/>
          <w:sz w:val="21"/>
        </w:rPr>
        <w:t>[Filed 7/29/81, Notice 6/24/81—published 8/19/81, effective 9/23/81]</w:t>
      </w:r>
    </w:p>
    <w:p>
      <w:pPr>
        <w:spacing w:before="0" w:after="0"/>
        <w:ind w:left="120"/>
        <w:jc w:val="center"/>
      </w:pPr>
      <w:r>
        <w:rPr>
          <w:rFonts w:ascii="Times New Roman" w:hAnsi="Times New Roman"/>
          <w:b w:val="false"/>
          <w:i w:val="false"/>
          <w:color w:val="000000"/>
          <w:sz w:val="21"/>
        </w:rPr>
        <w:t>[Filed emergency 7/3/84—published 8/1/84, effective 7/3/84]</w:t>
      </w:r>
    </w:p>
    <w:p>
      <w:pPr>
        <w:spacing w:before="0" w:after="0"/>
        <w:ind w:left="120"/>
        <w:jc w:val="center"/>
      </w:pPr>
      <w:r>
        <w:rPr>
          <w:rFonts w:ascii="Times New Roman" w:hAnsi="Times New Roman"/>
          <w:b w:val="false"/>
          <w:i w:val="false"/>
          <w:color w:val="000000"/>
          <w:sz w:val="21"/>
        </w:rPr>
        <w:t>[Filed 12/14/84, Notice 8/1/84—published 1/2/85, effective 2/6/85]</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3/3/89, Notice 8/24/88—published 3/22/89, effective 5/10/89]</w:t>
      </w:r>
    </w:p>
    <w:p>
      <w:pPr>
        <w:spacing w:before="0" w:after="0"/>
        <w:ind w:left="120"/>
        <w:jc w:val="center"/>
      </w:pPr>
      <w:r>
        <w:rPr>
          <w:rFonts w:ascii="Times New Roman" w:hAnsi="Times New Roman"/>
          <w:b w:val="false"/>
          <w:i w:val="false"/>
          <w:color w:val="000000"/>
          <w:sz w:val="21"/>
        </w:rPr>
        <w:t>[Filed emergency 12/11/91 after Notice 9/18/91—published 1/8/92, effective 1/2/92]</w:t>
      </w:r>
    </w:p>
    <w:p>
      <w:pPr>
        <w:spacing w:before="0" w:after="0"/>
        <w:ind w:left="120"/>
        <w:jc w:val="center"/>
      </w:pPr>
      <w:r>
        <w:rPr>
          <w:rFonts w:ascii="Times New Roman" w:hAnsi="Times New Roman"/>
          <w:b w:val="false"/>
          <w:i w:val="false"/>
          <w:color w:val="000000"/>
          <w:sz w:val="21"/>
        </w:rPr>
        <w:t>[Filed emergency 6/8/01—published 6/27/01, effective 7/1/01]</w:t>
      </w:r>
    </w:p>
    <w:p>
      <w:pPr>
        <w:spacing w:before="0" w:after="0"/>
        <w:ind w:left="120"/>
        <w:jc w:val="center"/>
      </w:pPr>
      <w:r>
        <w:rPr>
          <w:rFonts w:ascii="Times New Roman" w:hAnsi="Times New Roman"/>
          <w:b w:val="false"/>
          <w:i w:val="false"/>
          <w:color w:val="000000"/>
          <w:sz w:val="21"/>
        </w:rPr>
        <w:t>[Filed ARC 3467C</w:t>
      </w:r>
      <w:r>
        <w:rPr>
          <w:rFonts w:ascii="Times New Roman" w:hAnsi="Times New Roman"/>
          <w:b w:val="false"/>
          <w:i w:val="false"/>
          <w:color w:val="000000"/>
          <w:sz w:val="21"/>
        </w:rPr>
        <w:t xml:space="preserve"> (Notice ARC 3320C, IAB 9/27/17)</w:t>
      </w:r>
      <w:r>
        <w:rPr>
          <w:rFonts w:ascii="Times New Roman" w:hAnsi="Times New Roman"/>
          <w:b w:val="false"/>
          <w:i w:val="false"/>
          <w:color w:val="000000"/>
          <w:sz w:val="21"/>
        </w:rPr>
        <w:t>, IAB 11/22/17, effective 12/31/17]</w:t>
      </w:r>
    </w:p>
    <w:p>
      <w:pPr>
        <w:spacing w:before="0" w:after="0"/>
        <w:ind w:left="120"/>
        <w:jc w:val="center"/>
      </w:pPr>
      <w:r>
        <w:rPr>
          <w:rFonts w:ascii="Times New Roman" w:hAnsi="Times New Roman"/>
          <w:b w:val="false"/>
          <w:i w:val="false"/>
          <w:color w:val="000000"/>
          <w:sz w:val="21"/>
        </w:rPr>
        <w:t>[Filed ARC 6887C</w:t>
      </w:r>
      <w:r>
        <w:rPr>
          <w:rFonts w:ascii="Times New Roman" w:hAnsi="Times New Roman"/>
          <w:b w:val="false"/>
          <w:i w:val="false"/>
          <w:color w:val="000000"/>
          <w:sz w:val="21"/>
        </w:rPr>
        <w:t xml:space="preserve"> (Notice ARC 6427C, IAB 7/27/22)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4.9512.pdf" Type="http://schemas.openxmlformats.org/officeDocument/2006/relationships/hyperlink" Id="rId5"/>
    <Relationship TargetMode="External" Target="https://www.legis.iowa.gov/docs/ico/chapter/554.9514.pdf" Type="http://schemas.openxmlformats.org/officeDocument/2006/relationships/hyperlink" Id="rId6"/>
    <Relationship TargetMode="External" Target="https://www.legis.iowa.gov/docs/ico/chapter/554.9518.pdf" Type="http://schemas.openxmlformats.org/officeDocument/2006/relationships/hyperlink" Id="rId7"/>
    <Relationship TargetMode="External" Target="https://www.legis.iowa.gov/docs/ico/chapter/554.9514.pdf" Type="http://schemas.openxmlformats.org/officeDocument/2006/relationships/hyperlink" Id="rId8"/>
    <Relationship TargetMode="External" Target="https://www.legis.iowa.gov/docs/ico/chapter/554.9514.pdf" Type="http://schemas.openxmlformats.org/officeDocument/2006/relationships/hyperlink" Id="rId9"/>
    <Relationship TargetMode="External" Target="https://www.legis.iowa.gov/docs/ico/chapter/554.9102.pdf" Type="http://schemas.openxmlformats.org/officeDocument/2006/relationships/hyperlink" Id="rId10"/>
    <Relationship TargetMode="External" Target="https://www.legis.iowa.gov/docs/ico/chapter/554.9102.pdf" Type="http://schemas.openxmlformats.org/officeDocument/2006/relationships/hyperlink" Id="rId11"/>
    <Relationship TargetMode="External" Target="https://sos.iowa.gov/" Type="http://schemas.openxmlformats.org/officeDocument/2006/relationships/hyperlink" Id="rId12"/>
    <Relationship TargetMode="External" Target="https://www.legis.iowa.gov/docs/iac/rule/721.30.1.pdf" Type="http://schemas.openxmlformats.org/officeDocument/2006/relationships/hyperlink" Id="rId13"/>
    <Relationship TargetMode="External" Target="https://www.legis.iowa.gov/docs/iac/rule/721.30.1.pdf" Type="http://schemas.openxmlformats.org/officeDocument/2006/relationships/hyperlink" Id="rId14"/>
    <Relationship TargetMode="External" Target="https://www.legis.iowa.gov/docs/iac/rule/721.30.3.pdf" Type="http://schemas.openxmlformats.org/officeDocument/2006/relationships/hyperlink" Id="rId15"/>
    <Relationship TargetMode="External" Target="https://www.legis.iowa.gov/docs/iac/rule/721.30.3.pdf" Type="http://schemas.openxmlformats.org/officeDocument/2006/relationships/hyperlink" Id="rId16"/>
    <Relationship TargetMode="External" Target="https://www.legis.iowa.gov/docs/iac/rule/721.30.1.pdf" Type="http://schemas.openxmlformats.org/officeDocument/2006/relationships/hyperlink" Id="rId17"/>
    <Relationship TargetMode="External" Target="https://www.legis.iowa.gov/docs/iac/rule/721.30.5.pdf" Type="http://schemas.openxmlformats.org/officeDocument/2006/relationships/hyperlink" Id="rId18"/>
    <Relationship TargetMode="External" Target="https://www.sos.iowa.gov/" Type="http://schemas.openxmlformats.org/officeDocument/2006/relationships/hyperlink" Id="rId19"/>
    <Relationship TargetMode="External" Target="https://www.legis.iowa.gov/docs/iac/rule/721.30.5.pdf" Type="http://schemas.openxmlformats.org/officeDocument/2006/relationships/hyperlink" Id="rId20"/>
    <Relationship TargetMode="External" Target="https://www.legis.iowa.gov/docs/iac/rule/721.30.3.pdf" Type="http://schemas.openxmlformats.org/officeDocument/2006/relationships/hyperlink" Id="rId21"/>
    <Relationship TargetMode="External" Target="https://www.legis.iowa.gov/docs/iac/rule/721.30.3.pdf" Type="http://schemas.openxmlformats.org/officeDocument/2006/relationships/hyperlink" Id="rId22"/>
    <Relationship TargetMode="External" Target="https://www.legis.iowa.gov/docs/iac/rule/721.2.3.pdf" Type="http://schemas.openxmlformats.org/officeDocument/2006/relationships/hyperlink" Id="rId23"/>
    <Relationship TargetMode="External" Target="https://www.legis.iowa.gov/docs/iac/rule/721.30.2.pdf" Type="http://schemas.openxmlformats.org/officeDocument/2006/relationships/hyperlink" Id="rId24"/>
    <Relationship TargetMode="External" Target="https://www.legis.iowa.gov/docs/iac/rule/721.30.2.pdf" Type="http://schemas.openxmlformats.org/officeDocument/2006/relationships/hyperlink" Id="rId25"/>
    <Relationship TargetMode="External" Target="https://www.legis.iowa.gov/docs/ico/chapter/554.9512.pdf" Type="http://schemas.openxmlformats.org/officeDocument/2006/relationships/hyperlink" Id="rId26"/>
    <Relationship TargetMode="External" Target="https://www.legis.iowa.gov/docs/ico/chapter/554.9514.pdf" Type="http://schemas.openxmlformats.org/officeDocument/2006/relationships/hyperlink" Id="rId27"/>
    <Relationship TargetMode="External" Target="https://www.legis.iowa.gov/docs/ico/chapter/554.9518.pdf" Type="http://schemas.openxmlformats.org/officeDocument/2006/relationships/hyperlink" Id="rId28"/>
    <Relationship TargetMode="External" Target="https://www.legis.iowa.gov/docs/iac/rule/721.30.1.pdf" Type="http://schemas.openxmlformats.org/officeDocument/2006/relationships/hyperlink" Id="rId29"/>
    <Relationship TargetMode="External" Target="https://www.legis.iowa.gov/docs/iac/rule/721.30.3.pdf" Type="http://schemas.openxmlformats.org/officeDocument/2006/relationships/hyperlink" Id="rId30"/>
    <Relationship TargetMode="External" Target="https://www.legis.iowa.gov/docs/iac/rule/721.30.2.pdf" Type="http://schemas.openxmlformats.org/officeDocument/2006/relationships/hyperlink" Id="rId31"/>
    <Relationship TargetMode="External" Target="https://www.legis.iowa.gov/docs/iac/rule/721.30.2.pdf" Type="http://schemas.openxmlformats.org/officeDocument/2006/relationships/hyperlink" Id="rId32"/>
    <Relationship TargetMode="External" Target="https://www.legis.iowa.gov/docs/iac/rule/721.30.2.pdf" Type="http://schemas.openxmlformats.org/officeDocument/2006/relationships/hyperlink" Id="rId33"/>
    <Relationship TargetMode="External" Target="https://www.legis.iowa.gov/docs/iac/rule/721.30.2.pdf" Type="http://schemas.openxmlformats.org/officeDocument/2006/relationships/hyperlink" Id="rId34"/>
    <Relationship TargetMode="External" Target="https://www.legis.iowa.gov/docs/iac/rule/721.30.2.pdf" Type="http://schemas.openxmlformats.org/officeDocument/2006/relationships/hyperlink" Id="rId35"/>
    <Relationship TargetMode="External" Target="https://www.legis.iowa.gov/docs/iac/rule/721.30.4.pdf" Type="http://schemas.openxmlformats.org/officeDocument/2006/relationships/hyperlink" Id="rId36"/>
    <Relationship TargetMode="External" Target="https://www.legis.iowa.gov/docs/iac/rule/721.30.2.pdf" Type="http://schemas.openxmlformats.org/officeDocument/2006/relationships/hyperlink" Id="rId37"/>
    <Relationship TargetMode="External" Target="https://www.legis.iowa.gov/docs/iac/rule/721.30.1.pdf" Type="http://schemas.openxmlformats.org/officeDocument/2006/relationships/hyperlink" Id="rId38"/>
    <Relationship TargetMode="External" Target="https://www.legis.iowa.gov/docs/iac/rule/721.30.4.pdf" Type="http://schemas.openxmlformats.org/officeDocument/2006/relationships/hyperlink" Id="rId39"/>
    <Relationship TargetMode="External" Target="https://www.legis.iowa.gov/docs/iac/rule/721.30.4.pdf" Type="http://schemas.openxmlformats.org/officeDocument/2006/relationships/hyperlink" Id="rId40"/>
    <Relationship TargetMode="External" Target="https://www.legis.iowa.gov/docs/iac/rule/721.30.4.pdf" Type="http://schemas.openxmlformats.org/officeDocument/2006/relationships/hyperlink" Id="rId41"/>
    <Relationship TargetMode="External" Target="https://www.legis.iowa.gov/docs/iac/rule/721.30.3.pdf" Type="http://schemas.openxmlformats.org/officeDocument/2006/relationships/hyperlink" Id="rId42"/>
    <Relationship TargetMode="External" Target="https://www.legis.iowa.gov/docs/iac/rule/721.30.3.pdf" Type="http://schemas.openxmlformats.org/officeDocument/2006/relationships/hyperlink" Id="rId43"/>
    <Relationship TargetMode="External" Target="https://www.legis.iowa.gov/docs/iac/rule/721.30.4.pdf" Type="http://schemas.openxmlformats.org/officeDocument/2006/relationships/hyperlink" Id="rId44"/>
    <Relationship TargetMode="External" Target="https://www.legis.iowa.gov/docs/iac/rule/721.30.4.pdf" Type="http://schemas.openxmlformats.org/officeDocument/2006/relationships/hyperlink" Id="rId45"/>
    <Relationship TargetMode="External" Target="https://www.legis.iowa.gov/docs/iac/rule/721.30.1.pdf" Type="http://schemas.openxmlformats.org/officeDocument/2006/relationships/hyperlink" Id="rId46"/>
    <Relationship TargetMode="External" Target="https://sos.iowa.gov/" Type="http://schemas.openxmlformats.org/officeDocument/2006/relationships/hyperlink" Id="rId47"/>
    <Relationship TargetMode="External" Target="https://www.legis.iowa.gov/docs/iac/rule/721.30.1.pdf" Type="http://schemas.openxmlformats.org/officeDocument/2006/relationships/hyperlink" Id="rId48"/>
    <Relationship TargetMode="External" Target="https://www.legis.iowa.gov/docs/iac/rule/721.30.3.pdf" Type="http://schemas.openxmlformats.org/officeDocument/2006/relationships/hyperlink" Id="rId49"/>
    <Relationship TargetMode="External" Target="https://sos.iowa.gov/" Type="http://schemas.openxmlformats.org/officeDocument/2006/relationships/hyperlink" Id="rId50"/>
    <Relationship TargetMode="External" Target="https://www.legis.iowa.gov/docs/iac/rule/721.30.2.pdf" Type="http://schemas.openxmlformats.org/officeDocument/2006/relationships/hyperlink" Id="rId51"/>
    <Relationship TargetMode="External" Target="https://www.legis.iowa.gov/docs/iac/rule/721.30.2.pdf" Type="http://schemas.openxmlformats.org/officeDocument/2006/relationships/hyperlink" Id="rId52"/>
    <Relationship TargetMode="External" Target="https://www.legis.iowa.gov/docs/iac/rule/721.30.2.pdf" Type="http://schemas.openxmlformats.org/officeDocument/2006/relationships/hyperlink" Id="rId53"/>
    <Relationship TargetMode="External" Target="https://www.legis.iowa.gov/docs/iac/rule/721.30.1.pdf" Type="http://schemas.openxmlformats.org/officeDocument/2006/relationships/hyperlink" Id="rId54"/>
    <Relationship TargetMode="External" Target="https://www.legis.iowa.gov/docs/iac/rule/721.30.1.pdf" Type="http://schemas.openxmlformats.org/officeDocument/2006/relationships/hyperlink" Id="rId55"/>
    <Relationship TargetMode="External" Target="https://www.legis.iowa.gov/docs/ico/chapter/554.9513A.pdf" Type="http://schemas.openxmlformats.org/officeDocument/2006/relationships/hyperlink" Id="rId56"/>
    <Relationship TargetMode="External" Target="https://www.legis.iowa.gov/docs/iac/rule/721.30.1.pdf" Type="http://schemas.openxmlformats.org/officeDocument/2006/relationships/hyperlink" Id="rId57"/>
    <Relationship TargetMode="External" Target="https://www.legis.iowa.gov/docs/iac/rule/721.30.1.pdf" Type="http://schemas.openxmlformats.org/officeDocument/2006/relationships/hyperlink" Id="rId58"/>
    <Relationship TargetMode="External" Target="https://www.legis.iowa.gov/docs/iac/rule/721.30.5.pdf" Type="http://schemas.openxmlformats.org/officeDocument/2006/relationships/hyperlink" Id="rId59"/>
    <Relationship TargetMode="External" Target="https://www.legis.iowa.gov/docs/iac/rule/721.30.5.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554.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