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27</w:t>
      </w:r>
    </w:p>
    <w:p>
      <w:pPr>
        <w:spacing w:before="0" w:after="0"/>
        <w:ind w:left="120"/>
        <w:jc w:val="center"/>
      </w:pPr>
      <w:r>
        <w:rPr>
          <w:rFonts w:ascii="Times New Roman" w:hAnsi="Times New Roman"/>
          <w:b w:val="false"/>
          <w:i w:val="false"/>
          <w:color w:val="000000"/>
          <w:sz w:val="21"/>
        </w:rPr>
        <w:t>HELP AMERICA VOTE ACT GRANTS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721—27.1</w:t>
      </w:r>
      <w:r>
        <w:rPr>
          <w:rFonts w:ascii="Times New Roman" w:hAnsi="Times New Roman"/>
          <w:b/>
          <w:i w:val="false"/>
          <w:color w:val="000000"/>
          <w:sz w:val="22"/>
        </w:rPr>
        <w:t xml:space="preserve">(47,80GA,SF2298)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The Help America Vote Act (Pub. Law 107-252, Sec. 261-265) and </w:t>
      </w:r>
      <w:r>
        <w:rPr>
          <w:rFonts w:ascii="Times New Roman" w:hAnsi="Times New Roman"/>
          <w:b w:val="false"/>
          <w:i w:val="false"/>
          <w:color w:val="000000"/>
          <w:sz w:val="22"/>
        </w:rPr>
        <w:t>2004 Iowa Acts, Senate File 2298</w:t>
      </w:r>
      <w:r>
        <w:rPr>
          <w:rFonts w:ascii="Times New Roman" w:hAnsi="Times New Roman"/>
          <w:b w:val="false"/>
          <w:i w:val="false"/>
          <w:color w:val="000000"/>
          <w:sz w:val="22"/>
        </w:rPr>
        <w:t>, provide funds to replace lever voting equipment, upgrade voting equipment, provide training to election officials, provide additional information to voters and improve election accessibility for individuals with disabilities. The purpose of these rules is to establish a grant program for providing funds to the counties of Iowa for the above purposes.</w:t>
      </w:r>
    </w:p>
    <w:p>
      <w:pPr>
        <w:spacing w:before="0" w:after="0"/>
        <w:ind w:left="120"/>
        <w:jc w:val="both"/>
      </w:pPr>
      <w:r>
        <w:rPr>
          <w:rFonts w:ascii="Times New Roman" w:hAnsi="Times New Roman"/>
          <w:b/>
          <w:i w:val="false"/>
          <w:color w:val="000000"/>
          <w:sz w:val="22"/>
        </w:rPr>
        <w:t>721—27.2</w:t>
      </w:r>
      <w:r>
        <w:rPr>
          <w:rFonts w:ascii="Times New Roman" w:hAnsi="Times New Roman"/>
          <w:b/>
          <w:i w:val="false"/>
          <w:color w:val="000000"/>
          <w:sz w:val="22"/>
        </w:rPr>
        <w:t xml:space="preserve">(47,80GA,SF2298)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 </w:t>
      </w:r>
      <w:r>
        <w:rPr>
          <w:rFonts w:ascii="Times New Roman" w:hAnsi="Times New Roman"/>
          <w:b w:val="false"/>
          <w:i w:val="false"/>
          <w:color w:val="000000"/>
          <w:sz w:val="22"/>
        </w:rPr>
        <w:t>means Public Law 107-252, the Help America Vote Act of 2002.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“Secretary” </w:t>
      </w:r>
      <w:r>
        <w:rPr>
          <w:rFonts w:ascii="Times New Roman" w:hAnsi="Times New Roman"/>
          <w:b w:val="false"/>
          <w:i w:val="false"/>
          <w:color w:val="000000"/>
          <w:sz w:val="22"/>
        </w:rPr>
        <w:t>means the secretary of state created pursuant to Article 4, section 22, of the Constitution of the State of Iowa.</w:t>
      </w:r>
    </w:p>
    <w:p>
      <w:pPr>
        <w:spacing w:before="0" w:after="0"/>
        <w:ind w:left="120"/>
        <w:jc w:val="both"/>
      </w:pPr>
      <w:r>
        <w:rPr>
          <w:rFonts w:ascii="Times New Roman" w:hAnsi="Times New Roman"/>
          <w:b/>
          <w:i w:val="false"/>
          <w:color w:val="000000"/>
          <w:sz w:val="22"/>
        </w:rPr>
        <w:t>721—27.3</w:t>
      </w:r>
      <w:r>
        <w:rPr>
          <w:rFonts w:ascii="Times New Roman" w:hAnsi="Times New Roman"/>
          <w:b/>
          <w:i w:val="false"/>
          <w:color w:val="000000"/>
          <w:sz w:val="22"/>
        </w:rPr>
        <w:t xml:space="preserve">(47,80GA,SF2298) </w:t>
      </w:r>
      <w:r>
        <w:rPr>
          <w:rFonts w:ascii="Times New Roman" w:hAnsi="Times New Roman"/>
          <w:b/>
          <w:i w:val="false"/>
          <w:color w:val="000000"/>
          <w:sz w:val="22"/>
        </w:rPr>
        <w:t xml:space="preserve">Eligibility and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27.3(1)</w:t>
      </w:r>
      <w:r>
        <w:rPr>
          <w:rFonts w:ascii="Times New Roman" w:hAnsi="Times New Roman"/>
          <w:b w:val="false"/>
          <w:i w:val="false"/>
          <w:color w:val="000000"/>
          <w:sz w:val="22"/>
        </w:rPr>
        <w:t> </w:t>
      </w:r>
      <w:r>
        <w:rPr>
          <w:rFonts w:ascii="Times New Roman" w:hAnsi="Times New Roman"/>
          <w:b w:val="false"/>
          <w:i w:val="false"/>
          <w:color w:val="000000"/>
          <w:sz w:val="22"/>
        </w:rPr>
        <w:t>Any Iowa county is eligible to receive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27.3(2)</w:t>
      </w:r>
      <w:r>
        <w:rPr>
          <w:rFonts w:ascii="Times New Roman" w:hAnsi="Times New Roman"/>
          <w:b w:val="false"/>
          <w:i w:val="false"/>
          <w:color w:val="000000"/>
          <w:sz w:val="22"/>
        </w:rPr>
        <w:t> </w:t>
      </w:r>
      <w:r>
        <w:rPr>
          <w:rFonts w:ascii="Times New Roman" w:hAnsi="Times New Roman"/>
          <w:b w:val="false"/>
          <w:i w:val="false"/>
          <w:color w:val="000000"/>
          <w:sz w:val="22"/>
        </w:rPr>
        <w:t xml:space="preserve">For each grant program, the secretary will develop the requirements and criteria for awards and publish the information on the secretary’s Web site </w:t>
      </w:r>
      <w:hyperlink r:id="rId5">
        <w:r>
          <w:rPr>
            <w:rStyle w:val="Hyperlink"/>
            <w:rFonts w:ascii="Times New Roman" w:hAnsi="Times New Roman"/>
            <w:b w:val="false"/>
            <w:i w:val="false"/>
            <w:color w:val="000000"/>
            <w:sz w:val="22"/>
            <w:u w:val="single"/>
          </w:rPr>
          <w:t>www.sos.state.ia.us</w:t>
        </w:r>
      </w:hyperlink>
      <w:r>
        <w:rPr>
          <w:rFonts w:ascii="Times New Roman" w:hAnsi="Times New Roman"/>
          <w:b w:val="false"/>
          <w:i w:val="false"/>
          <w:color w:val="000000"/>
          <w:sz w:val="22"/>
        </w:rPr>
        <w:t>. In addition, the secretary will also notify each county of grant programs.</w:t>
      </w:r>
    </w:p>
    <w:p>
      <w:pPr>
        <w:spacing w:before="210" w:after="0"/>
        <w:ind w:left="120"/>
        <w:jc w:val="both"/>
      </w:pPr>
      <w:r>
        <w:rPr>
          <w:rFonts w:ascii="Times New Roman" w:hAnsi="Times New Roman"/>
          <w:b/>
          <w:i w:val="false"/>
          <w:color w:val="000000"/>
          <w:sz w:val="22"/>
        </w:rPr>
        <w:t>721—27.4</w:t>
      </w:r>
      <w:r>
        <w:rPr>
          <w:rFonts w:ascii="Times New Roman" w:hAnsi="Times New Roman"/>
          <w:b/>
          <w:i w:val="false"/>
          <w:color w:val="000000"/>
          <w:sz w:val="22"/>
        </w:rPr>
        <w:t xml:space="preserve">(47,80GA,SF2298) </w:t>
      </w:r>
      <w:r>
        <w:rPr>
          <w:rFonts w:ascii="Times New Roman" w:hAnsi="Times New Roman"/>
          <w:b/>
          <w:i w:val="false"/>
          <w:color w:val="000000"/>
          <w:sz w:val="22"/>
        </w:rPr>
        <w:t xml:space="preserve">Application process. </w:t>
      </w:r>
      <w:r>
        <w:rPr>
          <w:rFonts w:ascii="Times New Roman" w:hAnsi="Times New Roman"/>
          <w:b w:val="false"/>
          <w:i w:val="false"/>
          <w:color w:val="000000"/>
          <w:sz w:val="22"/>
        </w:rPr>
        <w:t>The secretary shall establish the application and review deadlines for each grant program. Notice of the deadlines and application forms shall be sent to each county and shall also be available on the secretary’s Web site. Applications shall be submitted to HAVA Grants, Secretary of State’s Office, First Floor, Lucas State Office Building, Des Moines, Iowa 50319.</w:t>
      </w:r>
    </w:p>
    <w:p>
      <w:pPr>
        <w:spacing w:before="0" w:after="0"/>
        <w:ind w:left="120"/>
        <w:jc w:val="both"/>
      </w:pPr>
      <w:r>
        <w:rPr>
          <w:rFonts w:ascii="Times New Roman" w:hAnsi="Times New Roman"/>
          <w:b/>
          <w:i w:val="false"/>
          <w:color w:val="000000"/>
          <w:sz w:val="22"/>
        </w:rPr>
        <w:t>721—27.5</w:t>
      </w:r>
      <w:r>
        <w:rPr>
          <w:rFonts w:ascii="Times New Roman" w:hAnsi="Times New Roman"/>
          <w:b/>
          <w:i w:val="false"/>
          <w:color w:val="000000"/>
          <w:sz w:val="22"/>
        </w:rPr>
        <w:t xml:space="preserve">(47,80GA,SF2298) </w:t>
      </w:r>
      <w:r>
        <w:rPr>
          <w:rFonts w:ascii="Times New Roman" w:hAnsi="Times New Roman"/>
          <w:b/>
          <w:i w:val="false"/>
          <w:color w:val="000000"/>
          <w:sz w:val="22"/>
        </w:rPr>
        <w:t xml:space="preserve">Application contents. </w:t>
      </w:r>
      <w:r>
        <w:rPr>
          <w:rFonts w:ascii="Times New Roman" w:hAnsi="Times New Roman"/>
          <w:b w:val="false"/>
          <w:i w:val="false"/>
          <w:color w:val="000000"/>
          <w:sz w:val="22"/>
        </w:rPr>
        <w:t>Applications shall be submitted on forms developed and made available by the secretary. Contents of the application shall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Description of the proposed project.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Budget to complete the project.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Local funds or effort on the project.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Other information as requested by the secretary.</w:t>
      </w:r>
    </w:p>
    <w:p>
      <w:pPr>
        <w:spacing w:before="210" w:after="0"/>
        <w:ind w:left="120"/>
        <w:jc w:val="both"/>
      </w:pPr>
      <w:r>
        <w:rPr>
          <w:rFonts w:ascii="Times New Roman" w:hAnsi="Times New Roman"/>
          <w:b/>
          <w:i w:val="false"/>
          <w:color w:val="000000"/>
          <w:sz w:val="22"/>
        </w:rPr>
        <w:t>721—27.6</w:t>
      </w:r>
      <w:r>
        <w:rPr>
          <w:rFonts w:ascii="Times New Roman" w:hAnsi="Times New Roman"/>
          <w:b/>
          <w:i w:val="false"/>
          <w:color w:val="000000"/>
          <w:sz w:val="22"/>
        </w:rPr>
        <w:t xml:space="preserve">(47,80GA,SF2298) </w:t>
      </w:r>
      <w:r>
        <w:rPr>
          <w:rFonts w:ascii="Times New Roman" w:hAnsi="Times New Roman"/>
          <w:b/>
          <w:i w:val="false"/>
          <w:color w:val="000000"/>
          <w:sz w:val="22"/>
        </w:rPr>
        <w:t xml:space="preserve">Application review. </w:t>
      </w:r>
      <w:r>
        <w:rPr>
          <w:rFonts w:ascii="Times New Roman" w:hAnsi="Times New Roman"/>
          <w:b w:val="false"/>
          <w:i w:val="false"/>
          <w:color w:val="000000"/>
          <w:sz w:val="22"/>
        </w:rPr>
        <w:t>The secretary shall review the applications and make awards based on the criteria as announced and published on the secretary’s Web site.</w:t>
      </w:r>
    </w:p>
    <w:p>
      <w:pPr>
        <w:spacing w:before="210" w:after="0"/>
        <w:ind w:left="120"/>
        <w:jc w:val="both"/>
      </w:pPr>
      <w:r>
        <w:rPr>
          <w:rFonts w:ascii="Times New Roman" w:hAnsi="Times New Roman"/>
          <w:b/>
          <w:i w:val="false"/>
          <w:color w:val="000000"/>
          <w:sz w:val="22"/>
        </w:rPr>
        <w:t>721—27.7</w:t>
      </w:r>
      <w:r>
        <w:rPr>
          <w:rFonts w:ascii="Times New Roman" w:hAnsi="Times New Roman"/>
          <w:b/>
          <w:i w:val="false"/>
          <w:color w:val="000000"/>
          <w:sz w:val="22"/>
        </w:rPr>
        <w:t xml:space="preserve">(47,80GA,SF2298) </w:t>
      </w:r>
      <w:r>
        <w:rPr>
          <w:rFonts w:ascii="Times New Roman" w:hAnsi="Times New Roman"/>
          <w:b/>
          <w:i w:val="false"/>
          <w:color w:val="000000"/>
          <w:sz w:val="22"/>
        </w:rPr>
        <w:t xml:space="preserve">Award process. </w:t>
      </w:r>
      <w:r>
        <w:rPr>
          <w:rFonts w:ascii="Times New Roman" w:hAnsi="Times New Roman"/>
          <w:b w:val="false"/>
          <w:i w:val="false"/>
          <w:color w:val="000000"/>
          <w:sz w:val="22"/>
        </w:rPr>
        <w:t>The secretary will award grants to counties. Upon award to a county, the secretary shall send a grant agreement to the county. The county auditor, the chair of the county board of supervisors, or other designated county representative shall sign the agreement and return it to the secretary. The grant award agreement will outline procedures for payment of grant funds. The grant recipient county must submit all documentation as required by the secretary.</w:t>
      </w:r>
    </w:p>
    <w:p>
      <w:pPr>
        <w:spacing w:before="210" w:after="0"/>
        <w:ind w:left="120"/>
        <w:jc w:val="both"/>
      </w:pPr>
      <w:r>
        <w:rPr>
          <w:rFonts w:ascii="Times New Roman" w:hAnsi="Times New Roman"/>
          <w:b/>
          <w:i w:val="false"/>
          <w:color w:val="000000"/>
          <w:sz w:val="22"/>
        </w:rPr>
        <w:t>721—27.8</w:t>
      </w:r>
      <w:r>
        <w:rPr>
          <w:rFonts w:ascii="Times New Roman" w:hAnsi="Times New Roman"/>
          <w:b/>
          <w:i w:val="false"/>
          <w:color w:val="000000"/>
          <w:sz w:val="22"/>
        </w:rPr>
        <w:t xml:space="preserve">(47,80GA,SF2298) </w:t>
      </w:r>
      <w:r>
        <w:rPr>
          <w:rFonts w:ascii="Times New Roman" w:hAnsi="Times New Roman"/>
          <w:b/>
          <w:i w:val="false"/>
          <w:color w:val="000000"/>
          <w:sz w:val="22"/>
        </w:rPr>
        <w:t xml:space="preserve">Reports. </w:t>
      </w:r>
      <w:r>
        <w:rPr>
          <w:rFonts w:ascii="Times New Roman" w:hAnsi="Times New Roman"/>
          <w:b w:val="false"/>
          <w:i w:val="false"/>
          <w:color w:val="000000"/>
          <w:sz w:val="22"/>
        </w:rPr>
        <w:t>Annually and at the completion of each project, each grant recipient shall make a report to the secretary. The report shall include the expenditures made on the project and shall also include an assessment of the impact of the project.</w:t>
      </w:r>
    </w:p>
    <w:p>
      <w:pPr>
        <w:spacing w:before="210" w:after="0"/>
        <w:ind w:left="120"/>
        <w:jc w:val="both"/>
      </w:pPr>
      <w:r>
        <w:rPr>
          <w:rFonts w:ascii="Times New Roman" w:hAnsi="Times New Roman"/>
          <w:b/>
          <w:i w:val="false"/>
          <w:color w:val="000000"/>
          <w:sz w:val="22"/>
        </w:rPr>
        <w:t>721—27.9</w:t>
      </w:r>
      <w:r>
        <w:rPr>
          <w:rFonts w:ascii="Times New Roman" w:hAnsi="Times New Roman"/>
          <w:b/>
          <w:i w:val="false"/>
          <w:color w:val="000000"/>
          <w:sz w:val="22"/>
        </w:rPr>
        <w:t xml:space="preserve">(47,80GA,SF2298) </w:t>
      </w:r>
      <w:r>
        <w:rPr>
          <w:rFonts w:ascii="Times New Roman" w:hAnsi="Times New Roman"/>
          <w:b/>
          <w:i w:val="false"/>
          <w:color w:val="000000"/>
          <w:sz w:val="22"/>
        </w:rPr>
        <w:t xml:space="preserve">Access to records. </w:t>
      </w:r>
      <w:r>
        <w:rPr>
          <w:rFonts w:ascii="Times New Roman" w:hAnsi="Times New Roman"/>
          <w:b w:val="false"/>
          <w:i w:val="false"/>
          <w:color w:val="000000"/>
          <w:sz w:val="22"/>
        </w:rPr>
        <w:t>Representatives of the secretary, the state auditor, and appropriate federal authorities shall have access to all books, accounts, and documents belonging to or in use by the grant recipient and pertaining to the receipt of assistance through this program.</w:t>
      </w:r>
    </w:p>
    <w:p>
      <w:pPr>
        <w:spacing w:before="0" w:after="0"/>
        <w:ind w:left="120"/>
        <w:jc w:val="left"/>
      </w:pPr>
      <w:r>
        <w:rPr>
          <w:rFonts w:ascii="Times New Roman" w:hAnsi="Times New Roman"/>
          <w:b w:val="false"/>
          <w:i w:val="false"/>
          <w:color w:val="000000"/>
          <w:sz w:val="22"/>
        </w:rPr>
        <w:t xml:space="preserve">These rules are intended to implement </w:t>
      </w:r>
      <w:r>
        <w:rPr>
          <w:rFonts w:ascii="Times New Roman" w:hAnsi="Times New Roman"/>
          <w:b w:val="false"/>
          <w:i w:val="false"/>
          <w:color w:val="000000"/>
          <w:sz w:val="22"/>
        </w:rPr>
        <w:t>2004 Iowa Acts, Senate File 2298</w:t>
      </w:r>
      <w:r>
        <w:rPr>
          <w:rFonts w:ascii="Times New Roman" w:hAnsi="Times New Roman"/>
          <w:b w:val="false"/>
          <w:i w:val="false"/>
          <w:color w:val="000000"/>
          <w:sz w:val="22"/>
        </w:rPr>
        <w:t xml:space="preserve">, Iowa Code section </w:t>
      </w:r>
      <w:hyperlink r:id="rId6">
        <w:r>
          <w:rPr>
            <w:rStyle w:val="Hyperlink"/>
            <w:rFonts w:ascii="Times New Roman" w:hAnsi="Times New Roman"/>
            <w:b w:val="false"/>
            <w:i w:val="false"/>
            <w:color w:val="000000"/>
            <w:sz w:val="22"/>
          </w:rPr>
          <w:t>47.1</w:t>
        </w:r>
      </w:hyperlink>
      <w:r>
        <w:rPr>
          <w:rFonts w:ascii="Times New Roman" w:hAnsi="Times New Roman"/>
          <w:b w:val="false"/>
          <w:i w:val="false"/>
          <w:color w:val="000000"/>
          <w:sz w:val="22"/>
        </w:rPr>
        <w:t xml:space="preserve"> and the </w:t>
      </w:r>
      <w:r>
        <w:rPr>
          <w:rFonts w:ascii="Times New Roman" w:hAnsi="Times New Roman"/>
          <w:b w:val="false"/>
          <w:i w:val="false"/>
          <w:color w:val="000000"/>
          <w:sz w:val="22"/>
        </w:rPr>
        <w:t>Help America Vote Act, Public Law 107-252</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8/20/04—published 9/15/04, effective 8/20/04]</w:t>
      </w:r>
    </w:p>
    <w:p>
      <w:pPr>
        <w:spacing w:before="0" w:after="0"/>
        <w:ind w:left="120"/>
        <w:jc w:val="center"/>
      </w:pPr>
      <w:r>
        <w:rPr>
          <w:rFonts w:ascii="Times New Roman" w:hAnsi="Times New Roman"/>
          <w:b w:val="false"/>
          <w:i w:val="false"/>
          <w:color w:val="000000"/>
          <w:sz w:val="21"/>
        </w:rPr>
        <w:t>[Filed 10/21/04, Notice 9/15/04—published 11/10/04, effective 12/15/04]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www.sos.state.ia.us" Type="http://schemas.openxmlformats.org/officeDocument/2006/relationships/hyperlink" Id="rId5"/>
    <Relationship TargetMode="External" Target="https://www.legis.iowa.gov/docs/ico/chapter/47.1.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