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ELECTION ADMINISTRATION—ADMINISTRATIVE COMPLAINT PROCEDURE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721—25.1</w:t>
      </w:r>
      <w:r>
        <w:rPr>
          <w:rFonts w:ascii="Times New Roman" w:hAnsi="Times New Roman"/>
          <w:b/>
          <w:i w:val="false"/>
          <w:color w:val="000000"/>
          <w:sz w:val="22"/>
        </w:rPr>
        <w:t xml:space="preserve">(17A,39A,47)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w:t>
      </w:r>
      <w:r>
        <w:rPr>
          <w:rFonts w:ascii="Times New Roman" w:hAnsi="Times New Roman"/>
          <w:b w:val="false"/>
          <w:i w:val="false"/>
          <w:color w:val="000000"/>
          <w:sz w:val="22"/>
        </w:rPr>
        <w:t> </w:t>
      </w:r>
      <w:r>
        <w:rPr>
          <w:rFonts w:ascii="Times New Roman" w:hAnsi="Times New Roman"/>
          <w:b w:val="false"/>
          <w:i/>
          <w:color w:val="000000"/>
          <w:sz w:val="22"/>
        </w:rPr>
        <w:t xml:space="preserve">Scope of jurisdiction. </w:t>
      </w:r>
      <w:r>
        <w:rPr>
          <w:rFonts w:ascii="Times New Roman" w:hAnsi="Times New Roman"/>
          <w:b w:val="false"/>
          <w:i w:val="false"/>
          <w:color w:val="000000"/>
          <w:sz w:val="22"/>
        </w:rPr>
        <w:t>The administrative complaint procedure set forth in this chapter is established to comply with Title IV, Section 402, of the Help America Vote Act of 2002, Public Law 107-252, 42 U.S.C. 15512. The procedure is available to any person who believes that a violation of any provision of Title III of the Help America Vote Act of 2002, Public Law 107-252, 42 U.S.C. 15481-15485, has occurred, is occurring, or is about to occur in connection with a federal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w:t>
      </w:r>
      <w:r>
        <w:rPr>
          <w:rFonts w:ascii="Times New Roman" w:hAnsi="Times New Roman"/>
          <w:b w:val="false"/>
          <w:i w:val="false"/>
          <w:color w:val="000000"/>
          <w:sz w:val="22"/>
        </w:rPr>
        <w:t> </w:t>
      </w:r>
      <w:r>
        <w:rPr>
          <w:rFonts w:ascii="Times New Roman" w:hAnsi="Times New Roman"/>
          <w:b w:val="false"/>
          <w:i/>
          <w:color w:val="000000"/>
          <w:sz w:val="22"/>
        </w:rPr>
        <w:t xml:space="preserve">Timely resolution. </w:t>
      </w:r>
      <w:r>
        <w:rPr>
          <w:rFonts w:ascii="Times New Roman" w:hAnsi="Times New Roman"/>
          <w:b w:val="false"/>
          <w:i w:val="false"/>
          <w:color w:val="000000"/>
          <w:sz w:val="22"/>
        </w:rPr>
        <w:t xml:space="preserve">A final determination with respect to a complaint shall be issued within 90 days of the date the complaint is filed with the state commissioner of elections, unless the complainant consents to a longer period for making such determination. If a determination is not issued within this 90-day period and the complainant does not agree to allow a longer period for making the determination, the complaint shall be resolved within 60 days pursuant to the alternate dispute resolution procedure established in rule </w:t>
      </w:r>
      <w:hyperlink r:id="rId5">
        <w:r>
          <w:rPr>
            <w:rStyle w:val="Hyperlink"/>
            <w:rFonts w:ascii="Times New Roman" w:hAnsi="Times New Roman"/>
            <w:b w:val="false"/>
            <w:i w:val="false"/>
            <w:color w:val="000000"/>
            <w:sz w:val="22"/>
          </w:rPr>
          <w:t>721—25.34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chapter, the following terms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means the person who files a complaint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election” </w:t>
      </w:r>
      <w:r>
        <w:rPr>
          <w:rFonts w:ascii="Times New Roman" w:hAnsi="Times New Roman"/>
          <w:b w:val="false"/>
          <w:i w:val="false"/>
          <w:color w:val="000000"/>
          <w:sz w:val="22"/>
        </w:rPr>
        <w:t>means a primary or general election at which a federal office appears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complainant, respondent, and any other person or persons allowed by the presiding officer to intervene in pending complaint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state commissioner of elections or an alternate decision maker designated pursuant to rule </w:t>
      </w:r>
      <w:hyperlink r:id="rId6">
        <w:r>
          <w:rPr>
            <w:rStyle w:val="Hyperlink"/>
            <w:rFonts w:ascii="Times New Roman" w:hAnsi="Times New Roman"/>
            <w:b w:val="false"/>
            <w:i w:val="false"/>
            <w:color w:val="000000"/>
            <w:sz w:val="22"/>
          </w:rPr>
          <w:t>721—25.7</w:t>
        </w:r>
      </w:hyperlink>
      <w:r>
        <w:rPr>
          <w:rFonts w:ascii="Times New Roman" w:hAnsi="Times New Roman"/>
          <w:b w:val="false"/>
          <w:i w:val="false"/>
          <w:color w:val="000000"/>
          <w:sz w:val="22"/>
        </w:rPr>
        <w:t>(17A,39A,47).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any state or local election official whose actions are asserted, in a complaint under this chapter, to be in violation of Title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or local election official” </w:t>
      </w:r>
      <w:r>
        <w:rPr>
          <w:rFonts w:ascii="Times New Roman" w:hAnsi="Times New Roman"/>
          <w:b w:val="false"/>
          <w:i w:val="false"/>
          <w:color w:val="000000"/>
          <w:sz w:val="22"/>
        </w:rPr>
        <w:t>means the state commissioner of elections, any county commissioner of elections, or any person employed or appointed by either the state commissioner of elections or a county commissioner of elections whose responsibilities include or directly relate to the administration of any federal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III” </w:t>
      </w:r>
      <w:r>
        <w:rPr>
          <w:rFonts w:ascii="Times New Roman" w:hAnsi="Times New Roman"/>
          <w:b w:val="false"/>
          <w:i w:val="false"/>
          <w:color w:val="000000"/>
          <w:sz w:val="22"/>
        </w:rPr>
        <w:t>means Title III of the Help America Vote Act of 2002, Public Law 107-252, codified at 42 United States Code 15481-15485.</w:t>
      </w:r>
    </w:p>
    <w:p>
      <w:pPr>
        <w:spacing w:before="210" w:after="0"/>
        <w:ind w:left="120"/>
        <w:jc w:val="both"/>
      </w:pPr>
      <w:r>
        <w:rPr>
          <w:rFonts w:ascii="Times New Roman" w:hAnsi="Times New Roman"/>
          <w:b/>
          <w:i w:val="false"/>
          <w:color w:val="000000"/>
          <w:sz w:val="22"/>
        </w:rPr>
        <w:t>721—25.2</w:t>
      </w:r>
      <w:r>
        <w:rPr>
          <w:rFonts w:ascii="Times New Roman" w:hAnsi="Times New Roman"/>
          <w:b/>
          <w:i w:val="false"/>
          <w:color w:val="000000"/>
          <w:sz w:val="22"/>
        </w:rPr>
        <w:t xml:space="preserve">(17A,39A,47) </w:t>
      </w:r>
      <w:r>
        <w:rPr>
          <w:rFonts w:ascii="Times New Roman" w:hAnsi="Times New Roman"/>
          <w:b/>
          <w:i w:val="false"/>
          <w:color w:val="000000"/>
          <w:sz w:val="22"/>
        </w:rPr>
        <w:t xml:space="preserve">Form of complaint. </w:t>
      </w:r>
      <w:r>
        <w:rPr>
          <w:rFonts w:ascii="Times New Roman" w:hAnsi="Times New Roman"/>
          <w:b w:val="false"/>
          <w:i w:val="false"/>
          <w:color w:val="000000"/>
          <w:sz w:val="22"/>
        </w:rPr>
        <w:t>This complaint procedure is limited to allegations of violations of Title III in a federal election. Any person who believes that there is a violation of any provision of Title III, including a violation which has occurred, is occurring, or is about to occur, by any state or local election official may file a complaint under this chapter. The complainant may either submit a complaint on a form provided by the state commissioner of elections or in any other form that complies with this rule. All complaints shall be in writing, signed and notarized, and be sworn under oath. The complaint must identify the complainant by name and mailing address and include a clear and concise description of the alleged violation that is sufficiently detailed to apprise both the respondent and the presiding officer of the nature of the alleged violation. The complainant shall provide copies of any written documentation supporting the allegations set forth in the complaint as attachments to the complaint.</w:t>
      </w:r>
    </w:p>
    <w:p>
      <w:pPr>
        <w:spacing w:before="0" w:after="0"/>
        <w:ind w:left="120"/>
        <w:jc w:val="both"/>
      </w:pPr>
      <w:r>
        <w:rPr>
          <w:rFonts w:ascii="Times New Roman" w:hAnsi="Times New Roman"/>
          <w:b/>
          <w:i w:val="false"/>
          <w:color w:val="000000"/>
          <w:sz w:val="22"/>
        </w:rPr>
        <w:t>721—25.3</w:t>
      </w:r>
      <w:r>
        <w:rPr>
          <w:rFonts w:ascii="Times New Roman" w:hAnsi="Times New Roman"/>
          <w:b/>
          <w:i w:val="false"/>
          <w:color w:val="000000"/>
          <w:sz w:val="22"/>
        </w:rPr>
        <w:t xml:space="preserve">(17A,39A,47) </w:t>
      </w:r>
      <w:r>
        <w:rPr>
          <w:rFonts w:ascii="Times New Roman" w:hAnsi="Times New Roman"/>
          <w:b/>
          <w:i w:val="false"/>
          <w:color w:val="000000"/>
          <w:sz w:val="22"/>
        </w:rPr>
        <w:t xml:space="preserve">Filing, service, and initial review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The complaint shall be filed with the state commissioner of elections and shall be accompanied by adequate proof of service of the complaint, as required by subrule </w:t>
      </w:r>
      <w:hyperlink r:id="rId7">
        <w:r>
          <w:rPr>
            <w:rStyle w:val="Hyperlink"/>
            <w:rFonts w:ascii="Times New Roman" w:hAnsi="Times New Roman"/>
            <w:b w:val="false"/>
            <w:i w:val="false"/>
            <w:color w:val="000000"/>
            <w:sz w:val="22"/>
          </w:rPr>
          <w:t>25.3(2)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Service of a complaint upon each respondent shall be made by personal service as in civil actions, by restricted certified mail, return receipt requested, or by the acceptance of service by the respondent or the respondent’s duly authorized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Initial review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of elections within the office of the state commissioner of elections shall examine each complaint to determine whether it falls within the jurisdiction of these rules and may reject it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not signed, notarized, or sworn under oath;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does not identify the complainant or include an adequate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does not, on its face, allege a violation of Title III with regard to a federal election;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More than 90 days have elapsed since the final certification of the results of the federal election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determination as to jurisdiction shall be made within five business days of the date of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complaint is rejected, the director shall issue a written statement specifying the reasons for the rejection and provide copies of the statement to the complainant and all respondents by regular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complaint is accepted, the complaint and any accompanying documentation shall be forwarded to the presiding officer for further action in accordance with these rules.</w:t>
      </w:r>
    </w:p>
    <w:p>
      <w:pPr>
        <w:spacing w:before="0" w:after="0"/>
        <w:ind w:left="120"/>
        <w:jc w:val="both"/>
      </w:pPr>
      <w:r>
        <w:rPr>
          <w:rFonts w:ascii="Times New Roman" w:hAnsi="Times New Roman"/>
          <w:b/>
          <w:i w:val="false"/>
          <w:color w:val="000000"/>
          <w:sz w:val="22"/>
        </w:rPr>
        <w:t>721—25.4</w:t>
      </w:r>
      <w:r>
        <w:rPr>
          <w:rFonts w:ascii="Times New Roman" w:hAnsi="Times New Roman"/>
          <w:b/>
          <w:i w:val="false"/>
          <w:color w:val="000000"/>
          <w:sz w:val="22"/>
        </w:rPr>
        <w:t xml:space="preserve">(17A,39A,47) </w:t>
      </w:r>
      <w:r>
        <w:rPr>
          <w:rFonts w:ascii="Times New Roman" w:hAnsi="Times New Roman"/>
          <w:b/>
          <w:i w:val="false"/>
          <w:color w:val="000000"/>
          <w:sz w:val="22"/>
        </w:rPr>
        <w:t xml:space="preserve">Notice of proceedings. </w:t>
      </w:r>
      <w:r>
        <w:rPr>
          <w:rFonts w:ascii="Times New Roman" w:hAnsi="Times New Roman"/>
          <w:b w:val="false"/>
          <w:i w:val="false"/>
          <w:color w:val="000000"/>
          <w:sz w:val="22"/>
        </w:rPr>
        <w:t>Upon receipt of a complaint from the director of elections, the presiding officer shall establish a schedule under which the complainant and respondent(s), as well as any other interested persons, may file any written submissions or documentary evidence concerning the complaint and under which a hearing on the complaint will be conducted, if requested. The presiding officer shall serve notice of the proceeding upon the complainant and the respondent(s). The notice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proceeding is being conducted;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reference to the particular section or sections of Title III which are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reference to the procedural rules governing conduct of the proceeding;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short and plain statement of the matters asserted in the complaint;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Identification of all parties or known representatives of parties;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deadline for submission of an answer by the respondent(s) or written documentation by any interested persons;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deadline by which either party may request an evidentiary hearing; and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other information deemed appropriate.</w:t>
      </w:r>
    </w:p>
    <w:p>
      <w:pPr>
        <w:spacing w:before="210" w:after="0"/>
        <w:ind w:left="120"/>
        <w:jc w:val="both"/>
      </w:pPr>
      <w:r>
        <w:rPr>
          <w:rFonts w:ascii="Times New Roman" w:hAnsi="Times New Roman"/>
          <w:b/>
          <w:i w:val="false"/>
          <w:color w:val="000000"/>
          <w:sz w:val="22"/>
        </w:rPr>
        <w:t>721—25.5</w:t>
      </w:r>
      <w:r>
        <w:rPr>
          <w:rFonts w:ascii="Times New Roman" w:hAnsi="Times New Roman"/>
          <w:b/>
          <w:i w:val="false"/>
          <w:color w:val="000000"/>
          <w:sz w:val="22"/>
        </w:rPr>
        <w:t xml:space="preserve">(17A,39A,47)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The presiding officer, or a designated staff member, may attempt to informally settle a complaint proceeding before or after a notice of the proceeding is issued. If a staff member is designated to initiate settlement discussions, the designee shall have authority to negotiate on behalf of the presiding officer, but shall not have authority to bind the presiding officer to particular terms of settlement. If the presiding officer and respondent(s) agree to settlement of a pending complaint, a consent order shall be issued. By electing to sign a consent order, the respondent(s) waives all rights to a hearing and all attendant procedures. The consent order shall have the force and effect of a final order of the presiding officer and shall be served and published as provided in rule </w:t>
      </w:r>
      <w:hyperlink r:id="rId8">
        <w:r>
          <w:rPr>
            <w:rStyle w:val="Hyperlink"/>
            <w:rFonts w:ascii="Times New Roman" w:hAnsi="Times New Roman"/>
            <w:b w:val="false"/>
            <w:i w:val="false"/>
            <w:color w:val="000000"/>
            <w:sz w:val="22"/>
          </w:rPr>
          <w:t>721—25.28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721—25.6</w:t>
      </w:r>
      <w:r>
        <w:rPr>
          <w:rFonts w:ascii="Times New Roman" w:hAnsi="Times New Roman"/>
          <w:b/>
          <w:i w:val="false"/>
          <w:color w:val="000000"/>
          <w:sz w:val="22"/>
        </w:rPr>
        <w:t xml:space="preserve">(17A,39A,47) </w:t>
      </w:r>
      <w:r>
        <w:rPr>
          <w:rFonts w:ascii="Times New Roman" w:hAnsi="Times New Roman"/>
          <w:b/>
          <w:i w:val="false"/>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days of the date of service of notice of the proceedings, each respondent shall file an answer to the allegations contained therein and serve a copy of the answer upon all parties to the proceedings, pursuant to rule </w:t>
      </w:r>
      <w:hyperlink r:id="rId9">
        <w:r>
          <w:rPr>
            <w:rStyle w:val="Hyperlink"/>
            <w:rFonts w:ascii="Times New Roman" w:hAnsi="Times New Roman"/>
            <w:b w:val="false"/>
            <w:i w:val="false"/>
            <w:color w:val="000000"/>
            <w:sz w:val="22"/>
          </w:rPr>
          <w:t>721—25.16</w:t>
        </w:r>
      </w:hyperlink>
      <w:r>
        <w:rPr>
          <w:rFonts w:ascii="Times New Roman" w:hAnsi="Times New Roman"/>
          <w:b w:val="false"/>
          <w:i w:val="false"/>
          <w:color w:val="000000"/>
          <w:sz w:val="22"/>
        </w:rPr>
        <w:t>(17A,39A,47).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val="false"/>
          <w:color w:val="000000"/>
          <w:sz w:val="22"/>
        </w:rPr>
        <w:t>The answer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and the respondent’s counsel,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statement admitting or denying each allegation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val="false"/>
          <w:color w:val="000000"/>
          <w:sz w:val="22"/>
        </w:rPr>
        <w:t>The answer may include any additional facts or information which the respondent deems relevant to the issues and which may be of assistance in the ultimate determination of the proceeding, including explanations, remarks or statements of mitigating circumstances, and any relevant documentation.</w:t>
      </w:r>
    </w:p>
    <w:p>
      <w:pPr>
        <w:spacing w:before="0" w:after="0"/>
        <w:ind w:left="120"/>
        <w:jc w:val="both"/>
      </w:pPr>
      <w:r>
        <w:rPr>
          <w:rFonts w:ascii="Times New Roman" w:hAnsi="Times New Roman"/>
          <w:b/>
          <w:i w:val="false"/>
          <w:color w:val="000000"/>
          <w:sz w:val="22"/>
        </w:rPr>
        <w:t>721—25.7</w:t>
      </w:r>
      <w:r>
        <w:rPr>
          <w:rFonts w:ascii="Times New Roman" w:hAnsi="Times New Roman"/>
          <w:b/>
          <w:i w:val="false"/>
          <w:color w:val="000000"/>
          <w:sz w:val="22"/>
        </w:rPr>
        <w:t xml:space="preserve">(17A,39A,47)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25.7(1)</w:t>
      </w:r>
      <w:r>
        <w:rPr>
          <w:rFonts w:ascii="Times New Roman" w:hAnsi="Times New Roman"/>
          <w:b w:val="false"/>
          <w:i w:val="false"/>
          <w:color w:val="000000"/>
          <w:sz w:val="22"/>
        </w:rPr>
        <w:t> </w:t>
      </w:r>
      <w:r>
        <w:rPr>
          <w:rFonts w:ascii="Times New Roman" w:hAnsi="Times New Roman"/>
          <w:b w:val="false"/>
          <w:i w:val="false"/>
          <w:color w:val="000000"/>
          <w:sz w:val="22"/>
        </w:rPr>
        <w:t>In complaint proceedings in which all of the respondents are local election officials, the presiding officer shall be the state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complaint proceedings in which one of the respondents is the state commissioner of elections or a person or persons employed or appointed by the state commissioner of elections, the presiding officer shall be a panel consisting of all members of the state voter registration commission appointed pursuant to Iowa Code section </w:t>
      </w:r>
      <w:hyperlink r:id="rId10">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except the state commissioner of elections or the state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25.7(3)</w:t>
      </w:r>
      <w:r>
        <w:rPr>
          <w:rFonts w:ascii="Times New Roman" w:hAnsi="Times New Roman"/>
          <w:b w:val="false"/>
          <w:i w:val="false"/>
          <w:color w:val="000000"/>
          <w:sz w:val="22"/>
        </w:rPr>
        <w:t> </w:t>
      </w:r>
      <w:r>
        <w:rPr>
          <w:rFonts w:ascii="Times New Roman" w:hAnsi="Times New Roman"/>
          <w:b w:val="false"/>
          <w:i w:val="false"/>
          <w:color w:val="000000"/>
          <w:sz w:val="22"/>
        </w:rPr>
        <w:t>Any party to a complaint proceeding who wishes to request that the presiding officer be an administrative law judge employed by the department of inspections and appeals must file a written request within five days after service of a notice of proceedings which identifies the presiding officer as the state commissioner of elections or voter registration commission. The state commissioner of elections or voter registration commission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under whose authority the proceeding is to take place is not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proceeding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assist the presiding officer in resolving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25.7(4)</w:t>
      </w:r>
      <w:r>
        <w:rPr>
          <w:rFonts w:ascii="Times New Roman" w:hAnsi="Times New Roman"/>
          <w:b w:val="false"/>
          <w:i w:val="false"/>
          <w:color w:val="000000"/>
          <w:sz w:val="22"/>
        </w:rPr>
        <w:t> </w:t>
      </w:r>
      <w:r>
        <w:rPr>
          <w:rFonts w:ascii="Times New Roman" w:hAnsi="Times New Roman"/>
          <w:b w:val="false"/>
          <w:i w:val="false"/>
          <w:color w:val="000000"/>
          <w:sz w:val="22"/>
        </w:rPr>
        <w:t>The originally designated presiding officer shall issue a written ruling specifying the grounds for the ruling within ten days after a request for an administrative law judge is filed. If the request is granted, the administrative law judge assigned to act as presiding officer and issue a proposed decision shall have a J.D. degree, unless waived by the originally designated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25.7(5)</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of elections or voter registration commission, when acting as presiding officer, may request that an administrative law judge perform certain functions as an aid to the presiding officer, such as ruling on prehearing motions, conducting the prehearing conference, ruling on evidentiary objections at hearing, assisting in deliberations, or drafting the written decision for review by the state commissioner of elections or voter registration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25.7(6)</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whether the judge is acting as presiding officer or assistant to the state commissioner or voter registration commission are subject to appeal to the originally designated presiding officer pursuant to rules </w:t>
      </w:r>
      <w:hyperlink r:id="rId11">
        <w:r>
          <w:rPr>
            <w:rStyle w:val="Hyperlink"/>
            <w:rFonts w:ascii="Times New Roman" w:hAnsi="Times New Roman"/>
            <w:b w:val="false"/>
            <w:i w:val="false"/>
            <w:color w:val="000000"/>
            <w:sz w:val="22"/>
          </w:rPr>
          <w:t>721—25.29</w:t>
        </w:r>
      </w:hyperlink>
      <w:r>
        <w:rPr>
          <w:rFonts w:ascii="Times New Roman" w:hAnsi="Times New Roman"/>
          <w:b w:val="false"/>
          <w:i w:val="false"/>
          <w:color w:val="000000"/>
          <w:sz w:val="22"/>
        </w:rPr>
        <w:t xml:space="preserve">(17A) and </w:t>
      </w:r>
      <w:hyperlink r:id="rId12">
        <w:r>
          <w:rPr>
            <w:rStyle w:val="Hyperlink"/>
            <w:rFonts w:ascii="Times New Roman" w:hAnsi="Times New Roman"/>
            <w:b w:val="false"/>
            <w:i w:val="false"/>
            <w:color w:val="000000"/>
            <w:sz w:val="22"/>
          </w:rPr>
          <w:t>25.30</w:t>
        </w:r>
      </w:hyperlink>
      <w:r>
        <w:rPr>
          <w:rFonts w:ascii="Times New Roman" w:hAnsi="Times New Roman"/>
          <w:b w:val="false"/>
          <w:i w:val="false"/>
          <w:color w:val="000000"/>
          <w:sz w:val="22"/>
        </w:rPr>
        <w:t>(17A). A party must timely seek intra-agency appeal of prehearing rulings or proposed decisions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25.7(7)</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state commissioner or voter registration commission, when reviewing a proposed decision of an administrative law judge, shall have the powers of and shall comply with the provisions of this chapter which apply to presiding officers.</w:t>
      </w:r>
    </w:p>
    <w:p>
      <w:pPr>
        <w:spacing w:before="0" w:after="0"/>
        <w:ind w:left="120"/>
        <w:jc w:val="both"/>
      </w:pPr>
      <w:r>
        <w:rPr>
          <w:rFonts w:ascii="Times New Roman" w:hAnsi="Times New Roman"/>
          <w:b/>
          <w:i w:val="false"/>
          <w:color w:val="000000"/>
          <w:sz w:val="22"/>
        </w:rPr>
        <w:t>721—25.8</w:t>
      </w:r>
      <w:r>
        <w:rPr>
          <w:rFonts w:ascii="Times New Roman" w:hAnsi="Times New Roman"/>
          <w:b/>
          <w:i w:val="false"/>
          <w:color w:val="000000"/>
          <w:sz w:val="22"/>
        </w:rPr>
        <w:t xml:space="preserve">(17A,39A,47) </w:t>
      </w:r>
      <w:r>
        <w:rPr>
          <w:rFonts w:ascii="Times New Roman" w:hAnsi="Times New Roman"/>
          <w:b/>
          <w:i w:val="false"/>
          <w:color w:val="000000"/>
          <w:sz w:val="22"/>
        </w:rPr>
        <w:t xml:space="preserve">Proceedings based upon written submissions.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25.8(1)</w:t>
      </w:r>
      <w:r>
        <w:rPr>
          <w:rFonts w:ascii="Times New Roman" w:hAnsi="Times New Roman"/>
          <w:b w:val="false"/>
          <w:i w:val="false"/>
          <w:color w:val="000000"/>
          <w:sz w:val="22"/>
        </w:rPr>
        <w:t> </w:t>
      </w:r>
      <w:r>
        <w:rPr>
          <w:rFonts w:ascii="Times New Roman" w:hAnsi="Times New Roman"/>
          <w:b w:val="false"/>
          <w:i w:val="false"/>
          <w:color w:val="000000"/>
          <w:sz w:val="22"/>
        </w:rPr>
        <w:t>In order to expedite resolution of complaint proceedings, complaints shall be evaluated and a decision rendered based upon written submissions unless the complainant or respondent requests a hearing on the record or the presiding officer determines that an evidentiary hearing will assist in resolution of outstanding factual disputes.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not issue a decision upon the written submissions prior to the expiration of the time within which the complainant and respondent may request a hearing on the record unless both the complainant and respondent file a written waiver of the right to hearing under these rules.</w:t>
      </w:r>
    </w:p>
    <w:p>
      <w:pPr>
        <w:spacing w:before="0" w:after="0"/>
        <w:ind w:left="120"/>
        <w:jc w:val="both"/>
      </w:pPr>
      <w:r>
        <w:rPr>
          <w:rFonts w:ascii="Times New Roman" w:hAnsi="Times New Roman"/>
          <w:b/>
          <w:i w:val="false"/>
          <w:color w:val="000000"/>
          <w:sz w:val="22"/>
        </w:rPr>
        <w:t>721—25.9</w:t>
      </w:r>
      <w:r>
        <w:rPr>
          <w:rFonts w:ascii="Times New Roman" w:hAnsi="Times New Roman"/>
          <w:b/>
          <w:i w:val="false"/>
          <w:color w:val="000000"/>
          <w:sz w:val="22"/>
        </w:rPr>
        <w:t xml:space="preserve">(17A,39A,47) </w:t>
      </w:r>
      <w:r>
        <w:rPr>
          <w:rFonts w:ascii="Times New Roman" w:hAnsi="Times New Roman"/>
          <w:b/>
          <w:i w:val="false"/>
          <w:color w:val="000000"/>
          <w:sz w:val="22"/>
        </w:rPr>
        <w:t xml:space="preserve">Written decisions, available remedies.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color w:val="000000"/>
          <w:sz w:val="22"/>
        </w:rPr>
        <w:t xml:space="preserve">Decision format. </w:t>
      </w:r>
      <w:r>
        <w:rPr>
          <w:rFonts w:ascii="Times New Roman" w:hAnsi="Times New Roman"/>
          <w:b w:val="false"/>
          <w:i w:val="false"/>
          <w:color w:val="000000"/>
          <w:sz w:val="22"/>
        </w:rPr>
        <w:t xml:space="preserve">All final determinations resolving complaint proceedings shall be in writing and shall include findings of fact and conclusions of law as required by Iowa Code section </w:t>
      </w:r>
      <w:hyperlink r:id="rId13">
        <w:r>
          <w:rPr>
            <w:rStyle w:val="Hyperlink"/>
            <w:rFonts w:ascii="Times New Roman" w:hAnsi="Times New Roman"/>
            <w:b w:val="false"/>
            <w:i w:val="false"/>
            <w:color w:val="000000"/>
            <w:sz w:val="22"/>
          </w:rPr>
          <w:t>17A.16(1)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color w:val="000000"/>
          <w:sz w:val="22"/>
        </w:rPr>
        <w:t xml:space="preserve">Violation found—remedies. </w:t>
      </w:r>
      <w:r>
        <w:rPr>
          <w:rFonts w:ascii="Times New Roman" w:hAnsi="Times New Roman"/>
          <w:b w:val="false"/>
          <w:i w:val="false"/>
          <w:color w:val="000000"/>
          <w:sz w:val="22"/>
        </w:rPr>
        <w:t>If, based upon a preponderance of evidence provided through written submissions or at hearing, the presiding officer determines that a violation of Title III has been established, the presiding officer shall issue an order providing for an appropriate remedy. The remedy so provided shall be designed to ensure compliance with the requirements of Title III and may include an order to any respondent directing the respondent to take specified action or prohibiting the respondent from taking specified action with respect to a past, immediately pending, or future election. The remedy shall not include an award of monetary damages or attorney’s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w:t>
      </w:r>
      <w:r>
        <w:rPr>
          <w:rFonts w:ascii="Times New Roman" w:hAnsi="Times New Roman"/>
          <w:b w:val="false"/>
          <w:i w:val="false"/>
          <w:color w:val="000000"/>
          <w:sz w:val="22"/>
        </w:rPr>
        <w:t> </w:t>
      </w:r>
      <w:r>
        <w:rPr>
          <w:rFonts w:ascii="Times New Roman" w:hAnsi="Times New Roman"/>
          <w:b w:val="false"/>
          <w:i/>
          <w:color w:val="000000"/>
          <w:sz w:val="22"/>
        </w:rPr>
        <w:t xml:space="preserve">No violation found. </w:t>
      </w:r>
      <w:r>
        <w:rPr>
          <w:rFonts w:ascii="Times New Roman" w:hAnsi="Times New Roman"/>
          <w:b w:val="false"/>
          <w:i w:val="false"/>
          <w:color w:val="000000"/>
          <w:sz w:val="22"/>
        </w:rPr>
        <w:t>If, based upon a preponderance of evidence provided through written submissions or at hearing, the presiding officer determines that no violation of Title III has been established, the presiding officer shall issue an order dismissing the complaint.</w:t>
      </w:r>
    </w:p>
    <w:p>
      <w:pPr>
        <w:spacing w:before="0" w:after="0"/>
        <w:ind w:left="120"/>
        <w:jc w:val="both"/>
      </w:pPr>
      <w:r>
        <w:rPr>
          <w:rFonts w:ascii="Times New Roman" w:hAnsi="Times New Roman"/>
          <w:b/>
          <w:i w:val="false"/>
          <w:color w:val="000000"/>
          <w:sz w:val="22"/>
        </w:rPr>
        <w:t>721—25.10</w:t>
      </w:r>
      <w:r>
        <w:rPr>
          <w:rFonts w:ascii="Times New Roman" w:hAnsi="Times New Roman"/>
          <w:b/>
          <w:i w:val="false"/>
          <w:color w:val="000000"/>
          <w:sz w:val="22"/>
        </w:rPr>
        <w:t xml:space="preserve">(17A,39A,47)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25.10(1)</w:t>
      </w:r>
      <w:r>
        <w:rPr>
          <w:rFonts w:ascii="Times New Roman" w:hAnsi="Times New Roman"/>
          <w:b w:val="false"/>
          <w:i w:val="false"/>
          <w:color w:val="000000"/>
          <w:sz w:val="22"/>
        </w:rPr>
        <w:t> </w:t>
      </w:r>
      <w:r>
        <w:rPr>
          <w:rFonts w:ascii="Times New Roman" w:hAnsi="Times New Roman"/>
          <w:b w:val="false"/>
          <w:i w:val="false"/>
          <w:color w:val="000000"/>
          <w:sz w:val="22"/>
        </w:rPr>
        <w:t>If a hearing is desired by the complainant, a request for a hearing on the record shall be included within the complaint or made by submitting a written request for hearing no later than ten days following service of the answer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25.10(2)</w:t>
      </w:r>
      <w:r>
        <w:rPr>
          <w:rFonts w:ascii="Times New Roman" w:hAnsi="Times New Roman"/>
          <w:b w:val="false"/>
          <w:i w:val="false"/>
          <w:color w:val="000000"/>
          <w:sz w:val="22"/>
        </w:rPr>
        <w:t> </w:t>
      </w:r>
      <w:r>
        <w:rPr>
          <w:rFonts w:ascii="Times New Roman" w:hAnsi="Times New Roman"/>
          <w:b w:val="false"/>
          <w:i w:val="false"/>
          <w:color w:val="000000"/>
          <w:sz w:val="22"/>
        </w:rPr>
        <w:t>If a hearing is desired by the respondent, a request for a hearing on the record shall be included within the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25.10(3)</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conducted pursuant to rules </w:t>
      </w:r>
      <w:hyperlink r:id="rId14">
        <w:r>
          <w:rPr>
            <w:rStyle w:val="Hyperlink"/>
            <w:rFonts w:ascii="Times New Roman" w:hAnsi="Times New Roman"/>
            <w:b w:val="false"/>
            <w:i w:val="false"/>
            <w:color w:val="000000"/>
            <w:sz w:val="22"/>
          </w:rPr>
          <w:t>721—25.23</w:t>
        </w:r>
      </w:hyperlink>
      <w:r>
        <w:rPr>
          <w:rFonts w:ascii="Times New Roman" w:hAnsi="Times New Roman"/>
          <w:b w:val="false"/>
          <w:i w:val="false"/>
          <w:color w:val="000000"/>
          <w:sz w:val="22"/>
        </w:rPr>
        <w:t xml:space="preserve">(17A) through </w:t>
      </w:r>
      <w:hyperlink r:id="rId15">
        <w:r>
          <w:rPr>
            <w:rStyle w:val="Hyperlink"/>
            <w:rFonts w:ascii="Times New Roman" w:hAnsi="Times New Roman"/>
            <w:b w:val="false"/>
            <w:i w:val="false"/>
            <w:color w:val="000000"/>
            <w:sz w:val="22"/>
          </w:rPr>
          <w:t>25.26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25.10(4)</w:t>
      </w:r>
      <w:r>
        <w:rPr>
          <w:rFonts w:ascii="Times New Roman" w:hAnsi="Times New Roman"/>
          <w:b w:val="false"/>
          <w:i w:val="false"/>
          <w:color w:val="000000"/>
          <w:sz w:val="22"/>
        </w:rPr>
        <w:t> </w:t>
      </w:r>
      <w:r>
        <w:rPr>
          <w:rFonts w:ascii="Times New Roman" w:hAnsi="Times New Roman"/>
          <w:b w:val="false"/>
          <w:i w:val="false"/>
          <w:color w:val="000000"/>
          <w:sz w:val="22"/>
        </w:rPr>
        <w:t>Notice of the time and place of hearing will be provided to each party by the presiding officer. When possible, a written notice will be served upon each party a minimum of seven days prior to the time of hearing. If the circumstances underlying the complaint necessitate expedited resolution prior to a pending election, the period of notice may be shortened and notice may be provided by facsimile, telephone, or E-mail.</w:t>
      </w:r>
    </w:p>
    <w:p>
      <w:pPr>
        <w:spacing w:before="0" w:after="0"/>
        <w:ind w:left="120"/>
        <w:jc w:val="both"/>
      </w:pPr>
      <w:r>
        <w:rPr>
          <w:rFonts w:ascii="Times New Roman" w:hAnsi="Times New Roman"/>
          <w:b/>
          <w:i w:val="false"/>
          <w:color w:val="000000"/>
          <w:sz w:val="22"/>
        </w:rPr>
        <w:t>721—25.11</w:t>
      </w:r>
      <w:r>
        <w:rPr>
          <w:rFonts w:ascii="Times New Roman" w:hAnsi="Times New Roman"/>
          <w:b/>
          <w:i w:val="false"/>
          <w:color w:val="000000"/>
          <w:sz w:val="22"/>
        </w:rPr>
        <w:t xml:space="preserve">(17A,39A,47)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1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210" w:after="0"/>
        <w:ind w:left="120"/>
        <w:jc w:val="both"/>
      </w:pPr>
      <w:r>
        <w:rPr>
          <w:rFonts w:ascii="Times New Roman" w:hAnsi="Times New Roman"/>
          <w:b/>
          <w:i w:val="false"/>
          <w:color w:val="000000"/>
          <w:sz w:val="22"/>
        </w:rPr>
        <w:t>721—25.12</w:t>
      </w:r>
      <w:r>
        <w:rPr>
          <w:rFonts w:ascii="Times New Roman" w:hAnsi="Times New Roman"/>
          <w:b/>
          <w:i w:val="false"/>
          <w:color w:val="000000"/>
          <w:sz w:val="22"/>
        </w:rPr>
        <w:t xml:space="preserve">(17A,39A,47)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complaint proceeding may waive any provision of this chapter. However, the presiding officer in the presiding officer’s discretion may refuse to give effect to such a waiver when the presiding officer deems the waiver to be inconsistent with the public interest.</w:t>
      </w:r>
    </w:p>
    <w:p>
      <w:pPr>
        <w:spacing w:before="210" w:after="0"/>
        <w:ind w:left="120"/>
        <w:jc w:val="both"/>
      </w:pPr>
      <w:r>
        <w:rPr>
          <w:rFonts w:ascii="Times New Roman" w:hAnsi="Times New Roman"/>
          <w:b/>
          <w:i w:val="false"/>
          <w:color w:val="000000"/>
          <w:sz w:val="22"/>
        </w:rPr>
        <w:t>721—25.13</w:t>
      </w:r>
      <w:r>
        <w:rPr>
          <w:rFonts w:ascii="Times New Roman" w:hAnsi="Times New Roman"/>
          <w:b/>
          <w:i w:val="false"/>
          <w:color w:val="000000"/>
          <w:sz w:val="22"/>
        </w:rPr>
        <w:t xml:space="preserve">(17A,39A,47)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presiding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proceeding, will be considered when location is chosen. Objections, if any, shall be filed with the presiding officer and served on all parties at least three business days in advance of hearing.</w:t>
      </w:r>
    </w:p>
    <w:p>
      <w:pPr>
        <w:spacing w:before="0" w:after="0"/>
        <w:ind w:left="120"/>
        <w:jc w:val="both"/>
      </w:pPr>
      <w:r>
        <w:rPr>
          <w:rFonts w:ascii="Times New Roman" w:hAnsi="Times New Roman"/>
          <w:b/>
          <w:i w:val="false"/>
          <w:color w:val="000000"/>
          <w:sz w:val="22"/>
        </w:rPr>
        <w:t>721—25.14</w:t>
      </w:r>
      <w:r>
        <w:rPr>
          <w:rFonts w:ascii="Times New Roman" w:hAnsi="Times New Roman"/>
          <w:b/>
          <w:i w:val="false"/>
          <w:color w:val="000000"/>
          <w:sz w:val="22"/>
        </w:rPr>
        <w:t xml:space="preserve">(17A,39A,47)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complaint proceeding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proceeding, the specific controversy underlying that proceeding, another pending factually related complaint proceeding, or a pending factually related controversy that may culminate in a complaint proceeding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complaint proceeding, the specific controversy underlying that complaint proceeding, or a pending factually related complaint proceeding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proceeding or any other significant personal interest that could be substantially affected by the outcome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proceeding, or an officer, director or trustee of a party; (2) is a lawyer in the proceeding; (3) is known to have an interest that could be substantially affected by the outcome of the proceeding; or (4) is likely to be a material witness in the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jurisdiction to initiate a proceeding, or exposure to factual information while performing other functions, including fact gathering for purposes other than investigation of the matter which culminates in a complaint proceeding. Factual information relevant to the merits of a complaint proceeding received by a person who later serves as presiding officer in that proceeding shall be disclosed if required by Iowa Code section </w:t>
      </w:r>
      <w:hyperlink r:id="rId17">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rule </w:t>
      </w:r>
      <w:hyperlink r:id="rId18">
        <w:r>
          <w:rPr>
            <w:rStyle w:val="Hyperlink"/>
            <w:rFonts w:ascii="Times New Roman" w:hAnsi="Times New Roman"/>
            <w:b w:val="false"/>
            <w:i w:val="false"/>
            <w:color w:val="000000"/>
            <w:sz w:val="22"/>
          </w:rPr>
          <w:t>721—25.26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9">
        <w:r>
          <w:rPr>
            <w:rStyle w:val="Hyperlink"/>
            <w:rFonts w:ascii="Times New Roman" w:hAnsi="Times New Roman"/>
            <w:b w:val="false"/>
            <w:i w:val="false"/>
            <w:color w:val="000000"/>
            <w:sz w:val="22"/>
          </w:rPr>
          <w:t>25.14(1)</w:t>
        </w:r>
      </w:hyperlink>
      <w:r>
        <w:rPr>
          <w:rFonts w:ascii="Times New Roman" w:hAnsi="Times New Roman"/>
          <w:b w:val="false"/>
          <w:i w:val="false"/>
          <w:color w:val="000000"/>
          <w:sz w:val="22"/>
        </w:rPr>
        <w:t xml:space="preserve">, the party shall file a motion supported by an affidavit pursuant to Iowa Code section </w:t>
      </w:r>
      <w:hyperlink r:id="rId20">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25.14(6)</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appropriate, the presiding officer or other person shall withdraw. If the presiding officer determines that withdrawal is not required, the presiding officer shall enter an order to that effect.</w:t>
      </w:r>
    </w:p>
    <w:p>
      <w:pPr>
        <w:spacing w:before="0" w:after="0"/>
        <w:ind w:left="120"/>
        <w:jc w:val="both"/>
      </w:pPr>
      <w:r>
        <w:rPr>
          <w:rFonts w:ascii="Times New Roman" w:hAnsi="Times New Roman"/>
          <w:b/>
          <w:i w:val="false"/>
          <w:color w:val="000000"/>
          <w:sz w:val="22"/>
        </w:rPr>
        <w:t>721—25.15</w:t>
      </w:r>
      <w:r>
        <w:rPr>
          <w:rFonts w:ascii="Times New Roman" w:hAnsi="Times New Roman"/>
          <w:b/>
          <w:i w:val="false"/>
          <w:color w:val="000000"/>
          <w:sz w:val="22"/>
        </w:rPr>
        <w:t xml:space="preserve">(17A,39A,47)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complaint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complaint proceedings or portions thereof severed.</w:t>
      </w:r>
    </w:p>
    <w:p>
      <w:pPr>
        <w:spacing w:before="0" w:after="0"/>
        <w:ind w:left="120"/>
        <w:jc w:val="both"/>
      </w:pPr>
      <w:r>
        <w:rPr>
          <w:rFonts w:ascii="Times New Roman" w:hAnsi="Times New Roman"/>
          <w:b/>
          <w:i w:val="false"/>
          <w:color w:val="000000"/>
          <w:sz w:val="22"/>
        </w:rPr>
        <w:t>721—25.16</w:t>
      </w:r>
      <w:r>
        <w:rPr>
          <w:rFonts w:ascii="Times New Roman" w:hAnsi="Times New Roman"/>
          <w:b/>
          <w:i w:val="false"/>
          <w:color w:val="000000"/>
          <w:sz w:val="22"/>
        </w:rPr>
        <w:t xml:space="preserve">(17A,39A,47)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complaint proceeding and every paper relating to discovery in such a proceeding shall be served upon each of the parties of record to the proceeding simultaneously with their filing. Except for an application for rehearing as provided in Iowa Code section </w:t>
      </w:r>
      <w:hyperlink r:id="rId21">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 Once a presiding officer has been assigned to a proceeding, copies of all motions or other written submissions shall also be served on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complaint proceeding shall be filed with the presiding officer. All pleadings, motions, documents or other papers that are required to be served upon a party shall be filed simultaneously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received by the state commissioner of elections or the assigned presiding officer. If a document required to be filed within a prescribed period or on or before a particular date is received after such period or date, the document shall be deemed filed on the date it is mailed by first-class mail or state interoffice mail,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nonmetered United States Postal Service postmark on the envelope, a certificate of service, a notarized affidavit, or a certification in substantially the following form:</w:t>
      </w:r>
    </w:p>
    <w:p>
      <w:pPr>
        <w:spacing w:before="0" w:after="0"/>
        <w:ind w:left="356"/>
        <w:jc w:val="both"/>
      </w:pPr>
      <w:r>
        <w:rPr>
          <w:rFonts w:ascii="Times New Roman" w:hAnsi="Times New Roman"/>
          <w:b w:val="false"/>
          <w:i w:val="false"/>
          <w:color w:val="000000"/>
          <w:sz w:val="22"/>
        </w:rPr>
        <w:t>I certify under penalty of perjury and pursuant to the laws of Iowa that, on (date of mailing), I mailed copies of (describe document) addressed to the (insert name of presiding officer) and to the names and addresses of the parties listed below by depositing the same in (a United States post office mailbox with correct postage properly affixed or state interoffice mail).</w:t>
      </w:r>
    </w:p>
    <w:p>
      <w:pPr>
        <w:spacing w:before="0" w:after="0"/>
        <w:ind w:left="356"/>
        <w:jc w:val="both"/>
      </w:pPr>
      <w:r>
        <w:rPr>
          <w:rFonts w:ascii="Times New Roman" w:hAnsi="Times New Roman"/>
          <w:b w:val="false"/>
          <w:i w:val="false"/>
          <w:color w:val="000000"/>
          <w:sz w:val="22"/>
        </w:rPr>
        <w:t>(Date)_______ (Signature)______________________</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25.16(6)</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The presiding officer may by order permit service or filing of particular documents by facsimile, E-mail or similar electronic means unless precluded by a provision of law. In the absence of such an order, facsimile or electronic transmission shall not satisfy service or filing requirements, but may be used to supplement service or filing when rapid notice is desirable.</w:t>
      </w:r>
    </w:p>
    <w:p>
      <w:pPr>
        <w:spacing w:before="0" w:after="0"/>
        <w:ind w:left="120"/>
        <w:jc w:val="both"/>
      </w:pPr>
      <w:r>
        <w:rPr>
          <w:rFonts w:ascii="Times New Roman" w:hAnsi="Times New Roman"/>
          <w:b/>
          <w:i w:val="false"/>
          <w:color w:val="000000"/>
          <w:sz w:val="22"/>
        </w:rPr>
        <w:t>721—25.17</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25.17(1)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complaint proceedings. Unless lengthened or shortened by these rules or by order of the presiding officer, time periods for compliance with discovery shall be as provided in the Iowa Rules of Civil Procedure. Discovery may be limited if the circumstances underlying the complaint necessitate expedited resolution of the allegations prior to a pending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25.17(2)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22">
        <w:r>
          <w:rPr>
            <w:rStyle w:val="Hyperlink"/>
            <w:rFonts w:ascii="Times New Roman" w:hAnsi="Times New Roman"/>
            <w:b w:val="false"/>
            <w:i w:val="false"/>
            <w:color w:val="000000"/>
            <w:sz w:val="22"/>
          </w:rPr>
          <w:t>25.17(1)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25.17(3)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complaint proceeding if that evidence would otherwise be admissible in that proceeding.</w:t>
      </w:r>
    </w:p>
    <w:p>
      <w:pPr>
        <w:spacing w:before="0" w:after="0"/>
        <w:ind w:left="120"/>
        <w:jc w:val="both"/>
      </w:pPr>
      <w:r>
        <w:rPr>
          <w:rFonts w:ascii="Times New Roman" w:hAnsi="Times New Roman"/>
          <w:b/>
          <w:i w:val="false"/>
          <w:color w:val="000000"/>
          <w:sz w:val="22"/>
        </w:rPr>
        <w:t>721—25.18</w:t>
      </w:r>
      <w:r>
        <w:rPr>
          <w:rFonts w:ascii="Times New Roman" w:hAnsi="Times New Roman"/>
          <w:b/>
          <w:i w:val="false"/>
          <w:color w:val="000000"/>
          <w:sz w:val="22"/>
        </w:rPr>
        <w:t xml:space="preserve">(17A) </w:t>
      </w:r>
      <w:r>
        <w:rPr>
          <w:rFonts w:ascii="Times New Roman" w:hAnsi="Times New Roman"/>
          <w:b/>
          <w:i w:val="false"/>
          <w:color w:val="000000"/>
          <w:sz w:val="22"/>
        </w:rPr>
        <w:t xml:space="preserve">Issuance of subpoenas in a complaint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25.18(1)</w:t>
      </w:r>
      <w:r>
        <w:rPr>
          <w:rFonts w:ascii="Times New Roman" w:hAnsi="Times New Roman"/>
          <w:b w:val="false"/>
          <w:i w:val="false"/>
          <w:color w:val="000000"/>
          <w:sz w:val="22"/>
        </w:rPr>
        <w:t> </w:t>
      </w:r>
      <w:r>
        <w:rPr>
          <w:rFonts w:ascii="Times New Roman" w:hAnsi="Times New Roman"/>
          <w:b w:val="false"/>
          <w:i w:val="false"/>
          <w:color w:val="000000"/>
          <w:sz w:val="22"/>
        </w:rPr>
        <w:t>Subpoenas issued in a complaint proceeding may compel the attendance of witnesses at depositions or hearing, and may compel the production of books, papers, records, and other real evidence. A command to produce evidence or to permit inspection may be joined with a command to appear at deposition or hearing, or may be issued separately. Subpoenas shall be issued by the presiding officer upon written request. In the case of a request for a subpoena of mental health records, the request must confirm compliance with the following conditions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issues in the proceeding reasonably justifies the issuance of the requested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the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subrule </w:t>
      </w:r>
      <w:hyperlink r:id="rId23">
        <w:r>
          <w:rPr>
            <w:rStyle w:val="Hyperlink"/>
            <w:rFonts w:ascii="Times New Roman" w:hAnsi="Times New Roman"/>
            <w:b w:val="false"/>
            <w:i w:val="false"/>
            <w:color w:val="000000"/>
            <w:sz w:val="22"/>
          </w:rPr>
          <w:t>25.18(1)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secretary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designee shall mail copies of all subpoenas to the parties to the complaint proceeding.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complaint proceeding who desires to challenge the subpoena, must, within 14 days after service of the subpoena, or before the time specified for compliance if such time is less than 14 days, file with the presiding officer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presiding officer may issue a decision or may request an administrative law judge to issue a decision. The administrative law judge or the presiding officer may quash or modify the subpoena, deny the motion, or issue an appropriate protective order. Prior to ruling on the motion, the presiding officer or administrative law judge may schedule oral argument or hearing by telephone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25.18(7)</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aggrieved by a ruling of an administrative law judge and who desires to challenge the ruling must appeal the ruling to the presiding officer in accordance with the procedure applicable to intra-agency appeals of proposed decisions set forth in rules </w:t>
      </w:r>
      <w:hyperlink r:id="rId24">
        <w:r>
          <w:rPr>
            <w:rStyle w:val="Hyperlink"/>
            <w:rFonts w:ascii="Times New Roman" w:hAnsi="Times New Roman"/>
            <w:b w:val="false"/>
            <w:i w:val="false"/>
            <w:color w:val="000000"/>
            <w:sz w:val="22"/>
          </w:rPr>
          <w:t>721—25.29</w:t>
        </w:r>
      </w:hyperlink>
      <w:r>
        <w:rPr>
          <w:rFonts w:ascii="Times New Roman" w:hAnsi="Times New Roman"/>
          <w:b w:val="false"/>
          <w:i w:val="false"/>
          <w:color w:val="000000"/>
          <w:sz w:val="22"/>
        </w:rPr>
        <w:t xml:space="preserve">(17A) and </w:t>
      </w:r>
      <w:hyperlink r:id="rId25">
        <w:r>
          <w:rPr>
            <w:rStyle w:val="Hyperlink"/>
            <w:rFonts w:ascii="Times New Roman" w:hAnsi="Times New Roman"/>
            <w:b w:val="false"/>
            <w:i w:val="false"/>
            <w:color w:val="000000"/>
            <w:sz w:val="22"/>
          </w:rPr>
          <w:t>25.30</w:t>
        </w:r>
      </w:hyperlink>
      <w:r>
        <w:rPr>
          <w:rFonts w:ascii="Times New Roman" w:hAnsi="Times New Roman"/>
          <w:b w:val="false"/>
          <w:i w:val="false"/>
          <w:color w:val="000000"/>
          <w:sz w:val="22"/>
        </w:rPr>
        <w:t>(17A), provided that all of the time frames are reduced by one-half.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proceeding, the presiding officer’s decision is final for purposes of judicial review. If the person contesting the subpoena is a party to the proceeding, the presiding officer’s decision is not final for purposes of judicial review until there is a final decision in the complaint proceeding.</w:t>
      </w:r>
    </w:p>
    <w:p>
      <w:pPr>
        <w:spacing w:before="0" w:after="0"/>
        <w:ind w:left="120"/>
        <w:jc w:val="both"/>
      </w:pPr>
      <w:r>
        <w:rPr>
          <w:rFonts w:ascii="Times New Roman" w:hAnsi="Times New Roman"/>
          <w:b/>
          <w:i w:val="false"/>
          <w:color w:val="000000"/>
          <w:sz w:val="22"/>
        </w:rPr>
        <w:t>721—25.19</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ruling of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schedule oral argument on any motion. If the presiding officer requests that an administrative law judge issue a ruling on a prehearing motion, the ruling is subject to interlocutory appeal pursuant to rule </w:t>
      </w:r>
      <w:hyperlink r:id="rId26">
        <w:r>
          <w:rPr>
            <w:rStyle w:val="Hyperlink"/>
            <w:rFonts w:ascii="Times New Roman" w:hAnsi="Times New Roman"/>
            <w:b w:val="false"/>
            <w:i w:val="false"/>
            <w:color w:val="000000"/>
            <w:sz w:val="22"/>
          </w:rPr>
          <w:t>721—25.29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five days prior to the date of hearing unless there is good cause for permitting later action or the time for such action is lengthened or shortened by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25.19(6)</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must be filed and served at least 20 days prior to the scheduled hearing date, or other time period determined by the presiding officer. Any party resisting the motion shall file and serve a resistance within 10 days, unless otherwise ordered by the presiding officer, from the date a copy of the motion was served. The time fixed for hearing or nonoral submission shall be not less than 15 days after the filing of the motion, unless a shorter time is ordered by the presiding officer. A summary judgment order rendered on all issues in a complaint proceeding is subject to rehearing pursuant to rule </w:t>
      </w:r>
      <w:hyperlink r:id="rId27">
        <w:r>
          <w:rPr>
            <w:rStyle w:val="Hyperlink"/>
            <w:rFonts w:ascii="Times New Roman" w:hAnsi="Times New Roman"/>
            <w:b w:val="false"/>
            <w:i w:val="false"/>
            <w:color w:val="000000"/>
            <w:sz w:val="22"/>
          </w:rPr>
          <w:t>721—25.31</w:t>
        </w:r>
      </w:hyperlink>
      <w:r>
        <w:rPr>
          <w:rFonts w:ascii="Times New Roman" w:hAnsi="Times New Roman"/>
          <w:b w:val="false"/>
          <w:i w:val="false"/>
          <w:color w:val="000000"/>
          <w:sz w:val="22"/>
        </w:rPr>
        <w:t xml:space="preserve">(17A) and appeal pursuant to rule </w:t>
      </w:r>
      <w:hyperlink r:id="rId28">
        <w:r>
          <w:rPr>
            <w:rStyle w:val="Hyperlink"/>
            <w:rFonts w:ascii="Times New Roman" w:hAnsi="Times New Roman"/>
            <w:b w:val="false"/>
            <w:i w:val="false"/>
            <w:color w:val="000000"/>
            <w:sz w:val="22"/>
          </w:rPr>
          <w:t>721—25.30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721—25.20</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require documentation of any grounds for continuance, and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210" w:after="0"/>
        <w:ind w:left="120"/>
        <w:jc w:val="both"/>
      </w:pPr>
      <w:r>
        <w:rPr>
          <w:rFonts w:ascii="Times New Roman" w:hAnsi="Times New Roman"/>
          <w:b/>
          <w:i w:val="false"/>
          <w:color w:val="000000"/>
          <w:sz w:val="22"/>
        </w:rPr>
        <w:t>721—25.21</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complainant may withdraw a complaint prior to the hearing upon written notice filed with the presiding officer and served on all parties. Unless otherwise ordered by the presiding officer, a withdrawal shall be with prejudice.</w:t>
      </w:r>
    </w:p>
    <w:p>
      <w:pPr>
        <w:spacing w:before="0" w:after="0"/>
        <w:ind w:left="120"/>
        <w:jc w:val="both"/>
      </w:pPr>
      <w:r>
        <w:rPr>
          <w:rFonts w:ascii="Times New Roman" w:hAnsi="Times New Roman"/>
          <w:b/>
          <w:i w:val="false"/>
          <w:color w:val="000000"/>
          <w:sz w:val="22"/>
        </w:rPr>
        <w:t>721—25.22</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complaint proceeding shall state the grounds for the proposed intervention, the position and interest of the proposed intervenor, and the possible impact of intervention on the proceeding. Any party may file a response within seven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at least ten days before the date scheduled for hearing. Any later motion must contain a statement of good cause for the failure to file in a timely manner. An intervenor shall be bound by any agreement, arrangement, or other matter previously raised in the proceeding unless binding the intervenor would be inequitable or unjust.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721—25.23</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The presiding officer shall be in control of the proceedings and shall have the authority to administer oaths, to admit or exclude testimony or other evidence and to rule on all motions and objections. The presiding officer may request that an administrative law judge assist in performing any of these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witnesses. </w:t>
      </w:r>
      <w:r>
        <w:rPr>
          <w:rFonts w:ascii="Times New Roman" w:hAnsi="Times New Roman"/>
          <w:b w:val="false"/>
          <w:i w:val="false"/>
          <w:color w:val="000000"/>
          <w:sz w:val="22"/>
        </w:rPr>
        <w:t>All witnesses shall be sworn or affirmed by the presiding officer or the court reporter, if a court reporter is provided by one of the parties, and shall be subject to cross-examination. The presiding officer and the administrative law judge have the right to examine a witness at any stage of the witness’s testimony.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hearing shall be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25.23(3)</w:t>
      </w:r>
      <w:r>
        <w:rPr>
          <w:rFonts w:ascii="Times New Roman" w:hAnsi="Times New Roman"/>
          <w:b w:val="false"/>
          <w:i w:val="false"/>
          <w:color w:val="000000"/>
          <w:sz w:val="22"/>
        </w:rPr>
        <w:t> </w:t>
      </w:r>
      <w:r>
        <w:rPr>
          <w:rFonts w:ascii="Times New Roman" w:hAnsi="Times New Roman"/>
          <w:b w:val="false"/>
          <w:i/>
          <w:color w:val="000000"/>
          <w:sz w:val="22"/>
        </w:rPr>
        <w:t xml:space="preserve">Record of proceedings. </w:t>
      </w:r>
      <w:r>
        <w:rPr>
          <w:rFonts w:ascii="Times New Roman" w:hAnsi="Times New Roman"/>
          <w:b w:val="false"/>
          <w:i w:val="false"/>
          <w:color w:val="000000"/>
          <w:sz w:val="22"/>
        </w:rPr>
        <w:t>Oral proceedings shall be recorded either by mechanical or electronic means or by certified shorthand reporters. Oral proceedings or any part thereof shall be transcribed at the request of any party, with the expense of the transcription charged to the requesting party. The recording or stenographic notes of oral proceedings or the transcription shall be filed with and maintained by the state commissioner of elections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25.23(4)</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proceedings. </w:t>
      </w:r>
      <w:r>
        <w:rPr>
          <w:rFonts w:ascii="Times New Roman" w:hAnsi="Times New Roman"/>
          <w:b w:val="false"/>
          <w:i w:val="false"/>
          <w:color w:val="000000"/>
          <w:sz w:val="22"/>
        </w:rPr>
        <w:t>Before testimony is presented, the record shall show the identity of the presiding officer, the identity of the administrative law judge, if any, the identity of the parties and their representatives, and the fact that all testimony is being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designated person may read a summary of the complaint and answers thereto and other responsive pleadings filed by the respondent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complainant shall make a brief opening statement, which may include a summary of allegations within the complaint and the witnesses and documents to support such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respondent shall be offered an opportunity to make an opening statement, including the names of any witnesses the respondent desires to call in defense. A respondent may elect to defer making the opening statement until just prior to the presentation of evidence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on behalf of the complainant shall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on behalf of the respondent(s) shall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Rebuttal evidence on behalf of the complainant, if any, shall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Rebuttal evidence on behalf of the respondent(s), if any, shall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Closing arguments first on behalf of the complainant, then on behalf of the respondent(s), and then rebuttal, if any, on behalf of the complainant shall be made.</w:t>
      </w:r>
    </w:p>
    <w:p>
      <w:pPr>
        <w:spacing w:before="0" w:after="0"/>
        <w:ind w:left="120"/>
        <w:jc w:val="both"/>
      </w:pPr>
      <w:r>
        <w:rPr>
          <w:rFonts w:ascii="Times New Roman" w:hAnsi="Times New Roman"/>
          <w:b w:val="false"/>
          <w:i w:val="false"/>
          <w:color w:val="000000"/>
          <w:sz w:val="22"/>
        </w:rPr>
        <w:t>The order of proceedings may be tailored to the nature of the complaint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25.23(5)</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25.23(6)</w:t>
      </w:r>
      <w:r>
        <w:rPr>
          <w:rFonts w:ascii="Times New Roman" w:hAnsi="Times New Roman"/>
          <w:b w:val="false"/>
          <w:i w:val="false"/>
          <w:color w:val="000000"/>
          <w:sz w:val="22"/>
        </w:rPr>
        <w:t> </w:t>
      </w:r>
      <w:r>
        <w:rPr>
          <w:rFonts w:ascii="Times New Roman" w:hAnsi="Times New Roman"/>
          <w:b w:val="false"/>
          <w:i/>
          <w:color w:val="000000"/>
          <w:sz w:val="22"/>
        </w:rPr>
        <w:t xml:space="preserve">Sequestering witnesses. </w:t>
      </w:r>
      <w:r>
        <w:rPr>
          <w:rFonts w:ascii="Times New Roman" w:hAnsi="Times New Roman"/>
          <w:b w:val="false"/>
          <w:i w:val="false"/>
          <w:color w:val="000000"/>
          <w:sz w:val="22"/>
        </w:rPr>
        <w:t>The presiding officer, on the presiding officer’s own motion or upon the request of a party, may sequester witnesses.</w:t>
      </w:r>
    </w:p>
    <w:p>
      <w:pPr>
        <w:spacing w:before="0" w:after="0"/>
        <w:ind w:left="120"/>
        <w:jc w:val="both"/>
      </w:pPr>
      <w:r>
        <w:rPr>
          <w:rFonts w:ascii="Times New Roman" w:hAnsi="Times New Roman"/>
          <w:b/>
          <w:i w:val="false"/>
          <w:color w:val="000000"/>
          <w:sz w:val="22"/>
        </w:rPr>
        <w:t>721—25.24</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shall be provided to opposing parties and the presiding officer.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must be timely and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or unduly repetitious evidence shall be excluded. A finding will be based upon the kind of evidence upon which reasonably prudent persons are accustomed to rely for the conduct of their serious affairs, and may be based on hearsay or other types of evidence which may or would be inadmissible in a jury trial.</w:t>
      </w:r>
    </w:p>
    <w:p>
      <w:pPr>
        <w:spacing w:before="0" w:after="0"/>
        <w:ind w:left="120"/>
        <w:jc w:val="both"/>
      </w:pPr>
      <w:r>
        <w:rPr>
          <w:rFonts w:ascii="Times New Roman" w:hAnsi="Times New Roman"/>
          <w:b/>
          <w:i w:val="false"/>
          <w:color w:val="000000"/>
          <w:sz w:val="22"/>
        </w:rPr>
        <w:t>721—25.25</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complaint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25.25(2)</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complaint proceeding become final action unless, within 15 days after the date of notification or mailing of the decision, a motion to vacate is filed and served on all parties or an appeal of a decision on the merits is timely initiated within the time provided by rule </w:t>
      </w:r>
      <w:hyperlink r:id="rId29">
        <w:r>
          <w:rPr>
            <w:rStyle w:val="Hyperlink"/>
            <w:rFonts w:ascii="Times New Roman" w:hAnsi="Times New Roman"/>
            <w:b w:val="false"/>
            <w:i w:val="false"/>
            <w:color w:val="000000"/>
            <w:sz w:val="22"/>
          </w:rPr>
          <w:t>721—25.30</w:t>
        </w:r>
      </w:hyperlink>
      <w:r>
        <w:rPr>
          <w:rFonts w:ascii="Times New Roman" w:hAnsi="Times New Roman"/>
          <w:b w:val="false"/>
          <w:i w:val="false"/>
          <w:color w:val="000000"/>
          <w:sz w:val="22"/>
        </w:rPr>
        <w:t>(17A). A motion to vacate must state all facts relied upon by the moving party which establish that good cause existed for that party’s failure to appear or participate at the complaint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25.25(3)</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25.25(4)</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25.25(5)</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25.25(6)</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25.25(7)</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30">
        <w:r>
          <w:rPr>
            <w:rStyle w:val="Hyperlink"/>
            <w:rFonts w:ascii="Times New Roman" w:hAnsi="Times New Roman"/>
            <w:b w:val="false"/>
            <w:i w:val="false"/>
            <w:color w:val="000000"/>
            <w:sz w:val="22"/>
          </w:rPr>
          <w:t>721—25.32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721—25.26</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proceeding in connection with any issue of fact or law in the proceeding except upon notice and opportunity for all parties to participate. This does not prohibit persons jointly assigned such tasks from communicating with each other. Nothing in this provision is intended to preclude the presiding officer from communicating with those engaged in personally investigating as defined in subrule </w:t>
      </w:r>
      <w:hyperlink r:id="rId31">
        <w:r>
          <w:rPr>
            <w:rStyle w:val="Hyperlink"/>
            <w:rFonts w:ascii="Times New Roman" w:hAnsi="Times New Roman"/>
            <w:b w:val="false"/>
            <w:i w:val="false"/>
            <w:color w:val="000000"/>
            <w:sz w:val="22"/>
          </w:rPr>
          <w:t>25.14(2)</w:t>
        </w:r>
      </w:hyperlink>
      <w:r>
        <w:rPr>
          <w:rFonts w:ascii="Times New Roman" w:hAnsi="Times New Roman"/>
          <w:b w:val="false"/>
          <w:i w:val="false"/>
          <w:color w:val="000000"/>
          <w:sz w:val="22"/>
        </w:rPr>
        <w:t>, or advocating in either the proceeding under consideration or a pending factually related proceeding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complaint proceeding and continue for as long as the proceeding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32">
        <w:r>
          <w:rPr>
            <w:rStyle w:val="Hyperlink"/>
            <w:rFonts w:ascii="Times New Roman" w:hAnsi="Times New Roman"/>
            <w:b w:val="false"/>
            <w:i w:val="false"/>
            <w:color w:val="000000"/>
            <w:sz w:val="22"/>
          </w:rPr>
          <w:t>721—25.4</w:t>
        </w:r>
      </w:hyperlink>
      <w:r>
        <w:rPr>
          <w:rFonts w:ascii="Times New Roman" w:hAnsi="Times New Roman"/>
          <w:b w:val="false"/>
          <w:i w:val="false"/>
          <w:color w:val="000000"/>
          <w:sz w:val="22"/>
        </w:rPr>
        <w:t>(17A,39A,47)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officers in a pending complaint proceeding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elections or other persons may be present in deliberations or otherwise advise the presiding officer without notice or opportunity for parties to participate as long as the director or other persons are not disqualified from participating in the making of a proposed or final decision under any provision of law and comply with subrule </w:t>
      </w:r>
      <w:hyperlink r:id="rId33">
        <w:r>
          <w:rPr>
            <w:rStyle w:val="Hyperlink"/>
            <w:rFonts w:ascii="Times New Roman" w:hAnsi="Times New Roman"/>
            <w:b w:val="false"/>
            <w:i w:val="false"/>
            <w:color w:val="000000"/>
            <w:sz w:val="22"/>
          </w:rPr>
          <w:t>25.26(1)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34">
        <w:r>
          <w:rPr>
            <w:rStyle w:val="Hyperlink"/>
            <w:rFonts w:ascii="Times New Roman" w:hAnsi="Times New Roman"/>
            <w:b w:val="false"/>
            <w:i w:val="false"/>
            <w:color w:val="000000"/>
            <w:sz w:val="22"/>
          </w:rPr>
          <w:t>721—25.20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complaint proceeding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complaint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5">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or censure.</w:t>
      </w:r>
    </w:p>
    <w:p>
      <w:pPr>
        <w:spacing w:before="210" w:after="0"/>
        <w:ind w:left="120"/>
        <w:jc w:val="both"/>
      </w:pPr>
      <w:r>
        <w:rPr>
          <w:rFonts w:ascii="Times New Roman" w:hAnsi="Times New Roman"/>
          <w:b/>
          <w:i w:val="false"/>
          <w:color w:val="000000"/>
          <w:sz w:val="22"/>
        </w:rPr>
        <w:t>721—25.27</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presiding officer shall provide a copy of the whole record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i w:val="false"/>
          <w:color w:val="000000"/>
          <w:sz w:val="22"/>
        </w:rPr>
        <w:t>721—25.28</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decisions, publication and party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25.28(1)</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the state commissioner of elections or the voter registration commission presides over the reception of evidence at the hearing, the decision is a final decision. The final decision of the presiding officer shall be filed with the state commissioner of elections. A copy of the final decision and order shall immediately be sent by certified mail, return receipt requested, to all parties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25.28(2)</w:t>
      </w:r>
      <w:r>
        <w:rPr>
          <w:rFonts w:ascii="Times New Roman" w:hAnsi="Times New Roman"/>
          <w:b w:val="false"/>
          <w:i w:val="false"/>
          <w:color w:val="000000"/>
          <w:sz w:val="22"/>
        </w:rPr>
        <w:t> </w:t>
      </w:r>
      <w:r>
        <w:rPr>
          <w:rFonts w:ascii="Times New Roman" w:hAnsi="Times New Roman"/>
          <w:b w:val="false"/>
          <w:i/>
          <w:color w:val="000000"/>
          <w:sz w:val="22"/>
        </w:rPr>
        <w:t xml:space="preserve">Publication of decisions. </w:t>
      </w:r>
      <w:r>
        <w:rPr>
          <w:rFonts w:ascii="Times New Roman" w:hAnsi="Times New Roman"/>
          <w:b w:val="false"/>
          <w:i w:val="false"/>
          <w:color w:val="000000"/>
          <w:sz w:val="22"/>
        </w:rPr>
        <w:t xml:space="preserve">Final decisions in all complaint proceedings, including consent agreements and consent orders, are public records which shall be indexed and made available for public inspection by the office of the state commissioner of elections as required by Iowa Code section </w:t>
      </w:r>
      <w:hyperlink r:id="rId3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In addition, all final decisions shall be published by posting on the Internet Web site maintained by the office of the state commissioner of elections.</w:t>
      </w:r>
    </w:p>
    <w:p>
      <w:pPr>
        <w:spacing w:before="210" w:after="0"/>
        <w:ind w:left="120"/>
        <w:jc w:val="both"/>
      </w:pPr>
      <w:r>
        <w:rPr>
          <w:rFonts w:ascii="Times New Roman" w:hAnsi="Times New Roman"/>
          <w:b/>
          <w:i w:val="false"/>
          <w:color w:val="000000"/>
          <w:sz w:val="22"/>
        </w:rPr>
        <w:t>721—25.29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the presiding officer’s own motion, the presiding officer may review a preliminary order of the administrative law judge, such as a ruling on a motion to quash a subpoena or other prehearing motion. In determining whether to do so, the presiding officer shall weigh the extent to which the presiding officer’s granting of the interlocutory appeal would expedite final resolution of the proceeding and the extent to which review of the interlocutory order at the time of the issuance of a final decision would provide an adequate remedy. Any request for interlocutory review must be filed within seven days of issuance of the challenged order, but no later than the date for compliance with the order or the date of hearing, whichever is earlier.</w:t>
      </w:r>
    </w:p>
    <w:p>
      <w:pPr>
        <w:spacing w:before="0" w:after="0"/>
        <w:ind w:left="120"/>
        <w:jc w:val="both"/>
      </w:pPr>
      <w:r>
        <w:rPr>
          <w:rFonts w:ascii="Times New Roman" w:hAnsi="Times New Roman"/>
          <w:b/>
          <w:i w:val="false"/>
          <w:color w:val="000000"/>
          <w:sz w:val="22"/>
        </w:rPr>
        <w:t>721—25.30</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25.30(1)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an administrative law judge are proposed decisions. All complaint proceeding decisions must be issued by the state commissioner of elections or voter registration commission, as appropriate. A proposed decision issued by an administrative law judge becomes a final decision if not timely appealed by any party or reviewed by the state commissioner of elections or voter registration commission,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25.30(2)</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state commissioner of elections or voter registration commission within 15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25.30(3)</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state commissioner of elections or voter registration commission may initiate review of a proposed decision at any time within 15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25.30(4)</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the filing of a timely notice of appeal with the state commissioner of elections or voter registration commission.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which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25.30(5)</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seven days of service of the notice of appeal. The state commissioner of elections or voter registration commission may remand a proceeding to the administrative law judge for further hearing 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25.30(6)</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state commissioner of elections or voter registration commission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25.30(7)</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ten days of the notice of appeal or order for review, each appealing party may file exceptions and briefs. Within ten days thereafter, any party may file a responsive brief. Briefs shall cite any applicable legal authority and specify relevant portions of the record in that proceeding. Written requests to present oral argument shall be filed with the briefs. The state commissioner of elections or voter registration commission may resolve the appeal on the briefs or provide an opportunity for oral argument. The state commissioner of elections or voter registration commission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25.30(8)</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shall be the entire record made before the administrative law judge.</w:t>
      </w:r>
    </w:p>
    <w:p>
      <w:pPr>
        <w:spacing w:before="0" w:after="0"/>
        <w:ind w:left="120"/>
        <w:jc w:val="both"/>
      </w:pPr>
      <w:r>
        <w:rPr>
          <w:rFonts w:ascii="Times New Roman" w:hAnsi="Times New Roman"/>
          <w:b/>
          <w:i w:val="false"/>
          <w:color w:val="000000"/>
          <w:sz w:val="22"/>
        </w:rPr>
        <w:t>721—25.31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complaint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final decision on the existing record and whether, on the basis of the grounds enumerated in subrule </w:t>
      </w:r>
      <w:hyperlink r:id="rId37">
        <w:r>
          <w:rPr>
            <w:rStyle w:val="Hyperlink"/>
            <w:rFonts w:ascii="Times New Roman" w:hAnsi="Times New Roman"/>
            <w:b w:val="false"/>
            <w:i w:val="false"/>
            <w:color w:val="000000"/>
            <w:sz w:val="22"/>
          </w:rPr>
          <w:t>25.31(3)</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25.31(3)</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A party may request the taking of additional evidence only by establishing that (a) the facts or other evidence arose after the original proceeding, or (b) the party offering such evidence could not reasonably have provided such evidence at the original proceeding, or (c) the party offering the additional evidence was misled by any party as to the necessity for offering such evidence at the original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25.31(4)</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state commissioner of elections within 20 days after issuance of the final decision. The final decision is issued on the date it is mailed or the date of delivery if service is by other means, unless another date is specified in the order. The application for rehearing is deemed filed on the date it is received by the state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25.31(5)</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state commissioner of elections shall serve copies of the application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 application for rehearing shall be deemed denied unless the presiding officer grants the application within 20 days after its filing. An order granting or denying an application for rehearing is deemed issued on the date it is filed with the state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25.31(7)</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If the presiding officer grants an application for rehearing, the presiding officer may set the application for oral argument or for hearing if additional evidence will be received. If additional evidence will not be received, the presiding officer may issue a ruling without oral argument or hearing. The presiding officer may, on the request of a party or on the presiding officer’s own motion, order or permit the parties to provide written argument on one or more designated issues. The presiding officer may be assisted by an administrative law judge in all proceedings related to an application for rehearing.</w:t>
      </w:r>
    </w:p>
    <w:p>
      <w:pPr>
        <w:spacing w:before="0" w:after="0"/>
        <w:ind w:left="120"/>
        <w:jc w:val="both"/>
      </w:pPr>
      <w:r>
        <w:rPr>
          <w:rFonts w:ascii="Times New Roman" w:hAnsi="Times New Roman"/>
          <w:b/>
          <w:i w:val="false"/>
          <w:color w:val="000000"/>
          <w:sz w:val="22"/>
        </w:rPr>
        <w:t>721—25.32</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Any party to a complaint proceeding may petition the presiding officer for a stay or other temporary remedy,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shall consider the factors listed in Iowa Code section </w:t>
      </w:r>
      <w:hyperlink r:id="rId38">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210" w:after="0"/>
        <w:ind w:left="120"/>
        <w:jc w:val="both"/>
      </w:pPr>
      <w:r>
        <w:rPr>
          <w:rFonts w:ascii="Times New Roman" w:hAnsi="Times New Roman"/>
          <w:b/>
          <w:i w:val="false"/>
          <w:color w:val="000000"/>
          <w:sz w:val="22"/>
        </w:rPr>
        <w:t>721—25.33</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complaint proceedings. </w:t>
      </w:r>
      <w:r>
        <w:rPr>
          <w:rFonts w:ascii="Times New Roman" w:hAnsi="Times New Roman"/>
          <w:b w:val="false"/>
          <w:i w:val="false"/>
          <w:color w:val="000000"/>
          <w:sz w:val="22"/>
        </w:rPr>
        <w:t>If the parties agree that no dispute of material fact exists,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721—25.34</w:t>
      </w:r>
      <w:r>
        <w:rPr>
          <w:rFonts w:ascii="Times New Roman" w:hAnsi="Times New Roman"/>
          <w:b/>
          <w:i w:val="false"/>
          <w:color w:val="000000"/>
          <w:sz w:val="22"/>
        </w:rPr>
        <w:t xml:space="preserve">(17A) </w:t>
      </w:r>
      <w:r>
        <w:rPr>
          <w:rFonts w:ascii="Times New Roman" w:hAnsi="Times New Roman"/>
          <w:b/>
          <w:i w:val="false"/>
          <w:color w:val="000000"/>
          <w:sz w:val="22"/>
        </w:rPr>
        <w:t xml:space="preserve">Alternate dispute resolution. </w:t>
      </w:r>
      <w:r>
        <w:rPr>
          <w:rFonts w:ascii="Times New Roman" w:hAnsi="Times New Roman"/>
          <w:b w:val="false"/>
          <w:i w:val="false"/>
          <w:color w:val="000000"/>
          <w:sz w:val="22"/>
        </w:rPr>
        <w:t xml:space="preserve">If, as required by subrule </w:t>
      </w:r>
      <w:hyperlink r:id="rId39">
        <w:r>
          <w:rPr>
            <w:rStyle w:val="Hyperlink"/>
            <w:rFonts w:ascii="Times New Roman" w:hAnsi="Times New Roman"/>
            <w:b w:val="false"/>
            <w:i w:val="false"/>
            <w:color w:val="000000"/>
            <w:sz w:val="22"/>
          </w:rPr>
          <w:t>25.1(2)</w:t>
        </w:r>
      </w:hyperlink>
      <w:r>
        <w:rPr>
          <w:rFonts w:ascii="Times New Roman" w:hAnsi="Times New Roman"/>
          <w:b w:val="false"/>
          <w:i w:val="false"/>
          <w:color w:val="000000"/>
          <w:sz w:val="22"/>
        </w:rPr>
        <w:t>, a final determination is not issued within 90 days of the date of the filing of a complaint and the complainant does not agree to allow a longer period for making the determination, the complaint shall be transferred to a board of arbitration, which shall resolve the complaint within 60 days from the 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25.34(1)</w:t>
      </w:r>
      <w:r>
        <w:rPr>
          <w:rFonts w:ascii="Times New Roman" w:hAnsi="Times New Roman"/>
          <w:b w:val="false"/>
          <w:i w:val="false"/>
          <w:color w:val="000000"/>
          <w:sz w:val="22"/>
        </w:rPr>
        <w:t> </w:t>
      </w:r>
      <w:r>
        <w:rPr>
          <w:rFonts w:ascii="Times New Roman" w:hAnsi="Times New Roman"/>
          <w:b w:val="false"/>
          <w:i w:val="false"/>
          <w:color w:val="000000"/>
          <w:sz w:val="22"/>
        </w:rPr>
        <w:t>The board of arbitration shall be composed of the following three members: one member designated by the complainant, one member designated by the state commissioner of elections, and a third member jointly agreed to by the first two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arbitration shall have access to the record compiled in proceedings prior to the transfer, including the tape or transcript of any hearing, but may not conduct any further hearing or receive additional testimony, evidence, or other submissions. The board of arbitration shall determine the appropriate resolution of the complaint by a majority vote and shall issue a written decision as required by rule </w:t>
      </w:r>
      <w:hyperlink r:id="rId40">
        <w:r>
          <w:rPr>
            <w:rStyle w:val="Hyperlink"/>
            <w:rFonts w:ascii="Times New Roman" w:hAnsi="Times New Roman"/>
            <w:b w:val="false"/>
            <w:i w:val="false"/>
            <w:color w:val="000000"/>
            <w:sz w:val="22"/>
          </w:rPr>
          <w:t>721—25.9</w:t>
        </w:r>
      </w:hyperlink>
      <w:r>
        <w:rPr>
          <w:rFonts w:ascii="Times New Roman" w:hAnsi="Times New Roman"/>
          <w:b w:val="false"/>
          <w:i w:val="false"/>
          <w:color w:val="000000"/>
          <w:sz w:val="22"/>
        </w:rPr>
        <w:t>(17A,39A,47). The board’s decision shall be considered the final decision upon the complaint for purposes of publication, rehearing and judicial review.</w:t>
      </w:r>
    </w:p>
    <w:p>
      <w:pPr>
        <w:spacing w:before="0" w:after="0"/>
        <w:ind w:left="120"/>
        <w:jc w:val="both"/>
      </w:pPr>
      <w:r>
        <w:rPr>
          <w:rFonts w:ascii="Times New Roman" w:hAnsi="Times New Roman"/>
          <w:b/>
          <w:i w:val="false"/>
          <w:color w:val="000000"/>
          <w:sz w:val="22"/>
        </w:rPr>
        <w:t>721—25.35</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final decision may be sought in accordance with the terms of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Iowa Code section </w:t>
      </w:r>
      <w:hyperlink r:id="rId42">
        <w:r>
          <w:rPr>
            <w:rStyle w:val="Hyperlink"/>
            <w:rFonts w:ascii="Times New Roman" w:hAnsi="Times New Roman"/>
            <w:b w:val="false"/>
            <w:i w:val="false"/>
            <w:color w:val="000000"/>
            <w:sz w:val="22"/>
          </w:rPr>
          <w:t>17A.19(3)</w:t>
        </w:r>
      </w:hyperlink>
      <w:r>
        <w:rPr>
          <w:rFonts w:ascii="Times New Roman" w:hAnsi="Times New Roman"/>
          <w:b w:val="false"/>
          <w:i w:val="false"/>
          <w:color w:val="000000"/>
          <w:sz w:val="22"/>
        </w:rPr>
        <w:t xml:space="preserve"> if a party does not file a timely application for rehearing, a judicial review petition must be filed with the district court within 30 days after the issuance of the final decision. The final decision is issued on the date it is mailed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does file a timely application for rehearing, a judicial review petition must be filed with the district court within 30 days after the application for rehearing is denied or deemed denied. An application for rehearing is denied or deemed denied as provided in rule </w:t>
      </w:r>
      <w:hyperlink r:id="rId43">
        <w:r>
          <w:rPr>
            <w:rStyle w:val="Hyperlink"/>
            <w:rFonts w:ascii="Times New Roman" w:hAnsi="Times New Roman"/>
            <w:b w:val="false"/>
            <w:i w:val="false"/>
            <w:color w:val="000000"/>
            <w:sz w:val="22"/>
          </w:rPr>
          <w:t>721—25.31</w:t>
        </w:r>
      </w:hyperlink>
      <w:r>
        <w:rPr>
          <w:rFonts w:ascii="Times New Roman" w:hAnsi="Times New Roman"/>
          <w:b w:val="false"/>
          <w:i w:val="false"/>
          <w:color w:val="000000"/>
          <w:sz w:val="22"/>
        </w:rPr>
        <w:t>(17A).</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42 U.S.C. 15512(a)(1)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10/24/03, Notice 6/11/03—published 11/12/03, effective 12/17/03]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21.25.34.pdf" Type="http://schemas.openxmlformats.org/officeDocument/2006/relationships/hyperlink" Id="rId5"/>
    <Relationship TargetMode="External" Target="https://www.legis.iowa.gov/docs/iac/rule/721.25.7.pdf" Type="http://schemas.openxmlformats.org/officeDocument/2006/relationships/hyperlink" Id="rId6"/>
    <Relationship TargetMode="External" Target="https://www.legis.iowa.gov/docs/iac/rule/721.25.3.pdf" Type="http://schemas.openxmlformats.org/officeDocument/2006/relationships/hyperlink" Id="rId7"/>
    <Relationship TargetMode="External" Target="https://www.legis.iowa.gov/docs/iac/rule/721.25.28.pdf" Type="http://schemas.openxmlformats.org/officeDocument/2006/relationships/hyperlink" Id="rId8"/>
    <Relationship TargetMode="External" Target="https://www.legis.iowa.gov/docs/iac/rule/721.25.16.pdf" Type="http://schemas.openxmlformats.org/officeDocument/2006/relationships/hyperlink" Id="rId9"/>
    <Relationship TargetMode="External" Target="https://www.legis.iowa.gov/docs/ico/chapter/47.8.pdf" Type="http://schemas.openxmlformats.org/officeDocument/2006/relationships/hyperlink" Id="rId10"/>
    <Relationship TargetMode="External" Target="https://www.legis.iowa.gov/docs/iac/rule/721.25.29.pdf" Type="http://schemas.openxmlformats.org/officeDocument/2006/relationships/hyperlink" Id="rId11"/>
    <Relationship TargetMode="External" Target="https://www.legis.iowa.gov/docs/iac/rule/721.25.30.pdf" Type="http://schemas.openxmlformats.org/officeDocument/2006/relationships/hyperlink" Id="rId12"/>
    <Relationship TargetMode="External" Target="https://www.legis.iowa.gov/docs/ico/chapter/17A.16.pdf" Type="http://schemas.openxmlformats.org/officeDocument/2006/relationships/hyperlink" Id="rId13"/>
    <Relationship TargetMode="External" Target="https://www.legis.iowa.gov/docs/iac/rule/721.25.23.pdf" Type="http://schemas.openxmlformats.org/officeDocument/2006/relationships/hyperlink" Id="rId14"/>
    <Relationship TargetMode="External" Target="https://www.legis.iowa.gov/docs/iac/rule/721.25.26.pdf" Type="http://schemas.openxmlformats.org/officeDocument/2006/relationships/hyperlink" Id="rId15"/>
    <Relationship TargetMode="External" Target="https://www.legis.iowa.gov/docs/ico/chapter/4.1.pdf" Type="http://schemas.openxmlformats.org/officeDocument/2006/relationships/hyperlink" Id="rId16"/>
    <Relationship TargetMode="External" Target="https://www.legis.iowa.gov/docs/ico/chapter/17A.17.pdf" Type="http://schemas.openxmlformats.org/officeDocument/2006/relationships/hyperlink" Id="rId17"/>
    <Relationship TargetMode="External" Target="https://www.legis.iowa.gov/docs/iac/rule/721.25.26.pdf" Type="http://schemas.openxmlformats.org/officeDocument/2006/relationships/hyperlink" Id="rId18"/>
    <Relationship TargetMode="External" Target="https://www.legis.iowa.gov/docs/iac/rule/721.25.14.pdf" Type="http://schemas.openxmlformats.org/officeDocument/2006/relationships/hyperlink" Id="rId19"/>
    <Relationship TargetMode="External" Target="https://www.legis.iowa.gov/docs/ico/chapter/17A.17.pdf" Type="http://schemas.openxmlformats.org/officeDocument/2006/relationships/hyperlink" Id="rId20"/>
    <Relationship TargetMode="External" Target="https://www.legis.iowa.gov/docs/ico/chapter/17A.16.pdf" Type="http://schemas.openxmlformats.org/officeDocument/2006/relationships/hyperlink" Id="rId21"/>
    <Relationship TargetMode="External" Target="https://www.legis.iowa.gov/docs/iac/rule/721.25.17.pdf" Type="http://schemas.openxmlformats.org/officeDocument/2006/relationships/hyperlink" Id="rId22"/>
    <Relationship TargetMode="External" Target="https://www.legis.iowa.gov/docs/iac/rule/721.25.18.pdf" Type="http://schemas.openxmlformats.org/officeDocument/2006/relationships/hyperlink" Id="rId23"/>
    <Relationship TargetMode="External" Target="https://www.legis.iowa.gov/docs/iac/rule/721.25.29.pdf" Type="http://schemas.openxmlformats.org/officeDocument/2006/relationships/hyperlink" Id="rId24"/>
    <Relationship TargetMode="External" Target="https://www.legis.iowa.gov/docs/iac/rule/721.25.30.pdf" Type="http://schemas.openxmlformats.org/officeDocument/2006/relationships/hyperlink" Id="rId25"/>
    <Relationship TargetMode="External" Target="https://www.legis.iowa.gov/docs/iac/rule/721.25.29.pdf" Type="http://schemas.openxmlformats.org/officeDocument/2006/relationships/hyperlink" Id="rId26"/>
    <Relationship TargetMode="External" Target="https://www.legis.iowa.gov/docs/iac/rule/721.25.31.pdf" Type="http://schemas.openxmlformats.org/officeDocument/2006/relationships/hyperlink" Id="rId27"/>
    <Relationship TargetMode="External" Target="https://www.legis.iowa.gov/docs/iac/rule/721.25.30.pdf" Type="http://schemas.openxmlformats.org/officeDocument/2006/relationships/hyperlink" Id="rId28"/>
    <Relationship TargetMode="External" Target="https://www.legis.iowa.gov/docs/iac/rule/721.25.30.pdf" Type="http://schemas.openxmlformats.org/officeDocument/2006/relationships/hyperlink" Id="rId29"/>
    <Relationship TargetMode="External" Target="https://www.legis.iowa.gov/docs/iac/rule/721.25.32.pdf" Type="http://schemas.openxmlformats.org/officeDocument/2006/relationships/hyperlink" Id="rId30"/>
    <Relationship TargetMode="External" Target="https://www.legis.iowa.gov/docs/iac/rule/721.25.14.pdf" Type="http://schemas.openxmlformats.org/officeDocument/2006/relationships/hyperlink" Id="rId31"/>
    <Relationship TargetMode="External" Target="https://www.legis.iowa.gov/docs/iac/rule/721.25.4.pdf" Type="http://schemas.openxmlformats.org/officeDocument/2006/relationships/hyperlink" Id="rId32"/>
    <Relationship TargetMode="External" Target="https://www.legis.iowa.gov/docs/iac/rule/721.25.26.pdf" Type="http://schemas.openxmlformats.org/officeDocument/2006/relationships/hyperlink" Id="rId33"/>
    <Relationship TargetMode="External" Target="https://www.legis.iowa.gov/docs/iac/rule/721.25.20.pdf" Type="http://schemas.openxmlformats.org/officeDocument/2006/relationships/hyperlink" Id="rId34"/>
    <Relationship TargetMode="External" Target="https://www.legis.iowa.gov/docs/ico/chapter/17A.13.pdf" Type="http://schemas.openxmlformats.org/officeDocument/2006/relationships/hyperlink" Id="rId35"/>
    <Relationship TargetMode="External" Target="https://www.legis.iowa.gov/docs/ico/chapter/17A.3.pdf" Type="http://schemas.openxmlformats.org/officeDocument/2006/relationships/hyperlink" Id="rId36"/>
    <Relationship TargetMode="External" Target="https://www.legis.iowa.gov/docs/iac/rule/721.25.31.pdf" Type="http://schemas.openxmlformats.org/officeDocument/2006/relationships/hyperlink" Id="rId37"/>
    <Relationship TargetMode="External" Target="https://www.legis.iowa.gov/docs/ico/chapter/17A.19.pdf" Type="http://schemas.openxmlformats.org/officeDocument/2006/relationships/hyperlink" Id="rId38"/>
    <Relationship TargetMode="External" Target="https://www.legis.iowa.gov/docs/iac/rule/721.25.1.pdf" Type="http://schemas.openxmlformats.org/officeDocument/2006/relationships/hyperlink" Id="rId39"/>
    <Relationship TargetMode="External" Target="https://www.legis.iowa.gov/docs/iac/rule/721.25.9.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7A.19.pdf" Type="http://schemas.openxmlformats.org/officeDocument/2006/relationships/hyperlink" Id="rId42"/>
    <Relationship TargetMode="External" Target="https://www.legis.iowa.gov/docs/iac/rule/721.25.31.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