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UNOFFICIAL CANVASS OF VOTES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721—24.1</w:t>
      </w:r>
      <w:r>
        <w:rPr>
          <w:rFonts w:ascii="Times New Roman" w:hAnsi="Times New Roman"/>
          <w:b/>
          <w:i w:val="false"/>
          <w:color w:val="000000"/>
          <w:sz w:val="22"/>
        </w:rPr>
        <w:t xml:space="preserve">(47) </w:t>
      </w:r>
      <w:r>
        <w:rPr>
          <w:rFonts w:ascii="Times New Roman" w:hAnsi="Times New Roman"/>
          <w:b/>
          <w:i w:val="false"/>
          <w:color w:val="000000"/>
          <w:sz w:val="22"/>
        </w:rPr>
        <w:t xml:space="preserve">Unofficial canvass. </w:t>
      </w:r>
      <w:r>
        <w:rPr>
          <w:rFonts w:ascii="Times New Roman" w:hAnsi="Times New Roman"/>
          <w:b w:val="false"/>
          <w:i w:val="false"/>
          <w:color w:val="000000"/>
          <w:sz w:val="22"/>
        </w:rPr>
        <w:t>The state commissioner of elections, in cooperation with the county commissioners of elections, shall conduct an unofficial canvass of election results after the closing of the polls on the day of a general election. The unofficial canvass shall report election results for national offices, statewide offices, the office of state representative, the office of state senator, and other offices or public measures at the discretion of the state commissioner. The purpose of the unofficial canvass is to provide the public with a convenient source of general election results before the official canvass.</w:t>
      </w:r>
    </w:p>
    <w:p>
      <w:pPr>
        <w:spacing w:before="210" w:after="0"/>
        <w:ind w:left="120"/>
        <w:jc w:val="both"/>
      </w:pPr>
      <w:r>
        <w:rPr>
          <w:rFonts w:ascii="Times New Roman" w:hAnsi="Times New Roman"/>
          <w:b/>
          <w:i w:val="false"/>
          <w:color w:val="000000"/>
          <w:sz w:val="22"/>
        </w:rPr>
        <w:t>721—24.2</w:t>
      </w:r>
      <w:r>
        <w:rPr>
          <w:rFonts w:ascii="Times New Roman" w:hAnsi="Times New Roman"/>
          <w:b/>
          <w:i w:val="false"/>
          <w:color w:val="000000"/>
          <w:sz w:val="22"/>
        </w:rPr>
        <w:t xml:space="preserve">(47) </w:t>
      </w:r>
      <w:r>
        <w:rPr>
          <w:rFonts w:ascii="Times New Roman" w:hAnsi="Times New Roman"/>
          <w:b/>
          <w:i w:val="false"/>
          <w:color w:val="000000"/>
          <w:sz w:val="22"/>
        </w:rPr>
        <w:t xml:space="preserve">Duties of the county commissioner of elections. </w:t>
      </w:r>
      <w:r>
        <w:rPr>
          <w:rFonts w:ascii="Times New Roman" w:hAnsi="Times New Roman"/>
          <w:b w:val="false"/>
          <w:i w:val="false"/>
          <w:color w:val="000000"/>
          <w:sz w:val="22"/>
        </w:rPr>
        <w:t xml:space="preserve">The county commissioner of elections shall provide election results to the state commissioner after all precincts have reported election results to the county commissioner, and before the closing of the office as provided in Iowa Code section </w:t>
      </w:r>
      <w:hyperlink r:id="rId5">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xml:space="preserve">. If the county commissioner determiners that all precincts will not report election results, the county commissioner shall report the most complete results available before the closing of the office as provided in Iowa Code section </w:t>
      </w:r>
      <w:hyperlink r:id="rId6">
        <w:r>
          <w:rPr>
            <w:rStyle w:val="Hyperlink"/>
            <w:rFonts w:ascii="Times New Roman" w:hAnsi="Times New Roman"/>
            <w:b w:val="false"/>
            <w:i w:val="false"/>
            <w:color w:val="000000"/>
            <w:sz w:val="22"/>
          </w:rPr>
          <w:t>50.11</w:t>
        </w:r>
      </w:hyperlink>
      <w:r>
        <w:rPr>
          <w:rFonts w:ascii="Times New Roman" w:hAnsi="Times New Roman"/>
          <w:b w:val="false"/>
          <w:i w:val="false"/>
          <w:color w:val="000000"/>
          <w:sz w:val="22"/>
        </w:rPr>
        <w:t>. The county commissioner shall specify the number of precincts included in the report to the state commissioner.</w:t>
      </w:r>
    </w:p>
    <w:p>
      <w:pPr>
        <w:spacing w:before="0" w:after="0"/>
        <w:ind w:left="120"/>
        <w:jc w:val="both"/>
      </w:pPr>
      <w:r>
        <w:rPr>
          <w:rFonts w:ascii="Times New Roman" w:hAnsi="Times New Roman"/>
          <w:b/>
          <w:i w:val="false"/>
          <w:color w:val="000000"/>
          <w:sz w:val="22"/>
        </w:rPr>
        <w:t>721—24.3</w:t>
      </w:r>
      <w:r>
        <w:rPr>
          <w:rFonts w:ascii="Times New Roman" w:hAnsi="Times New Roman"/>
          <w:b/>
          <w:i w:val="false"/>
          <w:color w:val="000000"/>
          <w:sz w:val="22"/>
        </w:rPr>
        <w:t xml:space="preserve">(47) </w:t>
      </w:r>
      <w:r>
        <w:rPr>
          <w:rFonts w:ascii="Times New Roman" w:hAnsi="Times New Roman"/>
          <w:b/>
          <w:i w:val="false"/>
          <w:color w:val="000000"/>
          <w:sz w:val="22"/>
        </w:rPr>
        <w:t xml:space="preserve">Duties of the state commissioner of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val="false"/>
          <w:color w:val="000000"/>
          <w:sz w:val="22"/>
        </w:rPr>
        <w:t>Before the general election, the state commissioner of elections shall provide a form and instructions for reporting unofficial election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val="false"/>
          <w:color w:val="000000"/>
          <w:sz w:val="22"/>
        </w:rPr>
        <w:t>The state commissioner shall tabulate unofficial election results, as the results are received from the county commissioners of elections, and shall make available to the public periodic reports of the results.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10/12/88—published 11/2/88, effective 10/12/88]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11.pdf" Type="http://schemas.openxmlformats.org/officeDocument/2006/relationships/hyperlink" Id="rId5"/>
    <Relationship TargetMode="External" Target="https://www.legis.iowa.gov/docs/ico/chapter/50.11.pdf" Type="http://schemas.openxmlformats.org/officeDocument/2006/relationships/hyperlink" Id="rId6"/>
    <Relationship TargetMode="External" Target="https://www.legis.iowa.gov/docs/ico/chapter/47.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