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VOTER REGISTRATION IN STATE AGENCIES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721—23.1</w:t>
      </w:r>
      <w:r>
        <w:rPr>
          <w:rFonts w:ascii="Times New Roman" w:hAnsi="Times New Roman"/>
          <w:b/>
          <w:i w:val="false"/>
          <w:color w:val="000000"/>
          <w:sz w:val="22"/>
        </w:rPr>
        <w:t xml:space="preserve">(48A)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means a voter registration agency as defined in Iowa Code section </w:t>
      </w:r>
      <w:hyperlink r:id="rId5">
        <w:r>
          <w:rPr>
            <w:rStyle w:val="Hyperlink"/>
            <w:rFonts w:ascii="Times New Roman" w:hAnsi="Times New Roman"/>
            <w:b w:val="false"/>
            <w:i w:val="false"/>
            <w:color w:val="000000"/>
            <w:sz w:val="22"/>
          </w:rPr>
          <w:t>48A.19</w:t>
        </w:r>
      </w:hyperlink>
      <w:r>
        <w:rPr>
          <w:rFonts w:ascii="Times New Roman" w:hAnsi="Times New Roman"/>
          <w:b w:val="false"/>
          <w:i w:val="false"/>
          <w:color w:val="000000"/>
          <w:sz w:val="22"/>
        </w:rPr>
        <w:t xml:space="preserve"> and the offices of each county auditor.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is provided an application for services or assistance by a voter registration agency. This includes persons who have been accepted for services or assistance and who are submitting change of address notices or applications for renewal or recertification. The term also includes a person who has submitted an application for services or assistance and whose application has been rejected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the forms used to request services or assistance from a voter registration agency and which are used to determine eligibility. If no written form is required or used, “application” means the act of requesting services 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“Recertification” </w:t>
      </w:r>
      <w:r>
        <w:rPr>
          <w:rFonts w:ascii="Times New Roman" w:hAnsi="Times New Roman"/>
          <w:b w:val="false"/>
          <w:i w:val="false"/>
          <w:color w:val="000000"/>
          <w:sz w:val="22"/>
        </w:rPr>
        <w:t>means a process initiated by the agency to reevaluate the applicant’s qualifications for services or assistance. This does not include regular reports by applicants to show continuing eligibility or compliance with agency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means the process of applying to continue to receive services or assistance from an agency after the prescribed time of service has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or assistance” </w:t>
      </w:r>
      <w:r>
        <w:rPr>
          <w:rFonts w:ascii="Times New Roman" w:hAnsi="Times New Roman"/>
          <w:b w:val="false"/>
          <w:i w:val="false"/>
          <w:color w:val="000000"/>
          <w:sz w:val="22"/>
        </w:rPr>
        <w:t xml:space="preserve">means a government benefit or service other than voter registration for which application is made to an agency. </w:t>
      </w:r>
    </w:p>
    <w:p>
      <w:pPr>
        <w:spacing w:before="210" w:after="0"/>
        <w:ind w:left="120"/>
        <w:jc w:val="both"/>
      </w:pPr>
      <w:r>
        <w:rPr>
          <w:rFonts w:ascii="Times New Roman" w:hAnsi="Times New Roman"/>
          <w:b/>
          <w:i w:val="false"/>
          <w:color w:val="000000"/>
          <w:sz w:val="22"/>
        </w:rPr>
        <w:t>721—23.2</w:t>
      </w:r>
      <w:r>
        <w:rPr>
          <w:rFonts w:ascii="Times New Roman" w:hAnsi="Times New Roman"/>
          <w:b/>
          <w:i w:val="false"/>
          <w:color w:val="000000"/>
          <w:sz w:val="22"/>
        </w:rPr>
        <w:t xml:space="preserve">(48A) </w:t>
      </w:r>
      <w:r>
        <w:rPr>
          <w:rFonts w:ascii="Times New Roman" w:hAnsi="Times New Roman"/>
          <w:b/>
          <w:i w:val="false"/>
          <w:color w:val="000000"/>
          <w:sz w:val="22"/>
        </w:rPr>
        <w:t xml:space="preserve">Registration forms. </w:t>
      </w:r>
      <w:r>
        <w:rPr>
          <w:rFonts w:ascii="Times New Roman" w:hAnsi="Times New Roman"/>
          <w:b w:val="false"/>
          <w:i w:val="false"/>
          <w:color w:val="000000"/>
          <w:sz w:val="22"/>
        </w:rPr>
        <w:t>The use of electronic registration records and combined forms for voter registration and for application for services is encouraged. These forms shall be approved by the voter registration commission. Otherwise, the Iowa mail registration form shall be used. Agencies, such as military recruiting offices, which serve a substantial number of applicants who live outside the state of Iowa shall keep a supply of the Election Assistance Commission’s national registration form.</w:t>
      </w:r>
    </w:p>
    <w:p>
      <w:pPr>
        <w:spacing w:before="0" w:after="0"/>
        <w:ind w:left="120"/>
        <w:jc w:val="both"/>
      </w:pPr>
      <w:r>
        <w:rPr>
          <w:rFonts w:ascii="Times New Roman" w:hAnsi="Times New Roman"/>
          <w:b/>
          <w:i w:val="false"/>
          <w:color w:val="000000"/>
          <w:sz w:val="22"/>
        </w:rPr>
        <w:t>721—23.3</w:t>
      </w:r>
      <w:r>
        <w:rPr>
          <w:rFonts w:ascii="Times New Roman" w:hAnsi="Times New Roman"/>
          <w:b/>
          <w:i w:val="false"/>
          <w:color w:val="000000"/>
          <w:sz w:val="22"/>
        </w:rPr>
        <w:t xml:space="preserve">(48A) </w:t>
      </w:r>
      <w:r>
        <w:rPr>
          <w:rFonts w:ascii="Times New Roman" w:hAnsi="Times New Roman"/>
          <w:b/>
          <w:i w:val="false"/>
          <w:color w:val="000000"/>
          <w:sz w:val="22"/>
        </w:rPr>
        <w:t xml:space="preserve">Declination forms. </w:t>
      </w:r>
      <w:r>
        <w:rPr>
          <w:rFonts w:ascii="Times New Roman" w:hAnsi="Times New Roman"/>
          <w:b w:val="false"/>
          <w:i w:val="false"/>
          <w:color w:val="000000"/>
          <w:sz w:val="22"/>
        </w:rPr>
        <w:t>The offer of voter registration shall include a declination form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STATE OF IOWA</w:t>
      </w:r>
    </w:p>
    <w:p>
      <w:pPr>
        <w:spacing w:before="0" w:after="0"/>
        <w:ind w:left="120"/>
        <w:jc w:val="center"/>
      </w:pPr>
      <w:r>
        <w:rPr>
          <w:rFonts w:ascii="Times New Roman" w:hAnsi="Times New Roman"/>
          <w:b w:val="false"/>
          <w:i w:val="false"/>
          <w:color w:val="000000"/>
          <w:sz w:val="22"/>
        </w:rPr>
        <w:t>Voter Registration Information</w:t>
      </w:r>
    </w:p>
    <w:p>
      <w:pPr>
        <w:spacing w:before="0" w:after="0"/>
        <w:ind w:left="120"/>
        <w:jc w:val="both"/>
      </w:pPr>
      <w:r>
        <w:rPr>
          <w:rFonts w:ascii="Times New Roman" w:hAnsi="Times New Roman"/>
          <w:b/>
          <w:i w:val="false"/>
          <w:color w:val="000000"/>
          <w:sz w:val="22"/>
        </w:rPr>
        <w:t>You can apply to register to vote when you apply for assistance. This agency is required to offer you the chance to register to vote.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Registration Rules—You must be registered before you can vote in an election.</w:t>
      </w:r>
    </w:p>
    <w:p>
      <w:pPr>
        <w:spacing w:before="0" w:after="0"/>
        <w:ind w:left="120"/>
        <w:jc w:val="both"/>
      </w:pPr>
      <w:r>
        <w:rPr>
          <w:rFonts w:ascii="Times New Roman" w:hAnsi="Times New Roman"/>
          <w:b w:val="false"/>
          <w:i w:val="false"/>
          <w:color w:val="000000"/>
          <w:sz w:val="22"/>
        </w:rPr>
        <w:t>To register to vote in Iowa you must—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a citizen of the United States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a resident of Iowa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at least 17 years old (you must be 18 years old by election day to vote)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not have been convicted of a felony (or have had your rights restored)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not currently be judged “mentally incompetent” by a court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give up the right to vote in any other place.</w:t>
      </w:r>
    </w:p>
    <w:p>
      <w:pPr>
        <w:spacing w:before="0" w:after="0"/>
        <w:ind w:left="120"/>
        <w:jc w:val="both"/>
      </w:pPr>
      <w:r>
        <w:rPr>
          <w:rFonts w:ascii="Times New Roman" w:hAnsi="Times New Roman"/>
          <w:b w:val="false"/>
          <w:i w:val="false"/>
          <w:color w:val="000000"/>
          <w:sz w:val="22"/>
        </w:rPr>
        <w:t>Help: If you would like help in filling out the voter registration form, we will help you. The decision whether to seek or accept help is yours. You may fill out the application form in private.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Benefits: Applying to register or declining to register to vote will not affect the amount of assistance that you will be provided by this agency.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Privacy: If you register to vote, the name of the office where you turn in the form will be kept private. If you do </w:t>
      </w:r>
      <w:r>
        <w:rPr>
          <w:rFonts w:ascii="Times New Roman" w:hAnsi="Times New Roman"/>
          <w:b w:val="false"/>
          <w:i w:val="false"/>
          <w:color w:val="000000"/>
          <w:sz w:val="22"/>
          <w:u w:val="single"/>
        </w:rPr>
        <w:t>not</w:t>
      </w:r>
      <w:r>
        <w:rPr>
          <w:rFonts w:ascii="Times New Roman" w:hAnsi="Times New Roman"/>
          <w:b w:val="false"/>
          <w:i w:val="false"/>
          <w:color w:val="000000"/>
          <w:sz w:val="22"/>
        </w:rPr>
        <w:t xml:space="preserve"> register to vote, this fact will be kept private. This information will be used only for voter registration purposes.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Complaints: If you believe that someone has interfered with your right to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register or to decline to register to vote,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privacy in deciding whether to register,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privacy in applying to register to vote,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choose your own political party or other political preference,</w:t>
      </w:r>
    </w:p>
    <w:p>
      <w:pPr>
        <w:spacing w:before="0" w:after="0"/>
        <w:ind w:left="356"/>
        <w:jc w:val="both"/>
      </w:pPr>
      <w:r>
        <w:rPr>
          <w:rFonts w:ascii="Times New Roman" w:hAnsi="Times New Roman"/>
          <w:b w:val="false"/>
          <w:i w:val="false"/>
          <w:color w:val="000000"/>
          <w:sz w:val="22"/>
        </w:rPr>
        <w:t>you may file a complaint with:</w:t>
      </w:r>
    </w:p>
    <w:p>
      <w:pPr>
        <w:spacing w:before="0" w:after="0"/>
        <w:ind w:left="560"/>
        <w:jc w:val="both"/>
      </w:pPr>
      <w:r>
        <w:rPr>
          <w:rFonts w:ascii="Times New Roman" w:hAnsi="Times New Roman"/>
          <w:b w:val="false"/>
          <w:i w:val="false"/>
          <w:color w:val="000000"/>
          <w:sz w:val="22"/>
        </w:rPr>
        <w:t>Voter Registration Commission</w:t>
      </w:r>
    </w:p>
    <w:p>
      <w:pPr>
        <w:spacing w:before="0" w:after="0"/>
        <w:ind w:left="560"/>
        <w:jc w:val="both"/>
      </w:pPr>
      <w:r>
        <w:rPr>
          <w:rFonts w:ascii="Times New Roman" w:hAnsi="Times New Roman"/>
          <w:b w:val="false"/>
          <w:i w:val="false"/>
          <w:color w:val="000000"/>
          <w:sz w:val="22"/>
        </w:rPr>
        <w:t>Office of the Secretary of State</w:t>
      </w:r>
    </w:p>
    <w:p>
      <w:pPr>
        <w:spacing w:before="0" w:after="0"/>
        <w:ind w:left="560"/>
        <w:jc w:val="both"/>
      </w:pPr>
      <w:r>
        <w:rPr>
          <w:rFonts w:ascii="Times New Roman" w:hAnsi="Times New Roman"/>
          <w:b w:val="false"/>
          <w:i w:val="false"/>
          <w:color w:val="000000"/>
          <w:sz w:val="22"/>
        </w:rPr>
        <w:t>Lucas State Office Building</w:t>
      </w:r>
    </w:p>
    <w:p>
      <w:pPr>
        <w:spacing w:before="0" w:after="0"/>
        <w:ind w:left="560"/>
        <w:jc w:val="both"/>
      </w:pPr>
      <w:r>
        <w:rPr>
          <w:rFonts w:ascii="Times New Roman" w:hAnsi="Times New Roman"/>
          <w:b w:val="false"/>
          <w:i w:val="false"/>
          <w:color w:val="000000"/>
          <w:sz w:val="22"/>
        </w:rPr>
        <w:t>Des Moines, Iowa 50319</w:t>
      </w:r>
    </w:p>
    <w:p>
      <w:pPr>
        <w:spacing w:before="0" w:after="0"/>
        <w:ind w:left="560"/>
        <w:jc w:val="both"/>
      </w:pPr>
      <w:r>
        <w:rPr>
          <w:rFonts w:ascii="Times New Roman" w:hAnsi="Times New Roman"/>
          <w:b w:val="false"/>
          <w:i w:val="false"/>
          <w:color w:val="000000"/>
          <w:sz w:val="22"/>
        </w:rPr>
        <w:t>Telephone: (515)281-0145</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If you are not registered to vote where you live now, would you like to apply to register to vote here today?</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i w:val="false"/>
          <w:color w:val="000000"/>
          <w:sz w:val="22"/>
        </w:rPr>
        <w:t>Yes,</w:t>
      </w:r>
      <w:r>
        <w:rPr>
          <w:rFonts w:ascii="Times New Roman" w:hAnsi="Times New Roman"/>
          <w:b w:val="false"/>
          <w:i w:val="false"/>
          <w:color w:val="000000"/>
          <w:sz w:val="22"/>
        </w:rPr>
        <w:t xml:space="preserve"> I want to register to vote.</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i w:val="false"/>
          <w:color w:val="000000"/>
          <w:sz w:val="22"/>
        </w:rPr>
        <w:t>No,</w:t>
      </w:r>
      <w:r>
        <w:rPr>
          <w:rFonts w:ascii="Times New Roman" w:hAnsi="Times New Roman"/>
          <w:b w:val="false"/>
          <w:i w:val="false"/>
          <w:color w:val="000000"/>
          <w:sz w:val="22"/>
        </w:rPr>
        <w:t xml:space="preserve"> I do not want to register to vote.</w:t>
      </w:r>
    </w:p>
    <w:p>
      <w:pPr>
        <w:spacing w:before="0" w:after="0"/>
        <w:ind w:left="120"/>
        <w:jc w:val="both"/>
      </w:pPr>
      <w:r>
        <w:rPr>
          <w:rFonts w:ascii="Times New Roman" w:hAnsi="Times New Roman"/>
          <w:b w:val="false"/>
          <w:i w:val="false"/>
          <w:color w:val="000000"/>
          <w:sz w:val="22"/>
        </w:rPr>
        <w:t>If you do not check either box, you will be considered to have decided not to register to vote at this time.</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334"/>
        <w:gridCol w:w="853"/>
        <w:gridCol w:w="5333"/>
      </w:tblGrid>
      <w:tr>
        <w:trPr>
          <w:trHeight w:val="270" w:hRule="atLeast"/>
        </w:trPr>
        <w:tc>
          <w:tcPr>
            <w:tcW w:w="5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Sign here: X </w:t>
            </w:r>
          </w:p>
        </w:tc>
        <w:tc>
          <w:tcPr>
            <w:tcW w:w="8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5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Print your name: </w:t>
            </w:r>
          </w:p>
        </w:tc>
        <w:tc>
          <w:tcPr>
            <w:tcW w:w="8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2490C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4491C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721—23.4</w:t>
      </w:r>
      <w:r>
        <w:rPr>
          <w:rFonts w:ascii="Times New Roman" w:hAnsi="Times New Roman"/>
          <w:b/>
          <w:i w:val="false"/>
          <w:color w:val="000000"/>
          <w:sz w:val="22"/>
        </w:rPr>
        <w:t xml:space="preserve">(48A) </w:t>
      </w:r>
      <w:r>
        <w:rPr>
          <w:rFonts w:ascii="Times New Roman" w:hAnsi="Times New Roman"/>
          <w:b/>
          <w:i w:val="false"/>
          <w:color w:val="000000"/>
          <w:sz w:val="22"/>
        </w:rPr>
        <w:t xml:space="preserve">Electronic declination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val="false"/>
          <w:color w:val="000000"/>
          <w:sz w:val="22"/>
        </w:rPr>
        <w:t>The agency may offer the opportunity to register to vote orally and record the applicant’s responses electronically. The agency shall ask each applicant the following questions:</w:t>
      </w:r>
    </w:p>
    <w:p>
      <w:pPr>
        <w:spacing w:before="0" w:after="0"/>
        <w:ind w:left="120"/>
        <w:jc w:val="both"/>
      </w:pPr>
      <w:r>
        <w:rPr>
          <w:rFonts w:ascii="Times New Roman" w:hAnsi="Times New Roman"/>
          <w:b w:val="false"/>
          <w:i w:val="false"/>
          <w:color w:val="000000"/>
          <w:sz w:val="22"/>
        </w:rPr>
        <w:t>“Did you receive a copy of the Voter Registration Information brochure?” If the applicant has not received it, the agency shall provide the applicant with a copy of the brochure and shall review it with the applicant. Then the applicant shall be asked the following question:</w:t>
      </w:r>
    </w:p>
    <w:p>
      <w:pPr>
        <w:spacing w:before="0" w:after="0"/>
        <w:ind w:left="120"/>
        <w:jc w:val="both"/>
      </w:pPr>
      <w:r>
        <w:rPr>
          <w:rFonts w:ascii="Times New Roman" w:hAnsi="Times New Roman"/>
          <w:b w:val="false"/>
          <w:i w:val="false"/>
          <w:color w:val="000000"/>
          <w:sz w:val="22"/>
        </w:rPr>
        <w:t>“If you are not registered to vote where you live now, would you like to apply to register to vote here today?” (The applicant may answer yes or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applicant does not answer, the applicant shall be presumed to have declined to register to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val="false"/>
          <w:color w:val="000000"/>
          <w:sz w:val="22"/>
        </w:rPr>
        <w:t>The agency shall track the results of its voter registration activities in a form prescribed by the secretary of state’s office. The agency shall report those totals in the prescribed format to the elections division of the secretary of state’s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w:t>
      </w:r>
      <w:r>
        <w:rPr>
          <w:rFonts w:ascii="Times New Roman" w:hAnsi="Times New Roman"/>
          <w:b w:val="false"/>
          <w:i w:val="false"/>
          <w:color w:val="000000"/>
          <w:sz w:val="22"/>
        </w:rPr>
        <w:t> </w:t>
      </w:r>
      <w:r>
        <w:rPr>
          <w:rFonts w:ascii="Times New Roman" w:hAnsi="Times New Roman"/>
          <w:b w:val="false"/>
          <w:i w:val="false"/>
          <w:color w:val="000000"/>
          <w:sz w:val="22"/>
        </w:rPr>
        <w:t>The secretary of state’s office shall make the information available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2490C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721—23.5</w:t>
      </w:r>
      <w:r>
        <w:rPr>
          <w:rFonts w:ascii="Times New Roman" w:hAnsi="Times New Roman"/>
          <w:b/>
          <w:i w:val="false"/>
          <w:color w:val="000000"/>
          <w:sz w:val="22"/>
        </w:rPr>
        <w:t xml:space="preserve">(48A) </w:t>
      </w:r>
      <w:r>
        <w:rPr>
          <w:rFonts w:ascii="Times New Roman" w:hAnsi="Times New Roman"/>
          <w:b/>
          <w:i w:val="false"/>
          <w:color w:val="000000"/>
          <w:sz w:val="22"/>
        </w:rPr>
        <w:t xml:space="preserve">Retention and storage of declination forms. </w:t>
      </w:r>
      <w:r>
        <w:rPr>
          <w:rFonts w:ascii="Times New Roman" w:hAnsi="Times New Roman"/>
          <w:b w:val="false"/>
          <w:i w:val="false"/>
          <w:color w:val="000000"/>
          <w:sz w:val="22"/>
        </w:rPr>
        <w:t>Declination forms shall be retained by the agency receiving them for 22 months after the next general election following receipt of the form. Declination forms signed during the ten days before a general election, when registration is closed, shall be retained for 22 months after the general election to be held in two years. The forms shall be stored in a secure location where the safety and confidentiality of the records can be protected. If the applicant’s responses are stored electronically, the declination record shall be retained by the agency for the same period of time required for paper declination forms. The secretary of state’s office shall maintain on its Web site a schedule for disposal of declination forms.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2490C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721—23.6</w:t>
      </w:r>
      <w:r>
        <w:rPr>
          <w:rFonts w:ascii="Times New Roman" w:hAnsi="Times New Roman"/>
          <w:b/>
          <w:i w:val="false"/>
          <w:color w:val="000000"/>
          <w:sz w:val="22"/>
        </w:rPr>
        <w:t xml:space="preserve">(48A) </w:t>
      </w:r>
      <w:r>
        <w:rPr>
          <w:rFonts w:ascii="Times New Roman" w:hAnsi="Times New Roman"/>
          <w:b/>
          <w:i w:val="false"/>
          <w:color w:val="000000"/>
          <w:sz w:val="22"/>
        </w:rPr>
        <w:t xml:space="preserve">Distribution of voter registration forms. </w:t>
      </w:r>
      <w:r>
        <w:rPr>
          <w:rFonts w:ascii="Times New Roman" w:hAnsi="Times New Roman"/>
          <w:b w:val="false"/>
          <w:i w:val="false"/>
          <w:color w:val="000000"/>
          <w:sz w:val="22"/>
        </w:rPr>
        <w:t xml:space="preserve">All persons, except those exempted by rule </w:t>
      </w:r>
      <w:hyperlink r:id="rId6">
        <w:r>
          <w:rPr>
            <w:rStyle w:val="Hyperlink"/>
            <w:rFonts w:ascii="Times New Roman" w:hAnsi="Times New Roman"/>
            <w:b w:val="false"/>
            <w:i w:val="false"/>
            <w:color w:val="000000"/>
            <w:sz w:val="22"/>
          </w:rPr>
          <w:t>721—23.10</w:t>
        </w:r>
      </w:hyperlink>
      <w:r>
        <w:rPr>
          <w:rFonts w:ascii="Times New Roman" w:hAnsi="Times New Roman"/>
          <w:b w:val="false"/>
          <w:i w:val="false"/>
          <w:color w:val="000000"/>
          <w:sz w:val="22"/>
        </w:rPr>
        <w:t xml:space="preserve">(48A), who receive an application for services or assistance from a designated voter registration agency shall be given, along with the application, a voter registration form and the declination form described in rule </w:t>
      </w:r>
      <w:hyperlink r:id="rId7">
        <w:r>
          <w:rPr>
            <w:rStyle w:val="Hyperlink"/>
            <w:rFonts w:ascii="Times New Roman" w:hAnsi="Times New Roman"/>
            <w:b w:val="false"/>
            <w:i w:val="false"/>
            <w:color w:val="000000"/>
            <w:sz w:val="22"/>
          </w:rPr>
          <w:t>721—23.3</w:t>
        </w:r>
      </w:hyperlink>
      <w:r>
        <w:rPr>
          <w:rFonts w:ascii="Times New Roman" w:hAnsi="Times New Roman"/>
          <w:b w:val="false"/>
          <w:i w:val="false"/>
          <w:color w:val="000000"/>
          <w:sz w:val="22"/>
        </w:rPr>
        <w:t>(48A).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2490C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721—23.7</w:t>
      </w:r>
      <w:r>
        <w:rPr>
          <w:rFonts w:ascii="Times New Roman" w:hAnsi="Times New Roman"/>
          <w:b/>
          <w:i w:val="false"/>
          <w:color w:val="000000"/>
          <w:sz w:val="22"/>
        </w:rPr>
        <w:t xml:space="preserve">(48A) </w:t>
      </w:r>
      <w:r>
        <w:rPr>
          <w:rFonts w:ascii="Times New Roman" w:hAnsi="Times New Roman"/>
          <w:b/>
          <w:i w:val="false"/>
          <w:color w:val="000000"/>
          <w:sz w:val="22"/>
        </w:rPr>
        <w:t xml:space="preserve">Applications, recertifications, renewals and changes of address received from applicant representatives. </w:t>
      </w:r>
      <w:r>
        <w:rPr>
          <w:rFonts w:ascii="Times New Roman" w:hAnsi="Times New Roman"/>
          <w:b w:val="false"/>
          <w:i w:val="false"/>
          <w:color w:val="000000"/>
          <w:sz w:val="22"/>
        </w:rPr>
        <w:t>Agencies which permit applicants to be represented by another person shall offer the opportunity to register to vote to each applicant. The declination form and registration form shall be given to the applicant’s representative. If the applicant registers to vote, the applicant shall sign the form. The declination form and registration form shall be returned to the agency.</w:t>
      </w:r>
    </w:p>
    <w:p>
      <w:pPr>
        <w:spacing w:before="0" w:after="0"/>
        <w:ind w:left="120"/>
        <w:jc w:val="both"/>
      </w:pPr>
      <w:r>
        <w:rPr>
          <w:rFonts w:ascii="Times New Roman" w:hAnsi="Times New Roman"/>
          <w:b/>
          <w:i w:val="false"/>
          <w:color w:val="000000"/>
          <w:sz w:val="22"/>
        </w:rPr>
        <w:t>721—23.8</w:t>
      </w:r>
      <w:r>
        <w:rPr>
          <w:rFonts w:ascii="Times New Roman" w:hAnsi="Times New Roman"/>
          <w:b/>
          <w:i w:val="false"/>
          <w:color w:val="000000"/>
          <w:sz w:val="22"/>
        </w:rPr>
        <w:t xml:space="preserve">(48A) </w:t>
      </w:r>
      <w:r>
        <w:rPr>
          <w:rFonts w:ascii="Times New Roman" w:hAnsi="Times New Roman"/>
          <w:b/>
          <w:i w:val="false"/>
          <w:color w:val="000000"/>
          <w:sz w:val="22"/>
        </w:rPr>
        <w:t xml:space="preserve">Recertification and renewal applications. </w:t>
      </w:r>
      <w:r>
        <w:rPr>
          <w:rFonts w:ascii="Times New Roman" w:hAnsi="Times New Roman"/>
          <w:b w:val="false"/>
          <w:i w:val="false"/>
          <w:color w:val="000000"/>
          <w:sz w:val="22"/>
        </w:rPr>
        <w:t>Applicants who apply in person for recertification and renewal of agency services or assistance shall be offered the opportunity to register to vote in the same way the offer is made to applicants making initial applications for services or assistance.</w:t>
      </w:r>
    </w:p>
    <w:p>
      <w:pPr>
        <w:spacing w:before="0" w:after="0"/>
        <w:ind w:left="120"/>
        <w:jc w:val="both"/>
      </w:pPr>
      <w:r>
        <w:rPr>
          <w:rFonts w:ascii="Times New Roman" w:hAnsi="Times New Roman"/>
          <w:b w:val="false"/>
          <w:i w:val="false"/>
          <w:color w:val="000000"/>
          <w:sz w:val="22"/>
        </w:rPr>
        <w:t>If the agency accepts recertification and renewal applications by telephone or by mail, the agency shall mail the applicant the declination form and a voter registration form.</w:t>
      </w:r>
    </w:p>
    <w:p>
      <w:pPr>
        <w:spacing w:before="0" w:after="0"/>
        <w:ind w:left="120"/>
        <w:jc w:val="both"/>
      </w:pPr>
      <w:r>
        <w:rPr>
          <w:rFonts w:ascii="Times New Roman" w:hAnsi="Times New Roman"/>
          <w:b/>
          <w:i w:val="false"/>
          <w:color w:val="000000"/>
          <w:sz w:val="22"/>
        </w:rPr>
        <w:t>721—23.9</w:t>
      </w:r>
      <w:r>
        <w:rPr>
          <w:rFonts w:ascii="Times New Roman" w:hAnsi="Times New Roman"/>
          <w:b/>
          <w:i w:val="false"/>
          <w:color w:val="000000"/>
          <w:sz w:val="22"/>
        </w:rPr>
        <w:t xml:space="preserve">(48A) </w:t>
      </w:r>
      <w:r>
        <w:rPr>
          <w:rFonts w:ascii="Times New Roman" w:hAnsi="Times New Roman"/>
          <w:b/>
          <w:i w:val="false"/>
          <w:color w:val="000000"/>
          <w:sz w:val="22"/>
        </w:rPr>
        <w:t xml:space="preserve">Change of address 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23.9(1)</w:t>
      </w:r>
      <w:r>
        <w:rPr>
          <w:rFonts w:ascii="Times New Roman" w:hAnsi="Times New Roman"/>
          <w:b w:val="false"/>
          <w:i w:val="false"/>
          <w:color w:val="000000"/>
          <w:sz w:val="22"/>
        </w:rPr>
        <w:t> </w:t>
      </w:r>
      <w:r>
        <w:rPr>
          <w:rFonts w:ascii="Times New Roman" w:hAnsi="Times New Roman"/>
          <w:b w:val="false"/>
          <w:i/>
          <w:color w:val="000000"/>
          <w:sz w:val="22"/>
        </w:rPr>
        <w:t xml:space="preserve">In person. </w:t>
      </w:r>
      <w:r>
        <w:rPr>
          <w:rFonts w:ascii="Times New Roman" w:hAnsi="Times New Roman"/>
          <w:b w:val="false"/>
          <w:i w:val="false"/>
          <w:color w:val="000000"/>
          <w:sz w:val="22"/>
        </w:rPr>
        <w:t>The agency shall offer the opportunity to register to vote to each applicant who submits a change of address notice in person. The applicant shall be provided with the declination form and the voter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23.9(2)</w:t>
      </w:r>
      <w:r>
        <w:rPr>
          <w:rFonts w:ascii="Times New Roman" w:hAnsi="Times New Roman"/>
          <w:b w:val="false"/>
          <w:i w:val="false"/>
          <w:color w:val="000000"/>
          <w:sz w:val="22"/>
        </w:rPr>
        <w:t> </w:t>
      </w:r>
      <w:r>
        <w:rPr>
          <w:rFonts w:ascii="Times New Roman" w:hAnsi="Times New Roman"/>
          <w:b w:val="false"/>
          <w:i/>
          <w:color w:val="000000"/>
          <w:sz w:val="22"/>
        </w:rPr>
        <w:t xml:space="preserve">By telephone. </w:t>
      </w:r>
      <w:r>
        <w:rPr>
          <w:rFonts w:ascii="Times New Roman" w:hAnsi="Times New Roman"/>
          <w:b w:val="false"/>
          <w:i w:val="false"/>
          <w:color w:val="000000"/>
          <w:sz w:val="22"/>
        </w:rPr>
        <w:t>Agencies are strongly urged to offer the opportunity to register to vote to applicants who submit changes of address by telephone. The applicant may be asked whether the change of address is intended for voter registration purposes. If the applicant says yes, the applicant shall be mailed a voter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23.9(3)</w:t>
      </w:r>
      <w:r>
        <w:rPr>
          <w:rFonts w:ascii="Times New Roman" w:hAnsi="Times New Roman"/>
          <w:b w:val="false"/>
          <w:i w:val="false"/>
          <w:color w:val="000000"/>
          <w:sz w:val="22"/>
        </w:rPr>
        <w:t> </w:t>
      </w:r>
      <w:r>
        <w:rPr>
          <w:rFonts w:ascii="Times New Roman" w:hAnsi="Times New Roman"/>
          <w:b w:val="false"/>
          <w:i/>
          <w:color w:val="000000"/>
          <w:sz w:val="22"/>
        </w:rPr>
        <w:t xml:space="preserve">By mail. </w:t>
      </w:r>
      <w:r>
        <w:rPr>
          <w:rFonts w:ascii="Times New Roman" w:hAnsi="Times New Roman"/>
          <w:b w:val="false"/>
          <w:i w:val="false"/>
          <w:color w:val="000000"/>
          <w:sz w:val="22"/>
        </w:rPr>
        <w:t>Change of address forms provided by the agency shall include the declination form and a voter registration form. If the change of address is reported without the use of the form, the agency shall provide the applicant with a written verification of the reported change of address which instructs the applicant how to obtain a voter registration form.</w:t>
      </w:r>
    </w:p>
    <w:p>
      <w:pPr>
        <w:spacing w:before="0" w:after="0"/>
        <w:ind w:left="120"/>
        <w:jc w:val="both"/>
      </w:pPr>
      <w:r>
        <w:rPr>
          <w:rFonts w:ascii="Times New Roman" w:hAnsi="Times New Roman"/>
          <w:b/>
          <w:i w:val="false"/>
          <w:color w:val="000000"/>
          <w:sz w:val="22"/>
        </w:rPr>
        <w:t>721—23.10</w:t>
      </w:r>
      <w:r>
        <w:rPr>
          <w:rFonts w:ascii="Times New Roman" w:hAnsi="Times New Roman"/>
          <w:b/>
          <w:i w:val="false"/>
          <w:color w:val="000000"/>
          <w:sz w:val="22"/>
        </w:rPr>
        <w:t xml:space="preserve">(48A) </w:t>
      </w:r>
      <w:r>
        <w:rPr>
          <w:rFonts w:ascii="Times New Roman" w:hAnsi="Times New Roman"/>
          <w:b/>
          <w:i w:val="false"/>
          <w:color w:val="000000"/>
          <w:sz w:val="22"/>
        </w:rPr>
        <w:t xml:space="preserve">Ineligible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23.10(1)</w:t>
      </w:r>
      <w:r>
        <w:rPr>
          <w:rFonts w:ascii="Times New Roman" w:hAnsi="Times New Roman"/>
          <w:b w:val="false"/>
          <w:i w:val="false"/>
          <w:color w:val="000000"/>
          <w:sz w:val="22"/>
        </w:rPr>
        <w:t> </w:t>
      </w:r>
      <w:r>
        <w:rPr>
          <w:rFonts w:ascii="Times New Roman" w:hAnsi="Times New Roman"/>
          <w:b w:val="false"/>
          <w:i/>
          <w:color w:val="000000"/>
          <w:sz w:val="22"/>
        </w:rPr>
        <w:t xml:space="preserve">Ineligible minor applicants. </w:t>
      </w:r>
      <w:r>
        <w:rPr>
          <w:rFonts w:ascii="Times New Roman" w:hAnsi="Times New Roman"/>
          <w:b w:val="false"/>
          <w:i w:val="false"/>
          <w:color w:val="000000"/>
          <w:sz w:val="22"/>
        </w:rPr>
        <w:t>An agency that has applicants who are ineligible to vote because they are minors shall not offer an opportunity to register to vote to applicants who the agency has validated are under the age of 17. The agency must still offer information about voter registration to all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23.10(2)</w:t>
      </w:r>
      <w:r>
        <w:rPr>
          <w:rFonts w:ascii="Times New Roman" w:hAnsi="Times New Roman"/>
          <w:b w:val="false"/>
          <w:i w:val="false"/>
          <w:color w:val="000000"/>
          <w:sz w:val="22"/>
        </w:rPr>
        <w:t> </w:t>
      </w:r>
      <w:r>
        <w:rPr>
          <w:rFonts w:ascii="Times New Roman" w:hAnsi="Times New Roman"/>
          <w:b w:val="false"/>
          <w:i/>
          <w:color w:val="000000"/>
          <w:sz w:val="22"/>
        </w:rPr>
        <w:t xml:space="preserve">All other ineligible applicants. </w:t>
      </w:r>
      <w:r>
        <w:rPr>
          <w:rFonts w:ascii="Times New Roman" w:hAnsi="Times New Roman"/>
          <w:b w:val="false"/>
          <w:i w:val="false"/>
          <w:color w:val="000000"/>
          <w:sz w:val="22"/>
        </w:rPr>
        <w:t xml:space="preserve">Except for those applicants specifically described in subrule </w:t>
      </w:r>
      <w:hyperlink r:id="rId8">
        <w:r>
          <w:rPr>
            <w:rStyle w:val="Hyperlink"/>
            <w:rFonts w:ascii="Times New Roman" w:hAnsi="Times New Roman"/>
            <w:b w:val="false"/>
            <w:i w:val="false"/>
            <w:color w:val="000000"/>
            <w:sz w:val="22"/>
          </w:rPr>
          <w:t>23.10(1)</w:t>
        </w:r>
      </w:hyperlink>
      <w:r>
        <w:rPr>
          <w:rFonts w:ascii="Times New Roman" w:hAnsi="Times New Roman"/>
          <w:b w:val="false"/>
          <w:i w:val="false"/>
          <w:color w:val="000000"/>
          <w:sz w:val="22"/>
        </w:rPr>
        <w:t>, the opportunity to register to vote must be offered to every applicant. The applicant, not the agency, is responsible for determining the applicant’s eligibility to register to vote. The agency shall accept a registration form even if it is submitted by an applicant the agency believes to be ineligible to register to vote.</w:t>
      </w:r>
    </w:p>
    <w:p>
      <w:pPr>
        <w:spacing w:before="0" w:after="0"/>
        <w:ind w:left="120"/>
        <w:jc w:val="both"/>
      </w:pPr>
      <w:r>
        <w:rPr>
          <w:rFonts w:ascii="Times New Roman" w:hAnsi="Times New Roman"/>
          <w:b w:val="false"/>
          <w:i w:val="false"/>
          <w:color w:val="000000"/>
          <w:sz w:val="22"/>
        </w:rPr>
        <w:t xml:space="preserve">Applicants who are not accepted for services or assistance by an agency shall be offered the opportunity to register to vote. Even if the applicant will not receive services or assistance from the agency, voter registration forms shall be processed and transmitted not later than the final working day of the week to the appropriate county commissioner of elections as required by Iowa Code section </w:t>
      </w:r>
      <w:hyperlink r:id="rId9">
        <w:r>
          <w:rPr>
            <w:rStyle w:val="Hyperlink"/>
            <w:rFonts w:ascii="Times New Roman" w:hAnsi="Times New Roman"/>
            <w:b w:val="false"/>
            <w:i w:val="false"/>
            <w:color w:val="000000"/>
            <w:sz w:val="22"/>
          </w:rPr>
          <w:t>48A.21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2490C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4491C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721—23.11</w:t>
      </w:r>
      <w:r>
        <w:rPr>
          <w:rFonts w:ascii="Times New Roman" w:hAnsi="Times New Roman"/>
          <w:b/>
          <w:i w:val="false"/>
          <w:color w:val="000000"/>
          <w:sz w:val="22"/>
        </w:rPr>
        <w:t xml:space="preserve">(48A) </w:t>
      </w:r>
      <w:r>
        <w:rPr>
          <w:rFonts w:ascii="Times New Roman" w:hAnsi="Times New Roman"/>
          <w:b/>
          <w:i w:val="false"/>
          <w:color w:val="000000"/>
          <w:sz w:val="22"/>
        </w:rPr>
        <w:t xml:space="preserve">Other voter registration agencies. </w:t>
      </w:r>
      <w:r>
        <w:rPr>
          <w:rFonts w:ascii="Times New Roman" w:hAnsi="Times New Roman"/>
          <w:b w:val="false"/>
          <w:i w:val="false"/>
          <w:color w:val="000000"/>
          <w:sz w:val="22"/>
        </w:rPr>
        <w:t>The offices of all Iowa county auditors shall provide voter registration services to applicants for services, such as licenses issued by the auditor’s office. These offices are required to provide declination forms to each person who is offered the opportunity to register to vote when applying for services at the auditor’s office.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48A.19(3)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Section 1973gg-5 of the National Voter Registration Act of 1993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7/8/88—published 7/27/88, effective 7/8/88]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1/4/90, Notice 11/15/89—published 1/24/90, effective 2/28/90]</w:t>
      </w:r>
    </w:p>
    <w:p>
      <w:pPr>
        <w:spacing w:before="0" w:after="0"/>
        <w:ind w:left="120"/>
        <w:jc w:val="center"/>
      </w:pPr>
      <w:r>
        <w:rPr>
          <w:rFonts w:ascii="Times New Roman" w:hAnsi="Times New Roman"/>
          <w:b w:val="false"/>
          <w:i w:val="false"/>
          <w:color w:val="000000"/>
          <w:sz w:val="21"/>
        </w:rPr>
        <w:t>[Filed 11/4/94, Notice 9/28/94—published 11/23/94, effective 1/1/95]</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2490C</w:t>
      </w:r>
      <w:r>
        <w:rPr>
          <w:rFonts w:ascii="Times New Roman" w:hAnsi="Times New Roman"/>
          <w:b w:val="false"/>
          <w:i w:val="false"/>
          <w:color w:val="000000"/>
          <w:sz w:val="21"/>
        </w:rPr>
        <w:t xml:space="preserve"> (Notice ARC 2262C, IAB 11/25/15)</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4491C</w:t>
      </w:r>
      <w:r>
        <w:rPr>
          <w:rFonts w:ascii="Times New Roman" w:hAnsi="Times New Roman"/>
          <w:b w:val="false"/>
          <w:i w:val="false"/>
          <w:color w:val="000000"/>
          <w:sz w:val="21"/>
        </w:rPr>
        <w:t xml:space="preserve"> (Notice ARC 4384C, IAB 4/10/19)</w:t>
      </w:r>
      <w:r>
        <w:rPr>
          <w:rFonts w:ascii="Times New Roman" w:hAnsi="Times New Roman"/>
          <w:b w:val="false"/>
          <w:i w:val="false"/>
          <w:color w:val="000000"/>
          <w:sz w:val="21"/>
        </w:rPr>
        <w:t>, IAB 6/5/19, effective 7/10/19]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A.19.pdf" Type="http://schemas.openxmlformats.org/officeDocument/2006/relationships/hyperlink" Id="rId5"/>
    <Relationship TargetMode="External" Target="https://www.legis.iowa.gov/docs/iac/rule/721.23.10.pdf" Type="http://schemas.openxmlformats.org/officeDocument/2006/relationships/hyperlink" Id="rId6"/>
    <Relationship TargetMode="External" Target="https://www.legis.iowa.gov/docs/iac/rule/721.23.3.pdf" Type="http://schemas.openxmlformats.org/officeDocument/2006/relationships/hyperlink" Id="rId7"/>
    <Relationship TargetMode="External" Target="https://www.legis.iowa.gov/docs/iac/rule/721.23.10.pdf" Type="http://schemas.openxmlformats.org/officeDocument/2006/relationships/hyperlink" Id="rId8"/>
    <Relationship TargetMode="External" Target="https://www.legis.iowa.gov/docs/ico/chapter/48A.21.pdf" Type="http://schemas.openxmlformats.org/officeDocument/2006/relationships/hyperlink" Id="rId9"/>
    <Relationship TargetMode="External" Target="https://www.legis.iowa.gov/docs/ico/chapter/48A.1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