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w:t>
      </w:r>
    </w:p>
    <w:p>
      <w:pPr>
        <w:pBdr>
          <w:bottom w:space="3"/>
        </w:pBdr>
        <w:spacing w:before="0" w:after="0"/>
        <w:ind w:left="120"/>
        <w:jc w:val="center"/>
      </w:pPr>
      <w:r>
        <w:rPr>
          <w:rFonts w:ascii="Times New Roman" w:hAnsi="Times New Roman"/>
          <w:b w:val="false"/>
          <w:i/>
          <w:color w:val="000000"/>
          <w:sz w:val="16"/>
        </w:rPr>
        <w:t>INHERITANCE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900</w:t>
      </w:r>
    </w:p>
    <w:p>
      <w:pPr>
        <w:spacing w:before="0" w:after="0"/>
        <w:ind w:left="120"/>
        <w:jc w:val="center"/>
      </w:pPr>
      <w:r>
        <w:rPr>
          <w:rFonts w:ascii="Times New Roman" w:hAnsi="Times New Roman"/>
          <w:b w:val="false"/>
          <w:i w:val="false"/>
          <w:color w:val="000000"/>
          <w:sz w:val="21"/>
        </w:rPr>
        <w:t>INHERITANCE TAX</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701—900.1</w:t>
      </w:r>
      <w:r>
        <w:rPr>
          <w:rFonts w:ascii="Times New Roman" w:hAnsi="Times New Roman"/>
          <w:b/>
          <w:i w:val="false"/>
          <w:color w:val="000000"/>
          <w:sz w:val="22"/>
        </w:rPr>
        <w:t xml:space="preserve">(450,450B)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w:t>
      </w:r>
      <w:r>
        <w:rPr>
          <w:rFonts w:ascii="Times New Roman" w:hAnsi="Times New Roman"/>
          <w:b w:val="false"/>
          <w:i w:val="false"/>
          <w:color w:val="000000"/>
          <w:sz w:val="22"/>
        </w:rPr>
        <w:t> </w:t>
      </w:r>
      <w:r>
        <w:rPr>
          <w:rFonts w:ascii="Times New Roman" w:hAnsi="Times New Roman"/>
          <w:b w:val="false"/>
          <w:i/>
          <w:color w:val="000000"/>
          <w:sz w:val="22"/>
        </w:rPr>
        <w:t xml:space="preserve">State inheritance tax. </w:t>
      </w:r>
      <w:r>
        <w:rPr>
          <w:rFonts w:ascii="Times New Roman" w:hAnsi="Times New Roman"/>
          <w:b w:val="false"/>
          <w:i w:val="false"/>
          <w:color w:val="000000"/>
          <w:sz w:val="22"/>
        </w:rPr>
        <w:t>For deaths occurring on or after January 1, 2025, no state inheritance tax is imposed. For deaths occurring before January 1, 2025, the administrative rules in effect for the year of the death of the decedent contain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900.1(2)</w:t>
      </w:r>
      <w:r>
        <w:rPr>
          <w:rFonts w:ascii="Times New Roman" w:hAnsi="Times New Roman"/>
          <w:b w:val="false"/>
          <w:i w:val="false"/>
          <w:color w:val="000000"/>
          <w:sz w:val="22"/>
        </w:rPr>
        <w:t> </w:t>
      </w:r>
      <w:r>
        <w:rPr>
          <w:rFonts w:ascii="Times New Roman" w:hAnsi="Times New Roman"/>
          <w:b w:val="false"/>
          <w:i/>
          <w:color w:val="000000"/>
          <w:sz w:val="22"/>
        </w:rPr>
        <w:t xml:space="preserve">Estate tax. </w:t>
      </w:r>
      <w:r>
        <w:rPr>
          <w:rFonts w:ascii="Times New Roman" w:hAnsi="Times New Roman"/>
          <w:b w:val="false"/>
          <w:i w:val="false"/>
          <w:color w:val="000000"/>
          <w:sz w:val="22"/>
        </w:rPr>
        <w:t>For deaths occurring on or after January 1, 2005, no estate tax is imposed. For deaths occurring before January 1, 2005, the administrative rules in effect for the year of the death of the decedent contain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900.1(3)</w:t>
      </w:r>
      <w:r>
        <w:rPr>
          <w:rFonts w:ascii="Times New Roman" w:hAnsi="Times New Roman"/>
          <w:b w:val="false"/>
          <w:i w:val="false"/>
          <w:color w:val="000000"/>
          <w:sz w:val="22"/>
        </w:rPr>
        <w:t> </w:t>
      </w:r>
      <w:r>
        <w:rPr>
          <w:rFonts w:ascii="Times New Roman" w:hAnsi="Times New Roman"/>
          <w:b w:val="false"/>
          <w:i/>
          <w:color w:val="000000"/>
          <w:sz w:val="22"/>
        </w:rPr>
        <w:t xml:space="preserve">Generation-skipping transfer tax. </w:t>
      </w:r>
      <w:r>
        <w:rPr>
          <w:rFonts w:ascii="Times New Roman" w:hAnsi="Times New Roman"/>
          <w:b w:val="false"/>
          <w:i w:val="false"/>
          <w:color w:val="000000"/>
          <w:sz w:val="22"/>
        </w:rPr>
        <w:t>For deaths occurring on or after January 1, 2005, no generation-skipping transfer tax is imposed. For deaths occurring before January 1, 2005, the administrative rules in effect for the year of the death of the decedent contain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900.1(4)</w:t>
      </w:r>
      <w:r>
        <w:rPr>
          <w:rFonts w:ascii="Times New Roman" w:hAnsi="Times New Roman"/>
          <w:b w:val="false"/>
          <w:i w:val="false"/>
          <w:color w:val="000000"/>
          <w:sz w:val="22"/>
        </w:rPr>
        <w:t> </w:t>
      </w:r>
      <w:r>
        <w:rPr>
          <w:rFonts w:ascii="Times New Roman" w:hAnsi="Times New Roman"/>
          <w:b w:val="false"/>
          <w:i/>
          <w:color w:val="000000"/>
          <w:sz w:val="22"/>
        </w:rPr>
        <w:t xml:space="preserve">Other applicable federal or state law. </w:t>
      </w:r>
      <w:r>
        <w:rPr>
          <w:rFonts w:ascii="Times New Roman" w:hAnsi="Times New Roman"/>
          <w:b w:val="false"/>
          <w:i w:val="false"/>
          <w:color w:val="000000"/>
          <w:sz w:val="22"/>
        </w:rPr>
        <w:t>Nothing in this chapter shall be construed to affect the provisions of any other federal or state law applicable to a decedent or a decedent’s estate.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450.98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450B.8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House File 2435</w:t>
      </w:r>
      <w:r>
        <w:rPr>
          <w:rFonts w:ascii="Times New Roman" w:hAnsi="Times New Roman"/>
          <w:b w:val="false"/>
          <w:i w:val="false"/>
          <w:color w:val="000000"/>
          <w:sz w:val="22"/>
        </w:rPr>
        <w:t>, section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9326C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5/7/82, Notice 3/31/82—published 5/26/82, effective 6/30/82]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1/14/83, Notice 10/27/82—published 2/2/83, effective 3/9/83]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12/28/84, Notice 11/21/84—published 1/16/85, effective 2/20/85]</w:t>
      </w:r>
    </w:p>
    <w:p>
      <w:pPr>
        <w:spacing w:before="0" w:after="0"/>
        <w:ind w:left="120"/>
        <w:jc w:val="center"/>
      </w:pPr>
      <w:r>
        <w:rPr>
          <w:rFonts w:ascii="Times New Roman" w:hAnsi="Times New Roman"/>
          <w:b w:val="false"/>
          <w:i w:val="false"/>
          <w:color w:val="000000"/>
          <w:sz w:val="21"/>
        </w:rPr>
        <w:t>[Filed 1/10/85, Notice 12/5/84—published 1/30/85, effective 3/6/85]</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8/16/90, Notice 7/11/90—published 9/5/90, effective 10/10/90]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10/11/91, Notice 9/4/91—published 10/30/91, effective 12/4/91]</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5/5/95, Notice 3/29/95—published 5/24/95, effective 6/28/95]</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8/6/97, Notice 7/2/97—published 8/27/97, effective 10/1/97]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1/18/02, Notice 12/12/01—published 2/6/02, effective 3/13/02]</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10/19/06, Notice 8/30/06—published 11/8/06, effective 12/13/06]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1137C</w:t>
      </w:r>
      <w:r>
        <w:rPr>
          <w:rFonts w:ascii="Times New Roman" w:hAnsi="Times New Roman"/>
          <w:b w:val="false"/>
          <w:i w:val="false"/>
          <w:color w:val="000000"/>
          <w:sz w:val="21"/>
        </w:rPr>
        <w:t xml:space="preserve"> (Notice ARC 1002C,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2633C</w:t>
      </w:r>
      <w:r>
        <w:rPr>
          <w:rFonts w:ascii="Times New Roman" w:hAnsi="Times New Roman"/>
          <w:b w:val="false"/>
          <w:i w:val="false"/>
          <w:color w:val="000000"/>
          <w:sz w:val="21"/>
        </w:rPr>
        <w:t xml:space="preserve"> (Notice ARC 2546C, IAB 5/25/16)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2691C</w:t>
      </w:r>
      <w:r>
        <w:rPr>
          <w:rFonts w:ascii="Times New Roman" w:hAnsi="Times New Roman"/>
          <w:b w:val="false"/>
          <w:i w:val="false"/>
          <w:color w:val="000000"/>
          <w:sz w:val="21"/>
        </w:rPr>
        <w:t xml:space="preserve"> (Notice ARC 2617C, IAB 7/6/16)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4310C</w:t>
      </w:r>
      <w:r>
        <w:rPr>
          <w:rFonts w:ascii="Times New Roman" w:hAnsi="Times New Roman"/>
          <w:b w:val="false"/>
          <w:i w:val="false"/>
          <w:color w:val="000000"/>
          <w:sz w:val="21"/>
        </w:rPr>
        <w:t xml:space="preserve"> (Notice ARC 4177C, IAB 12/19/18)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9326C</w:t>
      </w:r>
      <w:r>
        <w:rPr>
          <w:rFonts w:ascii="Times New Roman" w:hAnsi="Times New Roman"/>
          <w:b w:val="false"/>
          <w:i w:val="false"/>
          <w:color w:val="000000"/>
          <w:sz w:val="21"/>
        </w:rPr>
        <w:t xml:space="preserve"> (Notice ARC 9072C, IAB 4/2/25)</w:t>
      </w:r>
      <w:r>
        <w:rPr>
          <w:rFonts w:ascii="Times New Roman" w:hAnsi="Times New Roman"/>
          <w:b w:val="false"/>
          <w:i w:val="false"/>
          <w:color w:val="000000"/>
          <w:sz w:val="21"/>
        </w:rPr>
        <w:t>, IAB 5/28/25, effective 7/2/25]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0.98.pdf" Type="http://schemas.openxmlformats.org/officeDocument/2006/relationships/hyperlink" Id="rId5"/>
    <Relationship TargetMode="External" Target="https://www.legis.iowa.gov/docs/ico/chapter/450B.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