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602</w:t>
      </w:r>
    </w:p>
    <w:p>
      <w:pPr>
        <w:spacing w:before="0" w:after="0"/>
        <w:ind w:left="120"/>
        <w:jc w:val="center"/>
      </w:pPr>
      <w:r>
        <w:rPr>
          <w:rFonts w:ascii="Times New Roman" w:hAnsi="Times New Roman"/>
          <w:b w:val="false"/>
          <w:i w:val="false"/>
          <w:color w:val="000000"/>
          <w:sz w:val="21"/>
        </w:rPr>
        <w:t>DETERMINATION OF NET INCOME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701—602.1</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net income for financial institutions. </w:t>
      </w:r>
      <w:r>
        <w:rPr>
          <w:rFonts w:ascii="Times New Roman" w:hAnsi="Times New Roman"/>
          <w:b w:val="false"/>
          <w:i w:val="false"/>
          <w:color w:val="000000"/>
          <w:sz w:val="22"/>
        </w:rPr>
        <w:t xml:space="preserve">“Net income” for state purposes shall mean federal taxable income, before deduction for net operating losses, as properly computed under the Internal Revenue Code, and shall include the adjustments in rules </w:t>
      </w:r>
      <w:hyperlink r:id="rId5">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 xml:space="preserve">(422) to </w:t>
      </w:r>
      <w:hyperlink r:id="rId6">
        <w:r>
          <w:rPr>
            <w:rStyle w:val="Hyperlink"/>
            <w:rFonts w:ascii="Times New Roman" w:hAnsi="Times New Roman"/>
            <w:b w:val="false"/>
            <w:i w:val="false"/>
            <w:color w:val="000000"/>
            <w:sz w:val="22"/>
          </w:rPr>
          <w:t>701—602.13</w:t>
        </w:r>
      </w:hyperlink>
      <w:r>
        <w:rPr>
          <w:rFonts w:ascii="Times New Roman" w:hAnsi="Times New Roman"/>
          <w:b w:val="false"/>
          <w:i w:val="false"/>
          <w:color w:val="000000"/>
          <w:sz w:val="22"/>
        </w:rPr>
        <w:t xml:space="preserve">(422). The remaining provisions of this rule and rules </w:t>
      </w:r>
      <w:hyperlink r:id="rId7">
        <w:r>
          <w:rPr>
            <w:rStyle w:val="Hyperlink"/>
            <w:rFonts w:ascii="Times New Roman" w:hAnsi="Times New Roman"/>
            <w:b w:val="false"/>
            <w:i w:val="false"/>
            <w:color w:val="000000"/>
            <w:sz w:val="22"/>
          </w:rPr>
          <w:t>701—602.14</w:t>
        </w:r>
      </w:hyperlink>
      <w:r>
        <w:rPr>
          <w:rFonts w:ascii="Times New Roman" w:hAnsi="Times New Roman"/>
          <w:b w:val="false"/>
          <w:i w:val="false"/>
          <w:color w:val="000000"/>
          <w:sz w:val="22"/>
        </w:rPr>
        <w:t xml:space="preserve">(422) to </w:t>
      </w:r>
      <w:hyperlink r:id="rId8">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shall also be applicable in determining net income.</w:t>
      </w:r>
    </w:p>
    <w:p>
      <w:pPr>
        <w:spacing w:before="0" w:after="0"/>
        <w:ind w:left="120"/>
        <w:jc w:val="both"/>
      </w:pPr>
      <w:r>
        <w:rPr>
          <w:rFonts w:ascii="Times New Roman" w:hAnsi="Times New Roman"/>
          <w:b w:val="false"/>
          <w:i w:val="false"/>
          <w:color w:val="000000"/>
          <w:sz w:val="22"/>
        </w:rPr>
        <w:t>In the case of a financial institution which is a member of an affiliated group of corporations filing a consolidated income tax return for the taxable year for federal income tax purposes, but files a separate return for state purposes, taxable income as properly computed for federal purposes is determined as if the financial institution had filed a separate return for federal income tax purposes for the taxable year and each preceding taxable year for which it was a member of an affiliated group. For purposes of this paragraph, the taxpayer’s separate taxable income shall be determined as if the election provided by Section 243(b)(2) of the Internal Revenue Code had been in effect for all those years.</w:t>
      </w:r>
    </w:p>
    <w:p>
      <w:pPr>
        <w:spacing w:before="0" w:after="0"/>
        <w:ind w:left="120"/>
        <w:jc w:val="both"/>
      </w:pPr>
      <w:r>
        <w:rPr>
          <w:rFonts w:ascii="Times New Roman" w:hAnsi="Times New Roman"/>
          <w:b w:val="false"/>
          <w:i w:val="false"/>
          <w:color w:val="000000"/>
          <w:sz w:val="22"/>
        </w:rPr>
        <w:t>When a federal short period return is filed and the federal taxable income is required to be adjusted to an annual basis, the Iowa taxable income shall also be adjusted to an annual basis. The tax liability for a short period is computed by multiplying the taxable income for the short period by 12 and dividing the result by the number of months in the short period. The tax is determined on the resulting total as if it were the taxable income, and the tax computed is divided by 12 and multiplied by the number of months in the short period. This adjustment shall apply only to income attributable to business carried on within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loss carrybacks and carryovers. </w:t>
      </w:r>
      <w:r>
        <w:rPr>
          <w:rFonts w:ascii="Times New Roman" w:hAnsi="Times New Roman"/>
          <w:b w:val="false"/>
          <w:i w:val="false"/>
          <w:color w:val="000000"/>
          <w:sz w:val="22"/>
        </w:rPr>
        <w:t>Net operating losses shall be allowed or allowable for Iowa franchise tax purposes to the same extent they are allowed or allowable for federal corporation income tax purposes, provided the following adjustments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602.2(1)</w:t>
      </w:r>
      <w:r>
        <w:rPr>
          <w:rFonts w:ascii="Times New Roman" w:hAnsi="Times New Roman"/>
          <w:b w:val="false"/>
          <w:i w:val="false"/>
          <w:color w:val="000000"/>
          <w:sz w:val="22"/>
        </w:rPr>
        <w:t> </w:t>
      </w:r>
      <w:r>
        <w:rPr>
          <w:rFonts w:ascii="Times New Roman" w:hAnsi="Times New Roman"/>
          <w:b w:val="false"/>
          <w:i w:val="false"/>
          <w:color w:val="000000"/>
          <w:sz w:val="22"/>
        </w:rPr>
        <w:t>Additions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of federal income taxes due to net operating loss, capital loss and investment credit or other credit carrybacks shall not be added for tax years beginning on or after January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franchise tax deducted on the federal return for the loss year shall be reflected as an addition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received in the year of the loss on federally tax-exempt securities shall be reflected as additions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602.2(2)</w:t>
      </w:r>
      <w:r>
        <w:rPr>
          <w:rFonts w:ascii="Times New Roman" w:hAnsi="Times New Roman"/>
          <w:b w:val="false"/>
          <w:i w:val="false"/>
          <w:color w:val="000000"/>
          <w:sz w:val="22"/>
        </w:rPr>
        <w:t> </w:t>
      </w:r>
      <w:r>
        <w:rPr>
          <w:rFonts w:ascii="Times New Roman" w:hAnsi="Times New Roman"/>
          <w:b w:val="false"/>
          <w:i w:val="false"/>
          <w:color w:val="000000"/>
          <w:sz w:val="22"/>
        </w:rPr>
        <w:t>Reductions of income. Iowa franchise tax refunds reported as income for federal income tax purposes in the loss year shall be reflected as reductions of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financial institution does business both within and without Iowa, it shall make adjustments reflecting the apportionment and allocation of its operating loss on the basis of business done within and without the state of Iowa after completing the provisions of subrules </w:t>
      </w:r>
      <w:hyperlink r:id="rId10">
        <w:r>
          <w:rPr>
            <w:rStyle w:val="Hyperlink"/>
            <w:rFonts w:ascii="Times New Roman" w:hAnsi="Times New Roman"/>
            <w:b w:val="false"/>
            <w:i w:val="false"/>
            <w:color w:val="000000"/>
            <w:sz w:val="22"/>
          </w:rPr>
          <w:t>602.2(1)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the adjustments to federal taxable income as provided in subrules </w:t>
      </w:r>
      <w:hyperlink r:id="rId12">
        <w:r>
          <w:rPr>
            <w:rStyle w:val="Hyperlink"/>
            <w:rFonts w:ascii="Times New Roman" w:hAnsi="Times New Roman"/>
            <w:b w:val="false"/>
            <w:i w:val="false"/>
            <w:color w:val="000000"/>
            <w:sz w:val="22"/>
          </w:rPr>
          <w:t>602.2(1)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602.2(2)</w:t>
        </w:r>
      </w:hyperlink>
      <w:r>
        <w:rPr>
          <w:rFonts w:ascii="Times New Roman" w:hAnsi="Times New Roman"/>
          <w:b w:val="false"/>
          <w:i w:val="false"/>
          <w:color w:val="000000"/>
          <w:sz w:val="22"/>
        </w:rPr>
        <w:t xml:space="preserve">, the total net allocable income or loss shall be added to or deducted from, as the case may be, the net federal income or loss as adjusted for Iowa tax purposes. The resulting income or loss so determined shall be subject to apportionment as provided in rules </w:t>
      </w:r>
      <w:hyperlink r:id="rId14">
        <w:r>
          <w:rPr>
            <w:rStyle w:val="Hyperlink"/>
            <w:rFonts w:ascii="Times New Roman" w:hAnsi="Times New Roman"/>
            <w:b w:val="false"/>
            <w:i w:val="false"/>
            <w:color w:val="000000"/>
            <w:sz w:val="22"/>
          </w:rPr>
          <w:t>701—602.25</w:t>
        </w:r>
      </w:hyperlink>
      <w:r>
        <w:rPr>
          <w:rFonts w:ascii="Times New Roman" w:hAnsi="Times New Roman"/>
          <w:b w:val="false"/>
          <w:i w:val="false"/>
          <w:color w:val="000000"/>
          <w:sz w:val="22"/>
        </w:rPr>
        <w:t xml:space="preserve">(422) to </w:t>
      </w:r>
      <w:hyperlink r:id="rId15">
        <w:r>
          <w:rPr>
            <w:rStyle w:val="Hyperlink"/>
            <w:rFonts w:ascii="Times New Roman" w:hAnsi="Times New Roman"/>
            <w:b w:val="false"/>
            <w:i w:val="false"/>
            <w:color w:val="000000"/>
            <w:sz w:val="22"/>
          </w:rPr>
          <w:t>701—602.29</w:t>
        </w:r>
      </w:hyperlink>
      <w:r>
        <w:rPr>
          <w:rFonts w:ascii="Times New Roman" w:hAnsi="Times New Roman"/>
          <w:b w:val="false"/>
          <w:i w:val="false"/>
          <w:color w:val="000000"/>
          <w:sz w:val="22"/>
        </w:rPr>
        <w:t>(422). The apportioned income or loss shall be added or deducted, as the case may be, to the amount of net allocable income or loss properly attributable to Iowa. This amount is the taxable income or net operating loss attributable to Iowa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operating loss attributable to Iowa, as determined in rule </w:t>
      </w:r>
      <w:hyperlink r:id="rId16">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shall be subject to a 3-year carryback and a 15-year carryover provision for tax years beginning before August 6, 1997.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15 taxable years. A copy of the federal election made under Section 172(b)(3) of the Internal Revenue Code must be attached to the Iowa corporation income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August 5, 1997, but before January 1, 2009, a net operating loss attributable to Iowa, as determined in rule </w:t>
      </w:r>
      <w:hyperlink r:id="rId17">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incurred in a presidentially declared disaster area by a corporation engaged in a small business or in the trade or business of farming must be carried back 3 taxable years and carried forward 20 taxable years. All other net operating losses attributable to Iowa must be carried back 2 taxable years and carried forward 20 taxable years.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20 taxable years. A copy of the federal election made under Section 172(b)(3) of the Internal Revenue Code must be attached to the Iowa franchise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2009, a net operating loss attributable to Iowa, as determined in rule </w:t>
      </w:r>
      <w:hyperlink r:id="rId18">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shall be carried forward 20 taxable years. The net operating loss cannot be carried back to a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w:t>
      </w:r>
      <w:r>
        <w:rPr>
          <w:rFonts w:ascii="Times New Roman" w:hAnsi="Times New Roman"/>
          <w:b w:val="false"/>
          <w:i w:val="false"/>
          <w:color w:val="000000"/>
          <w:sz w:val="22"/>
        </w:rPr>
        <w:t> </w:t>
      </w:r>
      <w:r>
        <w:rPr>
          <w:rFonts w:ascii="Times New Roman" w:hAnsi="Times New Roman"/>
          <w:b w:val="false"/>
          <w:i w:val="false"/>
          <w:color w:val="000000"/>
          <w:sz w:val="22"/>
        </w:rPr>
        <w:t>No part of a net loss for a year for which the financial institution was not subject to the imposition of Iowa franchise tax shall be included in the Iowa net operating loss deduction applicable to any year prior to or subsequent to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w:t>
      </w:r>
      <w:r>
        <w:rPr>
          <w:rFonts w:ascii="Times New Roman" w:hAnsi="Times New Roman"/>
          <w:b w:val="false"/>
          <w:i w:val="false"/>
          <w:color w:val="000000"/>
          <w:sz w:val="22"/>
        </w:rPr>
        <w:t> </w:t>
      </w:r>
      <w:r>
        <w:rPr>
          <w:rFonts w:ascii="Times New Roman" w:hAnsi="Times New Roman"/>
          <w:b w:val="false"/>
          <w:i w:val="false"/>
          <w:color w:val="000000"/>
          <w:sz w:val="22"/>
        </w:rPr>
        <w:t>No part of a net operating loss may be carried back or carried forward if the carryback or carryforward would be disallowed for federal income tax purposes under Sections 172(b)(1)(E) and 172(h) of the Internal Revenue Code. This provision is effective for tax years beginning on or after January 1,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w:t>
      </w:r>
      <w:r>
        <w:rPr>
          <w:rFonts w:ascii="Times New Roman" w:hAnsi="Times New Roman"/>
          <w:b w:val="false"/>
          <w:i w:val="false"/>
          <w:color w:val="000000"/>
          <w:sz w:val="22"/>
        </w:rPr>
        <w:t> </w:t>
      </w:r>
      <w:r>
        <w:rPr>
          <w:rFonts w:ascii="Times New Roman" w:hAnsi="Times New Roman"/>
          <w:b w:val="false"/>
          <w:i w:val="false"/>
          <w:color w:val="000000"/>
          <w:sz w:val="22"/>
        </w:rPr>
        <w:t>The carryover of Iowa net operating losses after reorganizations or mergers is limited to the same extent as the carryover of a net operating loss is limited under the provisions of Sections 381 through 386 of the Internal Revenue Code and regulations thereunder or any other section of the Internal Revenue Code or regulations thereunder. Where the taxpayer files as a member of a consolidated income tax return for federal income tax purposes, but is required to file a separate franchise tax return, the limitation on an Iowa net operating loss carryover must be determined as though a separate income tax return was filed for federal income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 xml:space="preserve">, and sections </w:t>
      </w:r>
      <w:hyperlink r:id="rId20">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loss carryback. </w:t>
      </w:r>
      <w:r>
        <w:rPr>
          <w:rFonts w:ascii="Times New Roman" w:hAnsi="Times New Roman"/>
          <w:b w:val="false"/>
          <w:i w:val="false"/>
          <w:color w:val="000000"/>
          <w:sz w:val="22"/>
        </w:rPr>
        <w:t>Capital losses shall be allowed or allowable for Iowa franchise tax purposes to the same extent they are allowed or allowable for federal corporation income tax purposes. Capital loss carrybacks shall be treated as an adjustment to federal taxable income to arrive at net income. For capital losses occurring in tax years beginning on or after January 1, 1980, refunds of federal corporation income taxes shall not be an adjustment in computing income subject to the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701—602.4</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and capital loss carrybacks and carryovers. </w:t>
      </w:r>
      <w:r>
        <w:rPr>
          <w:rFonts w:ascii="Times New Roman" w:hAnsi="Times New Roman"/>
          <w:b w:val="false"/>
          <w:i w:val="false"/>
          <w:color w:val="000000"/>
          <w:sz w:val="22"/>
        </w:rPr>
        <w:t>If the taxpayer, for tax periods beginning before January 1, 2009, has both a net operating loss and a capital loss carryback to a prior tax year, the capital loss shall be carried back first and then the net operating loss offset against any remaining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 xml:space="preserve">, and section </w:t>
      </w:r>
      <w:hyperlink r:id="rId25">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701—602.5</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federal securities. </w:t>
      </w:r>
      <w:r>
        <w:rPr>
          <w:rFonts w:ascii="Times New Roman" w:hAnsi="Times New Roman"/>
          <w:b w:val="false"/>
          <w:i w:val="false"/>
          <w:color w:val="000000"/>
          <w:sz w:val="22"/>
        </w:rPr>
        <w:t>For franchise tax purposes, dividends received from corporations owned or sponsored by the federal government, or interest derived from obligations of the United States and its possessions, agencies and instrumentalities become a part of the taxable income. Examples of these types of obligations are bonds issued by the governments of Puerto Rico, Washington D.C., Guam and the Virgin Islands. Notwithstanding the above, only interest received after July 1, 1991, from bonds purchased after January 1, 1991, issued by the governments of Puerto Rico, Guam and the Virgin Islands is subject to tax.</w:t>
      </w:r>
    </w:p>
    <w:p>
      <w:pPr>
        <w:spacing w:before="0" w:after="0"/>
        <w:ind w:left="120"/>
        <w:jc w:val="both"/>
      </w:pPr>
      <w:r>
        <w:rPr>
          <w:rFonts w:ascii="Times New Roman" w:hAnsi="Times New Roman"/>
          <w:b w:val="false"/>
          <w:i w:val="false"/>
          <w:color w:val="000000"/>
          <w:sz w:val="22"/>
        </w:rPr>
        <w:t>Gains or losses from the sale or other disposition of any bonds shall be taxable for state franchise tax purposes.</w:t>
      </w:r>
    </w:p>
    <w:p>
      <w:pPr>
        <w:spacing w:before="0" w:after="0"/>
        <w:ind w:left="120"/>
        <w:jc w:val="both"/>
      </w:pPr>
      <w:r>
        <w:rPr>
          <w:rFonts w:ascii="Times New Roman" w:hAnsi="Times New Roman"/>
          <w:b w:val="false"/>
          <w:i w:val="false"/>
          <w:color w:val="000000"/>
          <w:sz w:val="22"/>
        </w:rPr>
        <w:t>Interest received on federal tax refunds is taxable for Iowa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701—602.6</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foreign securities and securities of states and other political subdivisions. </w:t>
      </w:r>
      <w:r>
        <w:rPr>
          <w:rFonts w:ascii="Times New Roman" w:hAnsi="Times New Roman"/>
          <w:b w:val="false"/>
          <w:i w:val="false"/>
          <w:color w:val="000000"/>
          <w:sz w:val="22"/>
        </w:rPr>
        <w:t>Interest and dividends from foreign securities and securities of states and their political subdivisions including Iowa shall be included in taxable income for periods beginning on or after January 1, 1980. For tax periods beginning on or after January 1, 1987, subtract interest expense allocable to interest exempt from federal income tax which was disallowed as a deduction under Internal Revenue Code Section 265(b) or 291(e)(1)(B).</w:t>
      </w:r>
    </w:p>
    <w:p>
      <w:pPr>
        <w:spacing w:before="0" w:after="0"/>
        <w:ind w:left="120"/>
        <w:jc w:val="both"/>
      </w:pPr>
      <w:r>
        <w:rPr>
          <w:rFonts w:ascii="Times New Roman" w:hAnsi="Times New Roman"/>
          <w:b w:val="false"/>
          <w:i w:val="false"/>
          <w:color w:val="000000"/>
          <w:sz w:val="22"/>
        </w:rPr>
        <w:t>For tax years beginning on or after January 1, 1987, add dividends received from regulated investment companies exempt from federal income tax under Section 852(b)(5) of the Internal Revenue Code and subtract the loss on the sale or exchange of a share of a regulated investment company held for six months or less to the extent the loss was disallowed under Section 852(b)(4)(B) of the Internal Revenue Code.</w:t>
      </w:r>
    </w:p>
    <w:p>
      <w:pPr>
        <w:spacing w:before="0" w:after="0"/>
        <w:ind w:left="120"/>
        <w:jc w:val="both"/>
      </w:pPr>
      <w:r>
        <w:rPr>
          <w:rFonts w:ascii="Times New Roman" w:hAnsi="Times New Roman"/>
          <w:b w:val="false"/>
          <w:i w:val="false"/>
          <w:color w:val="000000"/>
          <w:sz w:val="22"/>
        </w:rPr>
        <w:t>For tax years beginning on or after January 1, 2001, add, to the extent not already included, income from the sale of obligations of the state of Iowa and its political subdivisions and interest and dividend income from these obligations. Gains or losses from the sale or other disposition of bonds issued by the state of Iowa or its political subdivisions, along with interest and dividend income from these bonds, shall be included in Iowa taxable income unless the law authorizing these obligations specifically exempts the income from the sale and interest and dividend income from Iowa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701—602.7</w:t>
      </w:r>
      <w:r>
        <w:rPr>
          <w:rFonts w:ascii="Times New Roman" w:hAnsi="Times New Roman"/>
          <w:b/>
          <w:i w:val="false"/>
          <w:color w:val="000000"/>
          <w:sz w:val="22"/>
        </w:rPr>
        <w:t xml:space="preserve">(422) </w:t>
      </w:r>
      <w:r>
        <w:rPr>
          <w:rFonts w:ascii="Times New Roman" w:hAnsi="Times New Roman"/>
          <w:b/>
          <w:i w:val="false"/>
          <w:color w:val="000000"/>
          <w:sz w:val="22"/>
        </w:rPr>
        <w:t xml:space="preserve">Safe harbor leases. </w:t>
      </w:r>
      <w:r>
        <w:rPr>
          <w:rFonts w:ascii="Times New Roman" w:hAnsi="Times New Roman"/>
          <w:b w:val="false"/>
          <w:i w:val="false"/>
          <w:color w:val="000000"/>
          <w:sz w:val="22"/>
        </w:rPr>
        <w:t>For tax years ending after January 1, 1981, deductions in determining federal taxable income for sale-leaseback agreements taken as a result of the application of Section 168(f)(8) of the Internal Revenue Code shall be added in determining Iowa taxable income to the extent such deductions cannot be taken under provisions of Sections 162, 163 and 167 of the Internal Revenue Code. The lessor shall add depreciation and interest expense, and the lessee shall add rental expense. When the deduction for depreciation is not allowed under a previous provision of this rule, the lessee shall be allowed a deduction for depreciation on any property involved in a sale-leaseback agreement. The depreciation shall be computed in accordance with Section 168(a) of the Internal Revenue Code. Income received as a result of sale-leaseback agreement shall be deducted in determining Iowa taxable income. The lessee shall deduct interest income and the lessor shall deduct rent income. Each lessor and lessee corporation shall include a copy of federal Form 6793 in its Iowa franchise tax return for the year in which a safe harbor lease is entered into.</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701—602.8</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deduction for wages paid or accrued for work done in Iowa by certain individuals. </w:t>
      </w:r>
      <w:r>
        <w:rPr>
          <w:rFonts w:ascii="Times New Roman" w:hAnsi="Times New Roman"/>
          <w:b w:val="false"/>
          <w:i w:val="false"/>
          <w:color w:val="000000"/>
          <w:sz w:val="22"/>
        </w:rPr>
        <w:t xml:space="preserve">For tax years beginning on or after January 1, 1984, a taxpayer which is considered to be a small business corporation, as defined by subrule </w:t>
      </w:r>
      <w:hyperlink r:id="rId31">
        <w:r>
          <w:rPr>
            <w:rStyle w:val="Hyperlink"/>
            <w:rFonts w:ascii="Times New Roman" w:hAnsi="Times New Roman"/>
            <w:b w:val="false"/>
            <w:i w:val="false"/>
            <w:color w:val="000000"/>
            <w:sz w:val="22"/>
          </w:rPr>
          <w:t>602.8(2)</w:t>
        </w:r>
      </w:hyperlink>
      <w:r>
        <w:rPr>
          <w:rFonts w:ascii="Times New Roman" w:hAnsi="Times New Roman"/>
          <w:b w:val="false"/>
          <w:i w:val="false"/>
          <w:color w:val="000000"/>
          <w:sz w:val="22"/>
        </w:rPr>
        <w:t>, is allowed a deduction for 50 percent of the first 12 months of wages paid or accrued during the tax years for work done in Iowa for employees first hired on or after January 1, 1984.</w:t>
      </w:r>
    </w:p>
    <w:p>
      <w:pPr>
        <w:spacing w:before="0" w:after="0"/>
        <w:ind w:left="120"/>
        <w:jc w:val="both"/>
      </w:pPr>
      <w:r>
        <w:rPr>
          <w:rFonts w:ascii="Times New Roman" w:hAnsi="Times New Roman"/>
          <w:b w:val="false"/>
          <w:i w:val="false"/>
          <w:color w:val="000000"/>
          <w:sz w:val="22"/>
        </w:rPr>
        <w:t>A handicapped individual domiciled in this state at the time of hiring.</w:t>
      </w:r>
    </w:p>
    <w:p>
      <w:pPr>
        <w:spacing w:before="0" w:after="0"/>
        <w:ind w:left="120"/>
        <w:jc w:val="both"/>
      </w:pPr>
      <w:r>
        <w:rPr>
          <w:rFonts w:ascii="Times New Roman" w:hAnsi="Times New Roman"/>
          <w:b w:val="false"/>
          <w:i w:val="false"/>
          <w:color w:val="000000"/>
          <w:sz w:val="22"/>
        </w:rPr>
        <w:t>An individual domiciled in this state at the time of hiring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on parole pursuant to Iowa Code chapter </w:t>
      </w:r>
      <w:hyperlink r:id="rId32">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Is on probation pursuant to Iowa Code chapter </w:t>
      </w:r>
      <w:hyperlink r:id="rId33">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for an offense other than a simple misdemeanor.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Is in a work release program pursuant to Iowa Code chapter </w:t>
      </w:r>
      <w:hyperlink r:id="rId34">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division IX.</w:t>
      </w:r>
    </w:p>
    <w:p>
      <w:pPr>
        <w:spacing w:before="0" w:after="0"/>
        <w:ind w:left="120"/>
        <w:jc w:val="both"/>
      </w:pP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35">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xml:space="preserve">For tax years beginning on or after January 1, 1989, a taxpayer which is considered to be a small business corporation, as defined by </w:t>
      </w:r>
      <w:hyperlink r:id="rId36">
        <w:r>
          <w:rPr>
            <w:rStyle w:val="Hyperlink"/>
            <w:rFonts w:ascii="Times New Roman" w:hAnsi="Times New Roman"/>
            <w:b w:val="false"/>
            <w:i w:val="false"/>
            <w:color w:val="000000"/>
            <w:sz w:val="22"/>
          </w:rPr>
          <w:t>701—subrule 502.11(2)</w:t>
        </w:r>
      </w:hyperlink>
      <w:r>
        <w:rPr>
          <w:rFonts w:ascii="Times New Roman" w:hAnsi="Times New Roman"/>
          <w:b w:val="false"/>
          <w:i w:val="false"/>
          <w:color w:val="000000"/>
          <w:sz w:val="22"/>
        </w:rPr>
        <w:t>, is allowed a deduction for 65 percent not to exceed $20,000 of the 12 months of wages paid or accrued during the tax year for work done in Iowa for employees first hired after January 1, 1989, who meet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602.8(1)</w:t>
      </w:r>
      <w:r>
        <w:rPr>
          <w:rFonts w:ascii="Times New Roman" w:hAnsi="Times New Roman"/>
          <w:b w:val="false"/>
          <w:i w:val="false"/>
          <w:color w:val="000000"/>
          <w:sz w:val="22"/>
        </w:rPr>
        <w:t> </w:t>
      </w:r>
      <w:r>
        <w:rPr>
          <w:rFonts w:ascii="Times New Roman" w:hAnsi="Times New Roman"/>
          <w:b w:val="false"/>
          <w:i w:val="false"/>
          <w:color w:val="000000"/>
          <w:sz w:val="22"/>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division of job service of the department of employment services, the additional deduction shall be allowed.</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602.8(2)</w:t>
      </w:r>
      <w:r>
        <w:rPr>
          <w:rFonts w:ascii="Times New Roman" w:hAnsi="Times New Roman"/>
          <w:b w:val="false"/>
          <w:i w:val="false"/>
          <w:color w:val="000000"/>
          <w:sz w:val="22"/>
        </w:rPr>
        <w:t> </w:t>
      </w:r>
      <w:r>
        <w:rPr>
          <w:rFonts w:ascii="Times New Roman" w:hAnsi="Times New Roman"/>
          <w:b w:val="false"/>
          <w:i w:val="false"/>
          <w:color w:val="000000"/>
          <w:sz w:val="22"/>
        </w:rPr>
        <w:t>The term “small business corporation” includes the operation of a farm but does not include the practice of a profession. The following conditions apply for the purpose of determining what constitutes a small business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had more than 20 full-time equivalent positions during each of the 26 consecutive weeks within the 52-week period immediately preceding the date on which the individual for whom an additional deduction for wages is taken was hired. “Full-time equivalent position” 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employment position requiring an average work week of 40 or more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aggregation of any number of part-time positions which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2059"/>
        <w:gridCol w:w="4238"/>
        <w:gridCol w:w="2835"/>
        <w:gridCol w:w="2058"/>
      </w:tblGrid>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Average Number of Weekly Hours</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28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30" w:hRule="atLeast"/>
        </w:trPr>
        <w:tc>
          <w:tcPr>
            <w:tcW w:w="2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28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 (full-time)</w:t>
            </w:r>
          </w:p>
        </w:tc>
        <w:tc>
          <w:tcPr>
            <w:tcW w:w="2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more than $1 million in annual gross revenues or after July 1, 1984, $3 million in annual gross revenues or as the average of the three preceding tax years. “Annual gross revenues” means total interest received from loans and investments, service charges, management fees, fiduciary fees, commissions, and gross proceeds from the sale of securities held as investments as determined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be an affiliate or subsidiary of a business which is dominant in its field of operation. “Dominant in its field of operation” means having more than 20 full-time equivalent employees and more than $1 million of annual gross revenues, or after July 1, 1984, $3 million of annual gross revenues or as the average of the three preceding tax years. “Affiliate or subsidiary of a business dominant in its field of operations” means a business which is at least 20 percent owned by a business dominant in its field of operation, or by partners, officers, directors, majority stockholders, or their equivalent, of a business dominant in that field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of a farm” means the cultivation of land for the production of agricultural crops, the raising of poultry, the production of eggs, the production of milk, the production of fruit or other horticultural crops, grazing or the production of livestock. Operation of a farm shall not include the production of timber, forest products, nursery products, or sod and operation of a farm shall not include a contract where a processor or distributor of farm products or supplies provides spraying, harvesting or other farm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practice of a profession” means a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602.8(3)</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“handicapped person”</w:t>
      </w:r>
      <w:r>
        <w:rPr>
          <w:rFonts w:ascii="Times New Roman" w:hAnsi="Times New Roman"/>
          <w:b w:val="false"/>
          <w:i w:val="false"/>
          <w:color w:val="000000"/>
          <w:sz w:val="22"/>
        </w:rPr>
        <w:t xml:space="preserve"> means any person who has a physical or mental impairment which substantially limits one or more major life activities, has a record of such impairment, or is regarded as having such an impairment.</w:t>
      </w:r>
    </w:p>
    <w:p>
      <w:pPr>
        <w:spacing w:before="0" w:after="0"/>
        <w:ind w:left="120"/>
        <w:jc w:val="both"/>
      </w:pPr>
      <w:r>
        <w:rPr>
          <w:rFonts w:ascii="Times New Roman" w:hAnsi="Times New Roman"/>
          <w:b w:val="false"/>
          <w:i w:val="false"/>
          <w:color w:val="000000"/>
          <w:sz w:val="22"/>
        </w:rPr>
        <w:t xml:space="preserve">The term </w:t>
      </w:r>
      <w:r>
        <w:rPr>
          <w:rFonts w:ascii="Times New Roman" w:hAnsi="Times New Roman"/>
          <w:b w:val="false"/>
          <w:i/>
          <w:color w:val="000000"/>
          <w:sz w:val="22"/>
        </w:rPr>
        <w:t>“handicapped”</w:t>
      </w:r>
      <w:r>
        <w:rPr>
          <w:rFonts w:ascii="Times New Roman" w:hAnsi="Times New Roman"/>
          <w:b w:val="false"/>
          <w:i w:val="false"/>
          <w:color w:val="000000"/>
          <w:sz w:val="22"/>
        </w:rPr>
        <w:t xml:space="preserve"> does not include any person who is an alcoholic or drug abuser whose current use of alcohol or drugs prevents the person from performing the duties of employment or whose employment, by reason of current use of alcohol or drugs, would constitute a direct threat to the property or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“physical or mental impairment”</w:t>
      </w:r>
      <w:r>
        <w:rPr>
          <w:rFonts w:ascii="Times New Roman" w:hAnsi="Times New Roman"/>
          <w:b w:val="false"/>
          <w:i w:val="false"/>
          <w:color w:val="000000"/>
          <w:sz w:val="22"/>
        </w:rPr>
        <w:t xml:space="preserve"> means 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any mental or psychological disorder, such as intellectual disability,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“major life activities”</w:t>
      </w:r>
      <w:r>
        <w:rPr>
          <w:rFonts w:ascii="Times New Roman" w:hAnsi="Times New Roman"/>
          <w:b w:val="false"/>
          <w:i w:val="false"/>
          <w:color w:val="000000"/>
          <w:sz w:val="22"/>
        </w:rPr>
        <w:t xml:space="preserve"> means functions such as caring for one’s self, performing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“has a record of such impairment”</w:t>
      </w:r>
      <w:r>
        <w:rPr>
          <w:rFonts w:ascii="Times New Roman" w:hAnsi="Times New Roman"/>
          <w:b w:val="false"/>
          <w:i w:val="false"/>
          <w:color w:val="000000"/>
          <w:sz w:val="22"/>
        </w:rPr>
        <w:t xml:space="preserve"> means has a history of, or has been misclassified as having, a mental or physical impairment that substantially limits one or more major life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“is regarded as having such an impairment”</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physical or mental impairment that does not substantially limit major life activities but that is perceived as constituting such a limitation;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physical or mental impairment that substantially limits major life activities only as a result of the attitudes of others toward such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none of the impairments defined as physical or mental impairments, but is perceived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“successfully completing a probationary period”</w:t>
      </w:r>
      <w:r>
        <w:rPr>
          <w:rFonts w:ascii="Times New Roman" w:hAnsi="Times New Roman"/>
          <w:b w:val="false"/>
          <w:i w:val="false"/>
          <w:color w:val="000000"/>
          <w:sz w:val="22"/>
        </w:rPr>
        <w:t xml:space="preserve"> includes those instances where the employee quits without good cause attributable to the employer during the probationary period or was discharged for misconduct during the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“probationary period”</w:t>
      </w:r>
      <w:r>
        <w:rPr>
          <w:rFonts w:ascii="Times New Roman" w:hAnsi="Times New Roman"/>
          <w:b w:val="false"/>
          <w:i w:val="false"/>
          <w:color w:val="000000"/>
          <w:sz w:val="22"/>
        </w:rPr>
        <w:t xml:space="preserve"> 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602.8(4)</w:t>
      </w:r>
      <w:r>
        <w:rPr>
          <w:rFonts w:ascii="Times New Roman" w:hAnsi="Times New Roman"/>
          <w:b w:val="false"/>
          <w:i w:val="false"/>
          <w:color w:val="000000"/>
          <w:sz w:val="22"/>
        </w:rPr>
        <w:t> </w:t>
      </w:r>
      <w:r>
        <w:rPr>
          <w:rFonts w:ascii="Times New Roman" w:hAnsi="Times New Roman"/>
          <w:b w:val="false"/>
          <w:i w:val="false"/>
          <w:color w:val="000000"/>
          <w:sz w:val="22"/>
        </w:rPr>
        <w:t>If a newly hired employee has been certified as either a vocational rehabilitation referral or an economically disadvantaged ex-convict for purposes of qualification for the targeted jobs tax credit under Section 59 of the Internal Revenue Code, that employee shall be considered to have met the qualifications for the additional wage deduction.</w:t>
      </w:r>
    </w:p>
    <w:p>
      <w:pPr>
        <w:spacing w:before="0" w:after="0"/>
        <w:ind w:left="120"/>
        <w:jc w:val="both"/>
      </w:pPr>
      <w:r>
        <w:rPr>
          <w:rFonts w:ascii="Times New Roman" w:hAnsi="Times New Roman"/>
          <w:b w:val="false"/>
          <w:i w:val="false"/>
          <w:color w:val="000000"/>
          <w:sz w:val="22"/>
        </w:rPr>
        <w:t>A “vocational rehabilitation referral” is any individual certified by a state employment agency as having a physical or mental disability which, for the individual, constitutes or results in a substantial handicap to employment. In addition, the individual must have been referred to the employer after completion or while receiving rehabilitation services pursuant to either a state- or federal-approved vocational rehabilitation program.</w:t>
      </w:r>
    </w:p>
    <w:p>
      <w:pPr>
        <w:spacing w:before="0" w:after="0"/>
        <w:ind w:left="120"/>
        <w:jc w:val="both"/>
      </w:pPr>
      <w:r>
        <w:rPr>
          <w:rFonts w:ascii="Times New Roman" w:hAnsi="Times New Roman"/>
          <w:b w:val="false"/>
          <w:i w:val="false"/>
          <w:color w:val="000000"/>
          <w:sz w:val="22"/>
        </w:rPr>
        <w:t>For all other newly hired employees, the employer has the burden of proof to show that the employees meet the qualifications for the additional wage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602.8(5)</w:t>
      </w:r>
      <w:r>
        <w:rPr>
          <w:rFonts w:ascii="Times New Roman" w:hAnsi="Times New Roman"/>
          <w:b w:val="false"/>
          <w:i w:val="false"/>
          <w:color w:val="000000"/>
          <w:sz w:val="22"/>
        </w:rPr>
        <w:t> </w:t>
      </w:r>
      <w:r>
        <w:rPr>
          <w:rFonts w:ascii="Times New Roman" w:hAnsi="Times New Roman"/>
          <w:b w:val="false"/>
          <w:i w:val="false"/>
          <w:color w:val="000000"/>
          <w:sz w:val="22"/>
        </w:rPr>
        <w:t>The taxpayer shall include a schedule with the filing of the taxpayer’s tax return showing the name, address, social security number, date of hiring and wages paid of each employee for whom the taxpayer claims the additional deduction for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602.8(6)</w:t>
      </w:r>
      <w:r>
        <w:rPr>
          <w:rFonts w:ascii="Times New Roman" w:hAnsi="Times New Roman"/>
          <w:b w:val="false"/>
          <w:i w:val="false"/>
          <w:color w:val="000000"/>
          <w:sz w:val="22"/>
        </w:rPr>
        <w:t> </w:t>
      </w:r>
      <w:r>
        <w:rPr>
          <w:rFonts w:ascii="Times New Roman" w:hAnsi="Times New Roman"/>
          <w:b w:val="false"/>
          <w:i w:val="false"/>
          <w:color w:val="000000"/>
          <w:sz w:val="22"/>
        </w:rPr>
        <w:t>If the employee for whom an additional deduction for wages was allowed fails to successfully complete a probationary period and the taxpayer has already filed an Iowa corporation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602.8(7)</w:t>
      </w:r>
      <w:r>
        <w:rPr>
          <w:rFonts w:ascii="Times New Roman" w:hAnsi="Times New Roman"/>
          <w:b w:val="false"/>
          <w:i w:val="false"/>
          <w:color w:val="000000"/>
          <w:sz w:val="22"/>
        </w:rPr>
        <w:t> </w:t>
      </w:r>
      <w:r>
        <w:rPr>
          <w:rFonts w:ascii="Times New Roman" w:hAnsi="Times New Roman"/>
          <w:b w:val="false"/>
          <w:i w:val="false"/>
          <w:color w:val="000000"/>
          <w:sz w:val="22"/>
        </w:rPr>
        <w:t>For tax years ending after July 1, 1990, a taxpayer who did not qualify for the additional deduction for wages paid or accrued for work done in Iowa by certain individuals set forth above is allowed an additional deduction of 65 percent not to exceed $20,000 of the first 12 months of wages paid or accrued for work done in Iowa for employees first hired on or after July 1, 1990, if the new employee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domiciled in this state at the time of the hiring who meets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parole pursuant to Iowa Code chapter </w:t>
      </w:r>
      <w:hyperlink r:id="rId37">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probation pursuant to Iowa Code chapter </w:t>
      </w:r>
      <w:hyperlink r:id="rId38">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for an offense other than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in a work release program pursuant to Iowa Code chapter </w:t>
      </w:r>
      <w:hyperlink r:id="rId39">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division 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40">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The additional deduction is not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is allowed.</w:t>
      </w:r>
    </w:p>
    <w:p>
      <w:pPr>
        <w:spacing w:before="0" w:after="0"/>
        <w:ind w:left="120"/>
        <w:jc w:val="both"/>
      </w:pPr>
      <w:r>
        <w:rPr>
          <w:rFonts w:ascii="Times New Roman" w:hAnsi="Times New Roman"/>
          <w:b w:val="false"/>
          <w:i w:val="false"/>
          <w:color w:val="000000"/>
          <w:sz w:val="22"/>
        </w:rPr>
        <w:t>The taxpayer must include a schedule with the filing of the taxpayer’s tax return showing the name, address, social security number, date of hiring, and wages paid of each employee for whom the taxpayer claims the additional deduction for wages.</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If the employee for which an additional deduction for wages was allowed fails to successfully complete a probationary period and the taxpayer has already filed an Iowa franchise tax return taking the additional deduction for wages, the taxpayer must file an amended return adding back the additional deduction for wages. The amended return must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 xml:space="preserve"> and 2011 Iowa Code Supplement section </w:t>
      </w:r>
      <w:hyperlink r:id="rId4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2247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701—602.9</w:t>
      </w:r>
      <w:r>
        <w:rPr>
          <w:rFonts w:ascii="Times New Roman" w:hAnsi="Times New Roman"/>
          <w:b/>
          <w:i w:val="false"/>
          <w:color w:val="000000"/>
          <w:sz w:val="22"/>
        </w:rPr>
        <w:t xml:space="preserve">(422) </w:t>
      </w:r>
      <w:r>
        <w:rPr>
          <w:rFonts w:ascii="Times New Roman" w:hAnsi="Times New Roman"/>
          <w:b/>
          <w:i w:val="false"/>
          <w:color w:val="000000"/>
          <w:sz w:val="22"/>
        </w:rPr>
        <w:t xml:space="preserve">Work opportunity tax credit. </w:t>
      </w:r>
      <w:r>
        <w:rPr>
          <w:rFonts w:ascii="Times New Roman" w:hAnsi="Times New Roman"/>
          <w:b w:val="false"/>
          <w:i w:val="false"/>
          <w:color w:val="000000"/>
          <w:sz w:val="22"/>
        </w:rPr>
        <w:t>Where a financial institution claims the federal work opportunity tax credit as provided in Section 51 of the Internal Revenue Code, the amount of credit allowable shall be a deduction from Iowa taxable income to the extent the credit increased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701—602.10</w:t>
      </w:r>
      <w:r>
        <w:rPr>
          <w:rFonts w:ascii="Times New Roman" w:hAnsi="Times New Roman"/>
          <w:b/>
          <w:i w:val="false"/>
          <w:color w:val="000000"/>
          <w:sz w:val="22"/>
        </w:rPr>
        <w:t xml:space="preserve">(422) </w:t>
      </w:r>
      <w:r>
        <w:rPr>
          <w:rFonts w:ascii="Times New Roman" w:hAnsi="Times New Roman"/>
          <w:b/>
          <w:i w:val="false"/>
          <w:color w:val="000000"/>
          <w:sz w:val="22"/>
        </w:rPr>
        <w:t xml:space="preserve">Like-kind exchanges of personal property completed after December 31, 2017, but before tax periods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Public Law 115-97, Section 13303, repealed the deferral of gain or loss from exchanges of like-kind personal property for federal purposes under Section 1031 of the Internal Revenue Code. This federal repeal applies to exchanges completed after December 31, 2017, unless the taxpayer began the exchange by transferring personal property or receiving replacement personal property on or before that date. Iowa did not conform to this federal repeal for Iowa franchise tax purposes for tax periods beginning before January 1, 2019. For tax years beginning on or after January 1, 2019, but before January 1, 2020, Iowa generally conforms to the federal treatment of gain or loss from exchanges of like-kind personal property, but eligible taxpayers may elect the treatment that applied under prior federal law for Iowa purposes. For tax years beginning on or after January 1, 2020, Iowa fully conforms to the federal treatment for these exchanges, and no special election is available. This rule governs exchanges of like-kind personal property completed after December 31, 2017, but before tax periods beginning on or after January 1, 2020. This rule does not apply to exchanges completed during any tax year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602.10(2)</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 xml:space="preserve">Section 1031 of the Internal Revenue Code in effect on December 21, 2017, and any applicable federal regulations govern whether transactions involving the disposition and acquisition of personal property qualify for Iowa franchise tax purposes as a like-kind exchange of personal property subject to the deferral of gain or loss and also govern the date and tax period during which an exchange is considered completed. The treatment of such transactions as a like-kind exchange for Iowa franchise tax purposes is either mandatory or permissive depending on the date the like-kind exchange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after December 31, 2017, but before tax periods beginning on or after January 1, 2019. </w:t>
      </w:r>
      <w:r>
        <w:rPr>
          <w:rFonts w:ascii="Times New Roman" w:hAnsi="Times New Roman"/>
          <w:b w:val="false"/>
          <w:i w:val="false"/>
          <w:color w:val="000000"/>
          <w:sz w:val="22"/>
        </w:rPr>
        <w:t xml:space="preserve">Transactions involving the disposition and acquisition of personal property that qualify under this subrule as a like-kind exchange completed after December 31, 2017, but before tax periods beginning on or after January 1, 2019, are required to be treated as a like-kind exchange for Iowa franchise tax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during tax periods beginning on or after January 1, 2019, but before January 1, 2020. </w:t>
      </w:r>
      <w:r>
        <w:rPr>
          <w:rFonts w:ascii="Times New Roman" w:hAnsi="Times New Roman"/>
          <w:b w:val="false"/>
          <w:i w:val="false"/>
          <w:color w:val="000000"/>
          <w:sz w:val="22"/>
        </w:rPr>
        <w:t xml:space="preserve">For tax periods beginning on or after January 1, 2019, Iowa is conformed to the federal repeal of deferral of gain or loss from exchanges of like-kind personal property, so the federal and Iowa treatment of such transactions under Section 1031 of the Internal Revenue Code will generally be the same. However, transactions involving the disposition and acquisition of personal property that qualify under this subrule as a like-kind exchange completed during tax periods beginning on or after January 1, 2019, but before January 1, 2020, may at the election of the taxpayer be treated as a like-kind exchange for Iowa franchise tax purposes. The election is made by completing the necessary worksheets and forms and making the required adjustments on the Iowa return as described in subrule </w:t>
      </w:r>
      <w:hyperlink r:id="rId45">
        <w:r>
          <w:rPr>
            <w:rStyle w:val="Hyperlink"/>
            <w:rFonts w:ascii="Times New Roman" w:hAnsi="Times New Roman"/>
            <w:b w:val="false"/>
            <w:i w:val="false"/>
            <w:color w:val="000000"/>
            <w:sz w:val="22"/>
          </w:rPr>
          <w:t>602.10(3)</w:t>
        </w:r>
      </w:hyperlink>
      <w:r>
        <w:rPr>
          <w:rFonts w:ascii="Times New Roman" w:hAnsi="Times New Roman"/>
          <w:b w:val="false"/>
          <w:i w:val="false"/>
          <w:color w:val="000000"/>
          <w:sz w:val="22"/>
        </w:rPr>
        <w:t xml:space="preserve">. No special attachment or statement is required. The election only applies to the transactions involved in the like-kind exchange, and the taxpayer may elect or not elect to treat other qualifying transactions as a like-kind exchange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602.10(3)</w:t>
      </w:r>
      <w:r>
        <w:rPr>
          <w:rFonts w:ascii="Times New Roman" w:hAnsi="Times New Roman"/>
          <w:b w:val="false"/>
          <w:i w:val="false"/>
          <w:color w:val="000000"/>
          <w:sz w:val="22"/>
        </w:rPr>
        <w:t> </w:t>
      </w:r>
      <w:r>
        <w:rPr>
          <w:rFonts w:ascii="Times New Roman" w:hAnsi="Times New Roman"/>
          <w:b w:val="false"/>
          <w:i/>
          <w:color w:val="000000"/>
          <w:sz w:val="22"/>
        </w:rPr>
        <w:t xml:space="preserve">Calculation and Iowa adjustments. </w:t>
      </w:r>
      <w:r>
        <w:rPr>
          <w:rFonts w:ascii="Times New Roman" w:hAnsi="Times New Roman"/>
          <w:b w:val="false"/>
          <w:i w:val="false"/>
          <w:color w:val="000000"/>
          <w:sz w:val="22"/>
        </w:rPr>
        <w:t>A taxpayer required to or electing to treat qualifying transactions as a like-kind exchange for Iowa tax purposes must make certain Iowa calculations and adjustments on forms and worksheets made available on the department’s website. The IA 8824 Worksheet described in this subrule need not be included with the Iowa return but must be kept with the taxpayer’s records. The taxpayer is responsible for providing documentation at the department’s request to substantiate a like-kind exchange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 calculation. </w:t>
      </w:r>
      <w:r>
        <w:rPr>
          <w:rFonts w:ascii="Times New Roman" w:hAnsi="Times New Roman"/>
          <w:b w:val="false"/>
          <w:i w:val="false"/>
          <w:color w:val="000000"/>
          <w:sz w:val="22"/>
        </w:rPr>
        <w:t xml:space="preserve">The taxpayer must complete Parts I and II of the IA 8824 Worksheet to compute the Iowa recognized gain, if any, the Iowa deferred gain or loss, and the Iowa basis of the like-kind personal property received in the like-kind exchange.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X, a financial institution filing on a calendar-year basis, trades a computer system with a fair market value (FMV) of $25,000 along with $75,000 in cash to Y for a new computer system with an FMV of $100,000. For purposes of this example it is assumed that the computer system trade occurs in 2019 and qualifies as a like-kind exchange and that X elects such treatment under paragraph </w:t>
      </w:r>
      <w:hyperlink r:id="rId46">
        <w:r>
          <w:rPr>
            <w:rStyle w:val="Hyperlink"/>
            <w:rFonts w:ascii="Times New Roman" w:hAnsi="Times New Roman"/>
            <w:b w:val="false"/>
            <w:i w:val="false"/>
            <w:color w:val="000000"/>
            <w:sz w:val="22"/>
          </w:rPr>
          <w:t>602.10(2)</w:t>
        </w:r>
        <w:r>
          <w:rPr>
            <w:rFonts w:ascii="Times New Roman" w:hAnsi="Times New Roman"/>
            <w:b w:val="false"/>
            <w:i/>
            <w:color w:val="000000"/>
            <w:sz w:val="22"/>
          </w:rPr>
          <w:t>“b.”</w:t>
        </w:r>
      </w:hyperlink>
      <w:r>
        <w:rPr>
          <w:rFonts w:ascii="Times New Roman" w:hAnsi="Times New Roman"/>
          <w:b w:val="false"/>
          <w:i w:val="false"/>
          <w:color w:val="000000"/>
          <w:sz w:val="22"/>
        </w:rPr>
        <w:t xml:space="preserve"> At the time of the trade, the adjusted basis of X’s old computer system is $0 for federal tax purposes and is $13,680 for Iowa tax purposes. X realizes a gain for Iowa purposes on the exchange of the old computer system in the amount of $11,320 ($100,000 FMV of new computer system - $75,000 cash paid - $13,680 Iowa adjusted basis of old computer system). Because X did not receive any cash or other property that was not like-kind, or assume any liabilities from Y, the entire amount of X’s $11,320 realized gain qualifies for deferral, so X recognizes $0 of gain on the exchange for Iowa tax purposes. As a result, X’s basis in the new computer system for Iowa tax purposes is $88,680 ($13,680 Iowa adjusted basis of old computer system + $75,000 cash paid by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nonconformity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Part III of the IA 8824 Worksheet to adjust for the difference between any recognized Iowa gain from the exchange as calculated on the IA 8824 Worksheet, Part II, and any gain or loss (including gain or loss recaptured as ordinary income) recognized on the taxpayer’s federal return.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Assume the same facts as given in Example 1. Because the computer trade occurred in 2019, it will not qualify as a like-kind exchange for federal tax purposes but will instead be treated as two separate transactions: a sale of the old computer system and a purchase of the new computer system. X recognizes a gain for federal tax purposes on the sale of the old computer system in the amount of $25,000 ($25,000 sales price of old computer system - $0 federal adjusted basis of old computer system), the entire amount of which is recaptured as ordinary income because of prior depreciation. X reports the $25,000 of income on the federal return. X is required to report the same $25,000 as income on the Iowa return but is also allowed a $25,000 subtraction on the same Iowa return because X’s recognized gain for Iowa tax purposes is $0 as calculated in Example 1. X’s nonconformity adjustment of -$25,000 must be reported on the Iowa return in the manner prescribed on the IA 8824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recognized federal gain is reported using the installment sale method under Section 453 of the Internal Revenue Code, the total amount of any Iowa nonconformity adjustment related to that federal gain must be claimed over the same installment period, and the proportion of the total Iowa nonconformity adjustment claimed for each tax year shall equal the same proportion that the federal gain reported for that tax year bears to the total amount of federal gain that will ultimately be reported for all tax years resulting from the disposition of the personal property. The taxpayer must complete an IA 8824 Worksheet for each tax year that an Iowa nonconformity adjustment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 recovery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the IA 4562A to account for any differences between the federal and Iowa cost recovery deductions related to the like-kind personal property involved in the like-kind exchange, including if the taxpayer’s basis in the like-kind personal property received is different for federal and Iowa purposes, or if the taxpayer claimed additional first-year depreciation or a section 179 deduction for federal purposes on the like-kind property received in the exchange. See rule </w:t>
      </w:r>
      <w:hyperlink r:id="rId47">
        <w:r>
          <w:rPr>
            <w:rStyle w:val="Hyperlink"/>
            <w:rFonts w:ascii="Times New Roman" w:hAnsi="Times New Roman"/>
            <w:b w:val="false"/>
            <w:i w:val="false"/>
            <w:color w:val="000000"/>
            <w:sz w:val="22"/>
          </w:rPr>
          <w:t>701—602.23</w:t>
        </w:r>
      </w:hyperlink>
      <w:r>
        <w:rPr>
          <w:rFonts w:ascii="Times New Roman" w:hAnsi="Times New Roman"/>
          <w:b w:val="false"/>
          <w:i w:val="false"/>
          <w:color w:val="000000"/>
          <w:sz w:val="22"/>
        </w:rPr>
        <w:t xml:space="preserve">(422) for requirements related to the disallowance of additional first-year depreciation for Iowa franchise tax purposes. See rule </w:t>
      </w:r>
      <w:hyperlink r:id="rId48">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 xml:space="preserve">(422) for the section 179 limitations imposed under the Iowa franchise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Treasury Regulation §1.168(i)-6 prescribes rules related to the calculation of depreciation for certain assets involved in a like-kind exchange, but a taxpayer may elect to not have those rules apply pursuant to Treasury Regulation §1.168(i)-6(i). A taxpayer may choose to make a similar election under Treasury Regulation §1.168(i)-6(i) for Iowa tax purposes with regard to a like-kind exchange under this rule if the personal property otherwise would have qualified for such federal election notwithstanding the fact that no like-kind exchange occurred for federal purposes or the fact that no election was actually made for federal tax purposes in accordance with Treasury Regulation §1.168(i)-6(j). The election is made by calculating depreciation for Iowa tax purposes on the personal property involved in the like-kind exchange using the method described in Treasury Regulation §1.168(i)-6(i) on the timely filed Iowa return, including extensions, for the same tax year that the like-kind exchange was completed. No special attachment or statement is required.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Assume the same facts as given in Examples 1 and 2. X elects additional first-year depreciation on the new computer system and claims a depreciation deduction on the federal return of $100,000 (100 percent of X’s federal basis). X is required to add back the total amount of the federal depreciation on the Iowa return because Iowa does not allow additional first-year depreciation. But X is permitted deductions for regular depreciation on the new computer system with an Iowa basis of $88,680 ($13,680 carryover basis from old computer system + $75,000 excess basis from cash paid) under Section 168 of the Internal Revenue Code, without regard to bonus depreciation under Section 168(k). See rule </w:t>
      </w:r>
      <w:hyperlink r:id="rId49">
        <w:r>
          <w:rPr>
            <w:rStyle w:val="Hyperlink"/>
            <w:rFonts w:ascii="Times New Roman" w:hAnsi="Times New Roman"/>
            <w:b w:val="false"/>
            <w:i w:val="false"/>
            <w:color w:val="000000"/>
            <w:sz w:val="22"/>
          </w:rPr>
          <w:t>701—602.23(422)</w:t>
        </w:r>
      </w:hyperlink>
      <w:r>
        <w:rPr>
          <w:rFonts w:ascii="Times New Roman" w:hAnsi="Times New Roman"/>
          <w:b w:val="false"/>
          <w:i w:val="false"/>
          <w:color w:val="000000"/>
          <w:sz w:val="22"/>
        </w:rPr>
        <w:t xml:space="preserve"> for more information on the disallowance of additional first-year depreciation.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Assume the same facts as given in Examples 1 and 2. X elects to expense the entire cost of the new computer system under Section 179 of the Internal Revenue Code and claims a deduction on the federal return of $100,000. X is also required to claim the section 179 deduction on the new computer system for Iowa tax purposes pursuant to subrule </w:t>
      </w:r>
      <w:hyperlink r:id="rId50">
        <w:r>
          <w:rPr>
            <w:rStyle w:val="Hyperlink"/>
            <w:rFonts w:ascii="Times New Roman" w:hAnsi="Times New Roman"/>
            <w:b w:val="false"/>
            <w:i w:val="false"/>
            <w:color w:val="000000"/>
            <w:sz w:val="22"/>
          </w:rPr>
          <w:t>602.24(2)</w:t>
        </w:r>
      </w:hyperlink>
      <w:r>
        <w:rPr>
          <w:rFonts w:ascii="Times New Roman" w:hAnsi="Times New Roman"/>
          <w:b w:val="false"/>
          <w:i w:val="false"/>
          <w:color w:val="000000"/>
          <w:sz w:val="22"/>
        </w:rPr>
        <w:t xml:space="preserve">. However, the amount that represents the carryover basis from the old computer system ($13,680) is not eligible for the deduction under Section 179(d)(3) of the Internal Revenue Code, so the cost of the new computer system that is eligible for the section 179 deduction for Iowa purposes is only $75,000 (excess basis from cash paid). This is the amount of section 179 deduction that X must claim on the Iowa return, subject to the applicable Iowa dollar limitation and reduction limitations in rule </w:t>
      </w:r>
      <w:hyperlink r:id="rId51">
        <w:r>
          <w:rPr>
            <w:rStyle w:val="Hyperlink"/>
            <w:rFonts w:ascii="Times New Roman" w:hAnsi="Times New Roman"/>
            <w:b w:val="false"/>
            <w:i w:val="false"/>
            <w:color w:val="000000"/>
            <w:sz w:val="22"/>
          </w:rPr>
          <w:t>701—602.24(422)</w:t>
        </w:r>
      </w:hyperlink>
      <w:r>
        <w:rPr>
          <w:rFonts w:ascii="Times New Roman" w:hAnsi="Times New Roman"/>
          <w:b w:val="false"/>
          <w:i w:val="false"/>
          <w:color w:val="000000"/>
          <w:sz w:val="22"/>
        </w:rPr>
        <w:t xml:space="preserve">. Because X is the taxpayer who placed the new computer system in service, X is permitted deductions for regular depreciation on the carryover basis in the new computer system ($13,680) under Section 168 of the Internal Revenue Code, without regard to bonus depreciation under Section 168(k). </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2019 Iowa Acts, chapter 152</w:t>
      </w:r>
      <w:r>
        <w:rPr>
          <w:rFonts w:ascii="Times New Roman" w:hAnsi="Times New Roman"/>
          <w:b w:val="false"/>
          <w:i w:val="false"/>
          <w:color w:val="000000"/>
          <w:sz w:val="22"/>
        </w:rPr>
        <w:t xml:space="preserve"> [House File 779], section 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4614C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701—602.11</w:t>
      </w:r>
      <w:r>
        <w:rPr>
          <w:rFonts w:ascii="Times New Roman" w:hAnsi="Times New Roman"/>
          <w:b/>
          <w:i w:val="false"/>
          <w:color w:val="000000"/>
          <w:sz w:val="22"/>
        </w:rPr>
        <w:t xml:space="preserve">(422) </w:t>
      </w:r>
      <w:r>
        <w:rPr>
          <w:rFonts w:ascii="Times New Roman" w:hAnsi="Times New Roman"/>
          <w:b/>
          <w:i w:val="false"/>
          <w:color w:val="000000"/>
          <w:sz w:val="22"/>
        </w:rPr>
        <w:t xml:space="preserve">Gains and losses on property acquired before January 1, 1934. </w:t>
      </w:r>
      <w:r>
        <w:rPr>
          <w:rFonts w:ascii="Times New Roman" w:hAnsi="Times New Roman"/>
          <w:b w:val="false"/>
          <w:i w:val="false"/>
          <w:color w:val="000000"/>
          <w:sz w:val="22"/>
        </w:rPr>
        <w:t xml:space="preserve">Where property was acquired prior to January 1, 1934, the basis as of January 1, 1934, for determining capital or other gains or losses is the higher of cost, adjusted for depreciation allowed or allowable to January 1, 1934, or fair market value as of that date. </w:t>
      </w:r>
      <w:r>
        <w:rPr>
          <w:rFonts w:ascii="Times New Roman" w:hAnsi="Times New Roman"/>
          <w:b w:val="false"/>
          <w:i/>
          <w:color w:val="000000"/>
          <w:sz w:val="22"/>
        </w:rPr>
        <w:t>City National Bank of Clinton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251 Iowa 603, 102 N.W.2d 381 (1960).</w:t>
      </w:r>
    </w:p>
    <w:p>
      <w:pPr>
        <w:spacing w:before="0" w:after="0"/>
        <w:ind w:left="120"/>
        <w:jc w:val="both"/>
      </w:pPr>
      <w:r>
        <w:rPr>
          <w:rFonts w:ascii="Times New Roman" w:hAnsi="Times New Roman"/>
          <w:b w:val="false"/>
          <w:i w:val="false"/>
          <w:color w:val="000000"/>
          <w:sz w:val="22"/>
        </w:rPr>
        <w:t>If as a result of this provision a basis is to be used for purposes of Iowa franchise tax which is different from the basis used for purposes of federal income tax, an appropriate adjustment must be made and detailed schedules supplied in the computation of Iowa income subject to franchise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701—602.12</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income tax deduction. </w:t>
      </w:r>
      <w:r>
        <w:rPr>
          <w:rFonts w:ascii="Times New Roman" w:hAnsi="Times New Roman"/>
          <w:b w:val="false"/>
          <w:i w:val="false"/>
          <w:color w:val="000000"/>
          <w:sz w:val="22"/>
        </w:rPr>
        <w:t xml:space="preserve">For tax years beginning on or after January 1, 1980, a deduction for 50 percent of federal income taxes paid or accrued is not allowed. Cash-basis taxpayers are not allowed a deduction for 50 percent of federal income taxes paid during a tax year beginning on or after January 1, 1980, which represent the preceding year’s tax or additional taxes for prior years. Fifty percent of a federal income tax refund received during a tax year beginning on or after January 1, 1980, shall not be reported as income. For tax years beginning on or after January 1, 1990, because the federal environmental tax is deducted in computing federal taxable income and Iowa Code section </w:t>
      </w:r>
      <w:hyperlink r:id="rId54">
        <w:r>
          <w:rPr>
            <w:rStyle w:val="Hyperlink"/>
            <w:rFonts w:ascii="Times New Roman" w:hAnsi="Times New Roman"/>
            <w:b w:val="false"/>
            <w:i w:val="false"/>
            <w:color w:val="000000"/>
            <w:sz w:val="22"/>
          </w:rPr>
          <w:t>422.61(3)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allow the deduction of federal income taxes, the federal environmental tax must be added to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701—602.13</w:t>
      </w:r>
      <w:r>
        <w:rPr>
          <w:rFonts w:ascii="Times New Roman" w:hAnsi="Times New Roman"/>
          <w:b/>
          <w:i w:val="false"/>
          <w:color w:val="000000"/>
          <w:sz w:val="22"/>
        </w:rPr>
        <w:t xml:space="preserve">(422) </w:t>
      </w:r>
      <w:r>
        <w:rPr>
          <w:rFonts w:ascii="Times New Roman" w:hAnsi="Times New Roman"/>
          <w:b/>
          <w:i w:val="false"/>
          <w:color w:val="000000"/>
          <w:sz w:val="22"/>
        </w:rPr>
        <w:t xml:space="preserve">Iowa franchise taxes. </w:t>
      </w:r>
      <w:r>
        <w:rPr>
          <w:rFonts w:ascii="Times New Roman" w:hAnsi="Times New Roman"/>
          <w:b w:val="false"/>
          <w:i w:val="false"/>
          <w:color w:val="000000"/>
          <w:sz w:val="22"/>
        </w:rPr>
        <w:t>Iowa franchise taxes paid or accrued during the tax year as may be applicable under the method of filing are permissible deductions for federal corporation income tax purposes, but not for purposes of determining Iowa net income. To the extent taxes were deducted in the determination of federal taxable income, they shall be added to federal taxable income for Iowa franchise tax purposes. Refunds of Iowa franchise tax to the extent that the returns are included in the determination of federal taxable income shall all be subtracted from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701—602.14</w:t>
      </w:r>
      <w:r>
        <w:rPr>
          <w:rFonts w:ascii="Times New Roman" w:hAnsi="Times New Roman"/>
          <w:b/>
          <w:i w:val="false"/>
          <w:color w:val="000000"/>
          <w:sz w:val="22"/>
        </w:rPr>
        <w:t xml:space="preserve">(422) </w:t>
      </w:r>
      <w:r>
        <w:rPr>
          <w:rFonts w:ascii="Times New Roman" w:hAnsi="Times New Roman"/>
          <w:b/>
          <w:i w:val="false"/>
          <w:color w:val="000000"/>
          <w:sz w:val="22"/>
        </w:rPr>
        <w:t xml:space="preserve">Method of accounting, accounting period. </w:t>
      </w:r>
      <w:r>
        <w:rPr>
          <w:rFonts w:ascii="Times New Roman" w:hAnsi="Times New Roman"/>
          <w:b w:val="false"/>
          <w:i w:val="false"/>
          <w:color w:val="000000"/>
          <w:sz w:val="22"/>
        </w:rPr>
        <w:t>The return shall be computed on the same basis and for the same accounting period as the taxpayer’s return for federal corporation income tax purposes. Permission to change accounting methods or accounting periods for franchise tax purposes is not required provided the taxpayer furnishes the department with a copy of the federal consent.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701—602.15</w:t>
      </w:r>
      <w:r>
        <w:rPr>
          <w:rFonts w:ascii="Times New Roman" w:hAnsi="Times New Roman"/>
          <w:b/>
          <w:i w:val="false"/>
          <w:color w:val="000000"/>
          <w:sz w:val="22"/>
        </w:rPr>
        <w:t xml:space="preserve">(422) </w:t>
      </w:r>
      <w:r>
        <w:rPr>
          <w:rFonts w:ascii="Times New Roman" w:hAnsi="Times New Roman"/>
          <w:b/>
          <w:i w:val="false"/>
          <w:color w:val="000000"/>
          <w:sz w:val="22"/>
        </w:rPr>
        <w:t xml:space="preserve">Consolidated returns. </w:t>
      </w:r>
      <w:r>
        <w:rPr>
          <w:rFonts w:ascii="Times New Roman" w:hAnsi="Times New Roman"/>
          <w:b w:val="false"/>
          <w:i w:val="false"/>
          <w:color w:val="000000"/>
          <w:sz w:val="22"/>
        </w:rPr>
        <w:t xml:space="preserve">There is no provision in the Iowa franchise tax law to allow financial institutions to file consolidated Iowa franchise tax returns with another financial institution or another corporation as defined in Iowa Code section </w:t>
      </w:r>
      <w:hyperlink r:id="rId60">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In the absence of any statutory authority for allowing consolidated Iowa franchise tax returns, separate Iowa franchise tax returns must be filed.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422.68(1)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701—602.16</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rulings and regulations. </w:t>
      </w:r>
      <w:r>
        <w:rPr>
          <w:rFonts w:ascii="Times New Roman" w:hAnsi="Times New Roman"/>
          <w:b w:val="false"/>
          <w:i w:val="false"/>
          <w:color w:val="000000"/>
          <w:sz w:val="22"/>
        </w:rPr>
        <w:t>In determining whether “taxable income,” “net operating loss deduction” or any other deductions are computed for federal tax purposes under, or have the same meaning as provided by, the Internal Revenue Code, the department will use applicable rulings and regulations that have been duly promulgated by the Commissioner of Internal Revenue, unless the director has created rules and regulations or has exercised discretionary powers as prescribed by statute which call for an alternative method for determining “taxable income,” “net operating loss deduction,” or any other deductions, or unless the department finds that an applicable Internal Revenue ruling or regulation is unauthorized according to the Iowa Code.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701—602.17</w:t>
      </w:r>
      <w:r>
        <w:rPr>
          <w:rFonts w:ascii="Times New Roman" w:hAnsi="Times New Roman"/>
          <w:b/>
          <w:i w:val="false"/>
          <w:color w:val="000000"/>
          <w:sz w:val="22"/>
        </w:rPr>
        <w:t xml:space="preserve">(15E,422) </w:t>
      </w:r>
      <w:r>
        <w:rPr>
          <w:rFonts w:ascii="Times New Roman" w:hAnsi="Times New Roman"/>
          <w:b/>
          <w:i w:val="false"/>
          <w:color w:val="000000"/>
          <w:sz w:val="22"/>
        </w:rPr>
        <w:t xml:space="preserve">Charitable contributions relating to the endow Iowa tax credit. </w:t>
      </w:r>
      <w:r>
        <w:rPr>
          <w:rFonts w:ascii="Times New Roman" w:hAnsi="Times New Roman"/>
          <w:b w:val="false"/>
          <w:i w:val="false"/>
          <w:color w:val="000000"/>
          <w:sz w:val="22"/>
        </w:rPr>
        <w:t xml:space="preserve">For tax years beginning on or after January 1, 2010, a taxpayer who claims an endow Iowa tax credit in accordance with rule </w:t>
      </w:r>
      <w:hyperlink r:id="rId65">
        <w:r>
          <w:rPr>
            <w:rStyle w:val="Hyperlink"/>
            <w:rFonts w:ascii="Times New Roman" w:hAnsi="Times New Roman"/>
            <w:b w:val="false"/>
            <w:i w:val="false"/>
            <w:color w:val="000000"/>
            <w:sz w:val="22"/>
          </w:rPr>
          <w:t>701—601.13</w:t>
        </w:r>
      </w:hyperlink>
      <w:r>
        <w:rPr>
          <w:rFonts w:ascii="Times New Roman" w:hAnsi="Times New Roman"/>
          <w:b w:val="false"/>
          <w:i w:val="false"/>
          <w:color w:val="000000"/>
          <w:sz w:val="22"/>
        </w:rPr>
        <w:t>(15E,422) cannot claim a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701—602.18</w:t>
      </w:r>
      <w:r>
        <w:rPr>
          <w:rFonts w:ascii="Times New Roman" w:hAnsi="Times New Roman"/>
          <w:b/>
          <w:i w:val="false"/>
          <w:color w:val="000000"/>
          <w:sz w:val="22"/>
        </w:rPr>
        <w:t xml:space="preserve">(422) </w:t>
      </w:r>
      <w:r>
        <w:rPr>
          <w:rFonts w:ascii="Times New Roman" w:hAnsi="Times New Roman"/>
          <w:b/>
          <w:i w:val="false"/>
          <w:color w:val="000000"/>
          <w:sz w:val="22"/>
        </w:rPr>
        <w:t xml:space="preserve">Depreciation of speculative shell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July 1, 1992, speculative shell buildings constructed or reconstructed after that date may be depreciated as 15-year property under the accelerated cost of recovery system of the Internal Revenue Code. If the taxpayer has deducted depreciation on the speculative shell building on the taxpayer’s federal income tax return, that amount of depreciation must be added to federal taxable income in order to deduct depreciation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602.18(2)</w:t>
      </w:r>
      <w:r>
        <w:rPr>
          <w:rFonts w:ascii="Times New Roman" w:hAnsi="Times New Roman"/>
          <w:b w:val="false"/>
          <w:i w:val="false"/>
          <w:color w:val="000000"/>
          <w:sz w:val="22"/>
        </w:rPr>
        <w:t> </w:t>
      </w:r>
      <w:r>
        <w:rPr>
          <w:rFonts w:ascii="Times New Roman" w:hAnsi="Times New Roman"/>
          <w:b w:val="false"/>
          <w:i w:val="false"/>
          <w:color w:val="000000"/>
          <w:sz w:val="22"/>
        </w:rPr>
        <w:t>On sale or other disposition of the speculative shell building, the taxpayer must report on the taxpayer’s Iowa corporation income tax return the same gain or loss reported on the taxpayer’s federal corporation income tax return. If, while owned by the taxpayer, the building is converted from a speculative shell building to another use, the taxpayer must deduct the same amount of depreciation on the taxpayer’s Iowa tax return as is deducted on the taxpayer’s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602.18(3)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the term “speculative shell building” means a building as defined in Iowa Code section </w:t>
      </w:r>
      <w:hyperlink r:id="rId67">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subsection (27)</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701—602.19</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multipurpose vehicle registration fee. </w:t>
      </w:r>
      <w:r>
        <w:rPr>
          <w:rFonts w:ascii="Times New Roman" w:hAnsi="Times New Roman"/>
          <w:b w:val="false"/>
          <w:i w:val="false"/>
          <w:color w:val="000000"/>
          <w:sz w:val="22"/>
        </w:rPr>
        <w:t xml:space="preserve">For tax years beginning on or after January 1, 1992, and before January 1, 2005, corporations may claim a deduction for 60 percent of the amount of the registration fee paid for a multipurpose vehicle under Iowa Code section </w:t>
      </w:r>
      <w:hyperlink r:id="rId70">
        <w:r>
          <w:rPr>
            <w:rStyle w:val="Hyperlink"/>
            <w:rFonts w:ascii="Times New Roman" w:hAnsi="Times New Roman"/>
            <w:b w:val="false"/>
            <w:i w:val="false"/>
            <w:color w:val="000000"/>
            <w:sz w:val="22"/>
          </w:rPr>
          <w:t>321.124, subsection 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“h.”</w:t>
      </w:r>
      <w:r>
        <w:rPr>
          <w:rFonts w:ascii="Times New Roman" w:hAnsi="Times New Roman"/>
          <w:b w:val="false"/>
          <w:i w:val="false"/>
          <w:color w:val="000000"/>
          <w:sz w:val="22"/>
        </w:rPr>
        <w:t xml:space="preserve"> In order to qualify for this deduction, no part of the multipurpose vehicle registration fee may have been deducted as an ordinary and necessary business expense.</w:t>
      </w:r>
    </w:p>
    <w:p>
      <w:pPr>
        <w:spacing w:before="0" w:after="0"/>
        <w:ind w:left="120"/>
        <w:jc w:val="both"/>
      </w:pPr>
      <w:r>
        <w:rPr>
          <w:rFonts w:ascii="Times New Roman" w:hAnsi="Times New Roman"/>
          <w:b w:val="false"/>
          <w:i w:val="false"/>
          <w:color w:val="000000"/>
          <w:sz w:val="22"/>
        </w:rPr>
        <w:t>For tax years beginning on or after January 1, 2005, the deduction for Iowa franchise tax for multipurpose vehicle registration fees is the same as allowed under Section 164 of the Internal Revenue Code for federal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701—602.20</w:t>
      </w:r>
      <w:r>
        <w:rPr>
          <w:rFonts w:ascii="Times New Roman" w:hAnsi="Times New Roman"/>
          <w:b/>
          <w:i w:val="false"/>
          <w:color w:val="000000"/>
          <w:sz w:val="22"/>
        </w:rPr>
        <w:t xml:space="preserve">(422) </w:t>
      </w:r>
      <w:r>
        <w:rPr>
          <w:rFonts w:ascii="Times New Roman" w:hAnsi="Times New Roman"/>
          <w:b/>
          <w:i w:val="false"/>
          <w:color w:val="000000"/>
          <w:sz w:val="22"/>
        </w:rPr>
        <w:t xml:space="preserve">Disallowance of expenses to carry an investment subsidiary. </w:t>
      </w:r>
      <w:r>
        <w:rPr>
          <w:rFonts w:ascii="Times New Roman" w:hAnsi="Times New Roman"/>
          <w:b w:val="false"/>
          <w:i w:val="false"/>
          <w:color w:val="000000"/>
          <w:sz w:val="22"/>
        </w:rPr>
        <w:t>A taxpayer must add back, to the extent included, any deduction for that portion of the taxpayer’s expenses computed under this rule that is allocable to an investment in an investment subsidiary.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602.20(1)</w:t>
      </w:r>
      <w:r>
        <w:rPr>
          <w:rFonts w:ascii="Times New Roman" w:hAnsi="Times New Roman"/>
          <w:b w:val="false"/>
          <w:i w:val="false"/>
          <w:color w:val="000000"/>
          <w:sz w:val="22"/>
        </w:rPr>
        <w:t> </w:t>
      </w:r>
      <w:r>
        <w:rPr>
          <w:rFonts w:ascii="Times New Roman" w:hAnsi="Times New Roman"/>
          <w:b w:val="false"/>
          <w:i/>
          <w:color w:val="000000"/>
          <w:sz w:val="22"/>
        </w:rPr>
        <w:t xml:space="preserv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corporation, trust, estate, association, or similar organization: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 which a financial institution, directly or indirectly, owns or controls either a majority of the voting shares or more than 50 percent of the number of shares voted for the election of its directors, trustees, or other individuals exercising similar functions at the preceding election, or controls in any manner the election of a majority of its directors, trustees, or other individuals exercising similar functions;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Of which control is held, directly or indirectly, through share ownership or in any other manner, by the shareholders of a financial institution who own or control either a majority of the shares of such financial institution or more than 50 percent of the number of shares voted for election of directors of such financial institution at the preceding election, or by trustees for the benefit of the shareholders of such financial institution;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 which a majority of its directors, trustees, or other individuals exercising similar functions are directors of any financial institution;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owns or controls, directly or indirectly, either a majority of the voting shares of a financial institution or more than 50 percent of the number of shares voted for the election of directors of a financial institution at the preceding election, or controls in any manner the election of a majority of the directors of a financial institution, or for the benefit of those shareholders or members all or substantially all of the outstanding voting shares of a financial institution is held by trustees;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That is a bank holding company, as defined by the laws of the United States, of which a financial institution is a subsidiary, and any other subsidiary as defined by the laws of the United States, of a bank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adjusted basis” </w:t>
      </w:r>
      <w:r>
        <w:rPr>
          <w:rFonts w:ascii="Times New Roman" w:hAnsi="Times New Roman"/>
          <w:b w:val="false"/>
          <w:i w:val="false"/>
          <w:color w:val="000000"/>
          <w:sz w:val="22"/>
        </w:rPr>
        <w:t xml:space="preserve">means the financial institution’s average adjusted basis as computed pursuant to </w:t>
      </w:r>
      <w:r>
        <w:rPr>
          <w:rFonts w:ascii="Times New Roman" w:hAnsi="Times New Roman"/>
          <w:b w:val="false"/>
          <w:i w:val="false"/>
          <w:color w:val="000000"/>
          <w:sz w:val="22"/>
        </w:rPr>
        <w:t>Section 1016 of the Internal Revenue Code</w:t>
      </w:r>
      <w:r>
        <w:rPr>
          <w:rFonts w:ascii="Times New Roman" w:hAnsi="Times New Roman"/>
          <w:b w:val="false"/>
          <w:i w:val="false"/>
          <w:color w:val="000000"/>
          <w:sz w:val="22"/>
        </w:rPr>
        <w:t xml:space="preserve"> on a separate company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subsidiary” </w:t>
      </w:r>
      <w:r>
        <w:rPr>
          <w:rFonts w:ascii="Times New Roman" w:hAnsi="Times New Roman"/>
          <w:b w:val="false"/>
          <w:i w:val="false"/>
          <w:color w:val="000000"/>
          <w:sz w:val="22"/>
        </w:rPr>
        <w:t>means an affiliate that is owned, capitalized, or utilized by a financial institution with one of its purposes being to make, hold, or manage, for and on behalf of the financial institution, investments in securities that the financial institution would be permitted by applicable law to make for its own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602.20(2)</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addition.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institution that has an investment in an investment subsidiary must allocate a portion of its total expenses used in computing its federal taxable income on a separate return basis to its investment subsidiary. The expenses that are allocable to the investment in an investment subsidiary are computed by multiplying the financial institution’s total expenses used in computing its federal taxable income on a separate return basis by the ratio of the average adjusted basis in its investment subsidiary to the average adjusted basis for all assets of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calculation of the average for the tax year of the adjusted bases of a financial institution’s investment in investment subsidiaries, and total assets, held each day of the tax year is the most accurate method for determining under Iowa Code section </w:t>
      </w:r>
      <w:hyperlink r:id="rId72">
        <w:r>
          <w:rPr>
            <w:rStyle w:val="Hyperlink"/>
            <w:rFonts w:ascii="Times New Roman" w:hAnsi="Times New Roman"/>
            <w:b w:val="false"/>
            <w:i w:val="false"/>
            <w:color w:val="000000"/>
            <w:sz w:val="22"/>
          </w:rPr>
          <w:t>422.61(3)</w:t>
        </w:r>
      </w:hyperlink>
      <w:r>
        <w:rPr>
          <w:rFonts w:ascii="Times New Roman" w:hAnsi="Times New Roman"/>
          <w:b w:val="false"/>
          <w:i w:val="false"/>
          <w:color w:val="000000"/>
          <w:sz w:val="22"/>
        </w:rPr>
        <w:t xml:space="preserve"> the portion of a financial institution’s total expenses that is allocable to the financial institution’s investment in investment subsidiaries. However, the department will generally allow the average adjusted bases of an investment in investment subsidiaries for the tax year to be calculated using the average of the adjusted bases of the investment in investment subsidiaries held by the financial institution at the end of each month within the tax year. The department generally will allow the average bases of all assets of the financial institution for the tax year to be calculated using the average bases of all assets held by the financial institution at the end of each quarter of the tax year. A financial institution may compute for any tax year, without prior permission of the director, the average adjusted bases of investment in investment subsidiaries or total assets on a more frequent basis than set forth above. However, a financial institution cannot compute these averages for any tax year on a less frequent basis than quarterly without obtaining prior approval of the director. This permission will be granted only in extraordinary circumstances. In addition, a financial institution cannot compute these averages for any tax year on a less frequent basis than it used for the preceding tax year unless the financial institution obtains prior approval of the director. A financial institution that has elected to use an estimate of the adjusted tax bases of its total assets for each of the first three quarters of the taxable year under Internal Revenue Service’s Revenue Ruling 90-44 for federal income tax purposes may use this estimate for Iowa franchise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602.20(3)</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addition. </w:t>
      </w:r>
      <w:r>
        <w:rPr>
          <w:rFonts w:ascii="Times New Roman" w:hAnsi="Times New Roman"/>
          <w:b w:val="false"/>
          <w:i w:val="false"/>
          <w:color w:val="000000"/>
          <w:sz w:val="22"/>
        </w:rPr>
        <w:t xml:space="preserve">Financial institutions that elect to file a combined Iowa return with their investment subsidiaries as provided in rule </w:t>
      </w:r>
      <w:hyperlink r:id="rId73">
        <w:r>
          <w:rPr>
            <w:rStyle w:val="Hyperlink"/>
            <w:rFonts w:ascii="Times New Roman" w:hAnsi="Times New Roman"/>
            <w:b w:val="false"/>
            <w:i w:val="false"/>
            <w:color w:val="000000"/>
            <w:sz w:val="22"/>
          </w:rPr>
          <w:t>701—602.33</w:t>
        </w:r>
      </w:hyperlink>
      <w:r>
        <w:rPr>
          <w:rFonts w:ascii="Times New Roman" w:hAnsi="Times New Roman"/>
          <w:b w:val="false"/>
          <w:i w:val="false"/>
          <w:color w:val="000000"/>
          <w:sz w:val="22"/>
        </w:rPr>
        <w:t>(422) are not required to add back expenses allocable to an investment subsidiary.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0028D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701—602.21</w:t>
      </w:r>
      <w:r>
        <w:rPr>
          <w:rFonts w:ascii="Times New Roman" w:hAnsi="Times New Roman"/>
          <w:b/>
          <w:i w:val="false"/>
          <w:color w:val="000000"/>
          <w:sz w:val="22"/>
        </w:rPr>
        <w:t xml:space="preserve">(422) </w:t>
      </w:r>
      <w:r>
        <w:rPr>
          <w:rFonts w:ascii="Times New Roman" w:hAnsi="Times New Roman"/>
          <w:b/>
          <w:i w:val="false"/>
          <w:color w:val="000000"/>
          <w:sz w:val="22"/>
        </w:rPr>
        <w:t xml:space="preserve">S corporation and limited liability company financial institutions. </w:t>
      </w:r>
      <w:r>
        <w:rPr>
          <w:rFonts w:ascii="Times New Roman" w:hAnsi="Times New Roman"/>
          <w:b w:val="false"/>
          <w:i w:val="false"/>
          <w:color w:val="000000"/>
          <w:sz w:val="22"/>
        </w:rPr>
        <w:t xml:space="preserve">For tax years beginning on or after January 1, 1997, a financial institution as defined in Section 581 of the Internal Revenue Code which has in effect an election under Subchapter S of the Internal Revenue Code must compute an amount of income as if the financial institution were subject to federal corporation income tax. For tax years beginning on or after July 1, 2004, a financial institution organized as a limited liability company under Iowa Code chapter </w:t>
      </w:r>
      <w:hyperlink r:id="rId7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that is taxed as a partnership for federal income tax purposes must compute an amount of income as if the financial institution were subject to federal corporation income tax. The income is to be computed in the same manner as a financial institution that is subject to or liable for federal income tax under the Internal Revenue Code in effect for the applicable tax would compute its federal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House File 2484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contributions made to the endowment fund of the Iowa educational savings plan trust. </w:t>
      </w:r>
      <w:r>
        <w:rPr>
          <w:rFonts w:ascii="Times New Roman" w:hAnsi="Times New Roman"/>
          <w:b w:val="false"/>
          <w:i w:val="false"/>
          <w:color w:val="000000"/>
          <w:sz w:val="22"/>
        </w:rPr>
        <w:t>To the extent that the contribution was not deductible for federal income tax purposes, any gift, grant, or donation to the endowment fund of the Iowa educational savings plan trust may be deducted for Iowa franchise tax purposes. The contribution must be made on or after July 1, 1998, but before April 15, 2004. Effective April 15, 2004, the deduction for contributions made to the endowment fund is repealed.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House File 2119</w:t>
      </w:r>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701—602.23</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first-year depreciation allowance.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602.23(1)</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September 10, 2001, but before May 6, 2003. </w:t>
      </w:r>
      <w:r>
        <w:rPr>
          <w:rFonts w:ascii="Times New Roman" w:hAnsi="Times New Roman"/>
          <w:b w:val="false"/>
          <w:i w:val="false"/>
          <w:color w:val="000000"/>
          <w:sz w:val="22"/>
        </w:rPr>
        <w:t>For tax periods ending after September 10, 2001, but beginning before May 6, 2003, the additional first-year depreciation allowance (“bonus depreciation”) of 30 percent authorized in Section 168(k) of the Internal Revenue Code, as enacted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107-147, Section 101, does not apply for Iowa franchise tax. Taxpayers who claim the bonus depreciation on their federal income tax return must add the total amount of depreciation claimed on assets acquired after September 10, 2001, but before May 6, 2003,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September 10, 2001, but before May 6, 2003, can be calculated on Form IA 4562A.</w:t>
      </w:r>
    </w:p>
    <w:p>
      <w:pPr>
        <w:spacing w:before="0" w:after="0"/>
        <w:ind w:left="120"/>
        <w:jc w:val="both"/>
      </w:pPr>
      <w:r>
        <w:rPr>
          <w:rFonts w:ascii="Times New Roman" w:hAnsi="Times New Roman"/>
          <w:b w:val="false"/>
          <w:i w:val="false"/>
          <w:color w:val="000000"/>
          <w:sz w:val="22"/>
        </w:rPr>
        <w:t xml:space="preserve">See </w:t>
      </w:r>
      <w:hyperlink r:id="rId79">
        <w:r>
          <w:rPr>
            <w:rStyle w:val="Hyperlink"/>
            <w:rFonts w:ascii="Times New Roman" w:hAnsi="Times New Roman"/>
            <w:b w:val="false"/>
            <w:i w:val="false"/>
            <w:color w:val="000000"/>
            <w:sz w:val="22"/>
          </w:rPr>
          <w:t>701—subrule 53.22(1)</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602.23(2)</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May 5, 2003, but before January 1, 2005. </w:t>
      </w:r>
      <w:r>
        <w:rPr>
          <w:rFonts w:ascii="Times New Roman" w:hAnsi="Times New Roman"/>
          <w:b w:val="false"/>
          <w:i w:val="false"/>
          <w:color w:val="000000"/>
          <w:sz w:val="22"/>
        </w:rPr>
        <w:t>For tax periods beginning after May 5, 2003, but beginning before January 1, 2005,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108-27, Section 201, may be taken for Iowa franchise tax. If the taxpayer elects to take the 50 percent bonus depreciation, the depreciation deduction allowed on the Iowa franchise tax return is the same as the depreciation deduction allowed on the federal income tax return for assets acquired after May 5, 2003, but before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to take the 50 percent bonus depreciation and had filed an Iowa return prior to February 24, 2005, which reflected the disallowance of 50 percent bonus depreciation, the taxpayer may choose between two options to reflect this change. Taxpayer may either file an amended return for the applicable tax year to reflect the 50 percent bonus depreciation provision, or taxpayer may reflect the change for 50 percent bonus depreciation on the next Iowa return filed subsequent to February 23, 2005. Taxpayer must choose only one of these two options. Regardless of the option chosen, taxpayer must complete and attach a revised Form IA 4562A to either the amended return or the return filed subsequent to February 23, 2005.</w:t>
      </w:r>
    </w:p>
    <w:p>
      <w:pPr>
        <w:spacing w:before="0" w:after="0"/>
        <w:ind w:left="120"/>
        <w:jc w:val="both"/>
      </w:pPr>
      <w:r>
        <w:rPr>
          <w:rFonts w:ascii="Times New Roman" w:hAnsi="Times New Roman"/>
          <w:b w:val="false"/>
          <w:i w:val="false"/>
          <w:color w:val="000000"/>
          <w:sz w:val="22"/>
        </w:rPr>
        <w:t xml:space="preserve">See </w:t>
      </w:r>
      <w:hyperlink r:id="rId80">
        <w:r>
          <w:rPr>
            <w:rStyle w:val="Hyperlink"/>
            <w:rFonts w:ascii="Times New Roman" w:hAnsi="Times New Roman"/>
            <w:b w:val="false"/>
            <w:i w:val="false"/>
            <w:color w:val="000000"/>
            <w:sz w:val="22"/>
          </w:rPr>
          <w:t>701—paragraph 302.60(2)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not to take the 50 percent bonus depreciation, taxpayer must add the total amount of depreciation claimed on assets acquired after May 5, 2003, but before January 1, 2005, and subtract the amount of depreciation taken on such property using the modified accelerated cost recovery system (MACRS) depreciation method applicable under Section 168 of the Internal Revenue Code without regard to Section 168(k). 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 The adjustment for both depreciation and the gain or loss on the sale of qualifying assets acquired after May 5, 2003, but before January 1, 2005,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602.23(3)</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2007, but before January 1, 2010. </w:t>
      </w:r>
      <w:r>
        <w:rPr>
          <w:rFonts w:ascii="Times New Roman" w:hAnsi="Times New Roman"/>
          <w:b w:val="false"/>
          <w:i w:val="false"/>
          <w:color w:val="000000"/>
          <w:sz w:val="22"/>
        </w:rPr>
        <w:t>For tax periods beginning after December 31, 2007, but beginning before January 1, 2010, the bonus depreciation of 50 percent authorized in Section 168(k) of the Internal Revenue Code, as amended by Public Law 110-185, Section 103, and Public Law 111-5, Section 1201, does not apply for Iowa franchise tax. Taxpayers who claim the bonus depreciation on their federal income tax return must add the total amount of depreciation claimed on assets acquired after December 31, 2007, but before January 1, 2010,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2007, but before January 1, 2010, can be calculated on Form IA 4562A.</w:t>
      </w:r>
    </w:p>
    <w:p>
      <w:pPr>
        <w:spacing w:before="0" w:after="0"/>
        <w:ind w:left="120"/>
        <w:jc w:val="both"/>
      </w:pPr>
      <w:r>
        <w:rPr>
          <w:rFonts w:ascii="Times New Roman" w:hAnsi="Times New Roman"/>
          <w:b w:val="false"/>
          <w:i w:val="false"/>
          <w:color w:val="000000"/>
          <w:sz w:val="22"/>
        </w:rPr>
        <w:t xml:space="preserve">See rule </w:t>
      </w:r>
      <w:hyperlink r:id="rId81">
        <w:r>
          <w:rPr>
            <w:rStyle w:val="Hyperlink"/>
            <w:rFonts w:ascii="Times New Roman" w:hAnsi="Times New Roman"/>
            <w:b w:val="false"/>
            <w:i w:val="false"/>
            <w:color w:val="000000"/>
            <w:sz w:val="22"/>
          </w:rPr>
          <w:t>701—502.22</w:t>
        </w:r>
      </w:hyperlink>
      <w:r>
        <w:rPr>
          <w:rFonts w:ascii="Times New Roman" w:hAnsi="Times New Roman"/>
          <w:b w:val="false"/>
          <w:i w:val="false"/>
          <w:color w:val="000000"/>
          <w:sz w:val="22"/>
        </w:rPr>
        <w:t>(422) for examples illustrating how this 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602.23(4)</w:t>
      </w:r>
      <w:r>
        <w:rPr>
          <w:rFonts w:ascii="Times New Roman" w:hAnsi="Times New Roman"/>
          <w:b w:val="false"/>
          <w:i w:val="false"/>
          <w:color w:val="000000"/>
          <w:sz w:val="22"/>
        </w:rPr>
        <w:t> </w:t>
      </w:r>
      <w:r>
        <w:rPr>
          <w:rFonts w:ascii="Times New Roman" w:hAnsi="Times New Roman"/>
          <w:b w:val="false"/>
          <w:i/>
          <w:color w:val="000000"/>
          <w:sz w:val="22"/>
        </w:rPr>
        <w:t xml:space="preserve">Qualified disaster assistance property. </w:t>
      </w:r>
      <w:r>
        <w:rPr>
          <w:rFonts w:ascii="Times New Roman" w:hAnsi="Times New Roman"/>
          <w:b w:val="false"/>
          <w:i w:val="false"/>
          <w:color w:val="000000"/>
          <w:sz w:val="22"/>
        </w:rPr>
        <w:t>For property placed in service after December 31, 2007, with respect to federal declared disasters occurring before January 1, 2010, the bonus depreciation of 50 percent authorized in Section 168(n) of the Internal Revenue Code for qualified disaster assistance property, as amended by Public Law 110-343, Section 710, does not apply for Iowa franchise tax. Taxpayers who claim the bonus depreciation on their federal income tax return must add the total amount of depreciation claimed on qualified disaster assistance property and subtract the amount of depreciation taken on such property using the modified accelerated cost recovery system (MACRS) depreciation method applicable under Section 168 of the Internal Revenue Code without regard to Section 168(n).</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this property for federal tax purposes must be adjusted for Iowa tax purposes to account for the adjusted basis of such property.</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disaster assistance property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602.23(5)</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2009, but before January 1, 2014. </w:t>
      </w:r>
      <w:r>
        <w:rPr>
          <w:rFonts w:ascii="Times New Roman" w:hAnsi="Times New Roman"/>
          <w:b w:val="false"/>
          <w:i w:val="false"/>
          <w:color w:val="000000"/>
          <w:sz w:val="22"/>
        </w:rPr>
        <w:t>For tax periods beginning after December 31, 2009, but beginning before January 1, 2014, the bonus depreciation authorized in Section 168(k) of the Internal Revenue Code, as amended by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111-240, Section 2022,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111-312, Section 401, and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112-240, Section 331, does not apply for Iowa franchise tax. Taxpayers who claim the bonus depreciation on their federal income tax return must add the total amount of depreciation claimed on assets acquired after December 31, 2009, but before January 1, 2014,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2009, but before January 1, 2014, can be calculated on Form IA 4562A.</w:t>
      </w:r>
    </w:p>
    <w:p>
      <w:pPr>
        <w:spacing w:before="0" w:after="0"/>
        <w:ind w:left="120"/>
        <w:jc w:val="both"/>
      </w:pPr>
      <w:r>
        <w:rPr>
          <w:rFonts w:ascii="Times New Roman" w:hAnsi="Times New Roman"/>
          <w:b w:val="false"/>
          <w:i w:val="false"/>
          <w:color w:val="000000"/>
          <w:sz w:val="22"/>
        </w:rPr>
        <w:t xml:space="preserve">See </w:t>
      </w:r>
      <w:hyperlink r:id="rId82">
        <w:r>
          <w:rPr>
            <w:rStyle w:val="Hyperlink"/>
            <w:rFonts w:ascii="Times New Roman" w:hAnsi="Times New Roman"/>
            <w:b w:val="false"/>
            <w:i w:val="false"/>
            <w:color w:val="000000"/>
            <w:sz w:val="22"/>
          </w:rPr>
          <w:t>701—subrule 502.22(3)</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106</w:t>
      </w:r>
      <w:r>
        <w:rPr>
          <w:rFonts w:ascii="Times New Roman" w:hAnsi="Times New Roman"/>
          <w:b w:val="false"/>
          <w:i w:val="false"/>
          <w:color w:val="000000"/>
          <w:sz w:val="22"/>
        </w:rPr>
        <w:t xml:space="preserve">, and section </w:t>
      </w:r>
      <w:hyperlink r:id="rId84">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701—602.24</w:t>
      </w:r>
      <w:r>
        <w:rPr>
          <w:rFonts w:ascii="Times New Roman" w:hAnsi="Times New Roman"/>
          <w:b/>
          <w:i w:val="false"/>
          <w:color w:val="000000"/>
          <w:sz w:val="22"/>
        </w:rPr>
        <w:t xml:space="preserve">(422) </w:t>
      </w:r>
      <w:r>
        <w:rPr>
          <w:rFonts w:ascii="Times New Roman" w:hAnsi="Times New Roman"/>
          <w:b/>
          <w:i w:val="false"/>
          <w:color w:val="000000"/>
          <w:sz w:val="22"/>
        </w:rPr>
        <w:t xml:space="preserve">Section 179 expensing.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taxpayers that elect to expense certain depreciable business assets in the year the assets were placed in service under Section 179 of the Internal Revenue Code must also expense those same assets for Iowa income tax purposes in that year. However, for certain years, the Iowa limitations on this deduction are different from the federal limitations for the same year. This means that for some tax years, adjustments are required to determine the correct Iowa section 179 expensing deduction,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602.24(2)</w:t>
      </w:r>
      <w:r>
        <w:rPr>
          <w:rFonts w:ascii="Times New Roman" w:hAnsi="Times New Roman"/>
          <w:b w:val="false"/>
          <w:i w:val="false"/>
          <w:color w:val="000000"/>
          <w:sz w:val="22"/>
        </w:rPr>
        <w:t> </w:t>
      </w:r>
      <w:r>
        <w:rPr>
          <w:rFonts w:ascii="Times New Roman" w:hAnsi="Times New Roman"/>
          <w:b w:val="false"/>
          <w:i/>
          <w:color w:val="000000"/>
          <w:sz w:val="22"/>
        </w:rPr>
        <w:t xml:space="preserve">Claiming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and requirement to follow federal election. </w:t>
      </w:r>
      <w:r>
        <w:rPr>
          <w:rFonts w:ascii="Times New Roman" w:hAnsi="Times New Roman"/>
          <w:b w:val="false"/>
          <w:i w:val="false"/>
          <w:color w:val="000000"/>
          <w:sz w:val="22"/>
        </w:rPr>
        <w:t>A taxpayer that takes a federal section 179 deduction must also take the deduction for the same asset in the same year for Iowa purposes, except as expressly provided by Iowa law or this rule. A taxpayer that takes a federal section 179 deduction is not permitted to opt out of taking the same deduction for Iowa purposes. A taxpayer that does not take a federal section 179 deduction on a specific qualifying asset is not permitted to take a section 179 deduction for Iowa purposes on that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for the deduction. </w:t>
      </w:r>
      <w:r>
        <w:rPr>
          <w:rFonts w:ascii="Times New Roman" w:hAnsi="Times New Roman"/>
          <w:b w:val="false"/>
          <w:i w:val="false"/>
          <w:color w:val="000000"/>
          <w:sz w:val="22"/>
        </w:rPr>
        <w:t>Whether a specific business asset qualifies for a section 179 deduction is determined by the Internal Revenue Code (Title 26, U.S. Code) and applicable federal regulations for both federal and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the Iowa deduction. </w:t>
      </w:r>
      <w:r>
        <w:rPr>
          <w:rFonts w:ascii="Times New Roman" w:hAnsi="Times New Roman"/>
          <w:b w:val="false"/>
          <w:i w:val="false"/>
          <w:color w:val="000000"/>
          <w:sz w:val="22"/>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See rule </w:t>
      </w:r>
      <w:hyperlink r:id="rId85">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the section 179 rules applicable to individuals and other noncorporate entities, and see rule </w:t>
      </w:r>
      <w:hyperlink r:id="rId86">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(422) for the section 179 rules applicable to corporations (both C and S corporations) and other entities subject to the corporate income tax.</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179 Deduction Allowances Under Federal and Iowa Law</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Year</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Dollar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Dollar Limitation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2003</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2011</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2012</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2013</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300"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280,000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2,550,000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limitations are the same as federal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Both the federal and the Iowa deductions for section 179 assets are reduced (phased out dollar for dollar) for taxpayers whose total section 179 assets placed in service during a given year cost more than the amount specified (reduction limitation) for that year. Like the deduction limitation, the Iowa and federal reduction limitations are different for certain years. See paragraph </w:t>
      </w:r>
      <w:hyperlink r:id="rId87">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applicable limitations.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financial institution doing business in Iowa, purchases $400,000 worth of qualifying section 179 assets and places all of them in service in 2018. Taxpayer claims a section 179 deduction of $400,000 for the full cost of the assets on the 2018 federal return. For financial institutions, the Iowa section 179 deduction for 2018 is phased out dollar for dollar by the amount of section 179 assets placed in service in excess of $280,000. This means that for 2018, the Iowa deduction is fully phased out if the taxpayer placed in service section 179 assets that cost, in total, more than $350,000. Since the cost of the qualifying assets in this example exceeds the Iowa section 179 phase-out limit, the taxpayer cannot claim any section 179 deduction on the Iowa return. However, the taxpayer may depreciate the entire cost of the assets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of the Iowa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Recovering the excess. Due to the differences between the Iowa and federal limitations for certain years, taxpayers may have a federal section 179 deduction that exceeds the amount allowed for Iowa purposes. This excess amount is handled in different ways depending on the source of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Assets placed in service by the taxpayer or entity reporting the deduction. The cost of any section 179 assets placed in service by the taxpayer in excess of the Iowa limitation for a given year may be recovered through regular depreciation under Section 168 of the Internal Revenue Code, without regard to bonus depreciation under Section 168(k). The Iowa section 179 and depreciation deductions and any basis adjustments resulting from the difference in timing of the recovery between Iowa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financial institution doing business in Iowa, purchases a $100,000 piece of equipment and places it in service in 2018. Taxpayer claims a section 179 deduction of $100,000 for the full cost of the equipment on the 2018 federal return. Taxpayer is also required to claim a section 179 deduction of $70,000 on the 2018 Iowa return (the full amount of the federal deduction up to the Iowa limit for financial institutions for 2018). The taxpayer can depreciate the remaining $30,000 cost of the equipment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election for assets placed in service by a pass-through entity when the section 179 deduction is claimed by an owner of that pass-through. See </w:t>
      </w:r>
      <w:hyperlink r:id="rId88">
        <w:r>
          <w:rPr>
            <w:rStyle w:val="Hyperlink"/>
            <w:rFonts w:ascii="Times New Roman" w:hAnsi="Times New Roman"/>
            <w:b w:val="false"/>
            <w:i w:val="false"/>
            <w:color w:val="000000"/>
            <w:sz w:val="22"/>
          </w:rPr>
          <w:t>subrule 59.24(3)</w:t>
        </w:r>
      </w:hyperlink>
      <w:r>
        <w:rPr>
          <w:rFonts w:ascii="Times New Roman" w:hAnsi="Times New Roman"/>
          <w:b w:val="false"/>
          <w:i w:val="false"/>
          <w:color w:val="000000"/>
          <w:sz w:val="22"/>
        </w:rPr>
        <w:t xml:space="preserve"> for information on a special election available to certain owners of pass-through entities related to any section 179 deductions passed through from a partnership or other entity that, in the aggregate, exceed the Iowa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information for pass-throughs. In the case of pass-through entities, section 179 limitations apply at both the entity level and the owner level. Pass-through entities that are required to file an Iowa return and that actually place section 179 assets in service should follow </w:t>
      </w:r>
      <w:hyperlink r:id="rId89">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 xml:space="preserve">(1)“1” to account for any assets for which the total federal section 179 deductions for a given year exceeded the Iowa limitation. Owners of pass-throughs receiving section 179 deductions from one or more pass-throughs that, in the aggregate, exceed the Iowa limitations should follow </w:t>
      </w:r>
      <w:hyperlink r:id="rId90">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Bank A (a financial institution doing business exclusively in Iowa) owns 50 percent interests in each of three partnerships: C, D, and E. Partnership C, which also does business exclusively in Iowa, places $200,000 worth of section 179 assets in service during tax year 2019 and claims a federal section 179 deduction for the full cost of the assets. Because C is required to file an Iowa partnership return, C is subject to the Iowa section 179 limitations for 2019 and must adjust its Iowa section 179 deduction as provided in </w:t>
      </w:r>
      <w:hyperlink r:id="rId91">
        <w:r>
          <w:rPr>
            <w:rStyle w:val="Hyperlink"/>
            <w:rFonts w:ascii="Times New Roman" w:hAnsi="Times New Roman"/>
            <w:b w:val="false"/>
            <w:i w:val="false"/>
            <w:color w:val="000000"/>
            <w:sz w:val="22"/>
          </w:rPr>
          <w:t>701—numbered paragraph 302.65(2)</w:t>
        </w:r>
        <w:r>
          <w:rPr>
            <w:rFonts w:ascii="Times New Roman" w:hAnsi="Times New Roman"/>
            <w:b w:val="false"/>
            <w:i/>
            <w:color w:val="000000"/>
            <w:sz w:val="22"/>
          </w:rPr>
          <w:t>“e”</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C passes through 50 percent of its section 179 deduction ($100,000 for federal purposes, $50,000 for Iowa purposes) to Bank A.  Bank A also receives $50,000 each in section 179 deductions from D and E, for a total of $150,000 in section 179 deductions (for Iowa purposes) in 2019. Bank A is subject to the $100,000 Iowa section 179 deduction limitation for 2019, but because Bank A received total section 179 deductions from one or more pass-throughs in excess of the 2019 Iowa limitation, Bank A is eligible for the special election referenced in </w:t>
      </w:r>
      <w:hyperlink r:id="rId92">
        <w:r>
          <w:rPr>
            <w:rStyle w:val="Hyperlink"/>
            <w:rFonts w:ascii="Times New Roman" w:hAnsi="Times New Roman"/>
            <w:b w:val="false"/>
            <w:i w:val="false"/>
            <w:color w:val="000000"/>
            <w:sz w:val="22"/>
          </w:rPr>
          <w:t>602.24(2)</w:t>
        </w:r>
        <w:r>
          <w:rPr>
            <w:rFonts w:ascii="Times New Roman" w:hAnsi="Times New Roman"/>
            <w:b w:val="false"/>
            <w:i/>
            <w:color w:val="000000"/>
            <w:sz w:val="22"/>
          </w:rPr>
          <w:t>“e”</w:t>
        </w:r>
        <w:r>
          <w:rPr>
            <w:rFonts w:ascii="Times New Roman" w:hAnsi="Times New Roman"/>
            <w:b w:val="false"/>
            <w:i w:val="false"/>
            <w:color w:val="000000"/>
            <w:sz w:val="22"/>
          </w:rPr>
          <w:t>(1)“2.”</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Income limitation. </w:t>
      </w:r>
      <w:r>
        <w:rPr>
          <w:rFonts w:ascii="Times New Roman" w:hAnsi="Times New Roman"/>
          <w:b w:val="false"/>
          <w:i w:val="false"/>
          <w:color w:val="000000"/>
          <w:sz w:val="22"/>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a given year, any excess allowable Iowa section 179 deduction may be carried forward as described in paragraph </w:t>
      </w:r>
      <w:hyperlink r:id="rId93">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This paragraph applies only to amounts that do not exceed the Iowa section 179 deduction limitations for a given year but do exceed the taxpayer’s business income for that year. As with the federal deduction, allowable Iowa section 179 deductions claimed in a given year that exceed a taxpayer’s business income may be carried forward and claimed in future years. This carryforward, if any, is calculated using only amounts up to the Iowa limit. Any federal section 179 deduction the taxpayer claimed in excess of the Iowa limit is not an Iowa section 179 deduction and therefore is not eligible for the carryforward described in this paragraph. Such amounts must instead be recovered as described in paragraph </w:t>
      </w:r>
      <w:hyperlink r:id="rId94">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in subrule </w:t>
      </w:r>
      <w:hyperlink r:id="rId95">
        <w:r>
          <w:rPr>
            <w:rStyle w:val="Hyperlink"/>
            <w:rFonts w:ascii="Times New Roman" w:hAnsi="Times New Roman"/>
            <w:b w:val="false"/>
            <w:i w:val="false"/>
            <w:color w:val="000000"/>
            <w:sz w:val="22"/>
          </w:rPr>
          <w:t>602.24(3)</w:t>
        </w:r>
      </w:hyperlink>
      <w:r>
        <w:rPr>
          <w:rFonts w:ascii="Times New Roman" w:hAnsi="Times New Roman"/>
          <w:b w:val="false"/>
          <w:i w:val="false"/>
          <w:color w:val="000000"/>
          <w:sz w:val="22"/>
        </w:rPr>
        <w:t xml:space="preserve"> for taxpayers receiving the deduction from one or more pass-through entities and making the special election as described in that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Difference in basis. </w:t>
      </w:r>
      <w:r>
        <w:rPr>
          <w:rFonts w:ascii="Times New Roman" w:hAnsi="Times New Roman"/>
          <w:b w:val="false"/>
          <w:i w:val="false"/>
          <w:color w:val="000000"/>
          <w:sz w:val="22"/>
        </w:rPr>
        <w:t>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602.24(3)</w:t>
      </w:r>
      <w:r>
        <w:rPr>
          <w:rFonts w:ascii="Times New Roman" w:hAnsi="Times New Roman"/>
          <w:b w:val="false"/>
          <w:i w:val="false"/>
          <w:color w:val="000000"/>
          <w:sz w:val="22"/>
        </w:rPr>
        <w:t> </w:t>
      </w:r>
      <w:r>
        <w:rPr>
          <w:rFonts w:ascii="Times New Roman" w:hAnsi="Times New Roman"/>
          <w:b w:val="false"/>
          <w:i/>
          <w:color w:val="000000"/>
          <w:sz w:val="22"/>
        </w:rPr>
        <w:t xml:space="preserve">Section 179 deduction received from a pass-through entity. </w:t>
      </w:r>
      <w:r>
        <w:rPr>
          <w:rFonts w:ascii="Times New Roman" w:hAnsi="Times New Roman"/>
          <w:b w:val="false"/>
          <w:i w:val="false"/>
          <w:color w:val="000000"/>
          <w:sz w:val="22"/>
        </w:rPr>
        <w:t xml:space="preserve">In some cases, a financial institution that receives income from one or more pass-through entities may receive a section 179 deduction in excess of the Iowa deduction limitation listed in paragraph </w:t>
      </w:r>
      <w:hyperlink r:id="rId96">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 given year. The financial institution may be eligible for a special election with regard to that excess section 179 deduction, as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2018. </w:t>
      </w:r>
      <w:r>
        <w:rPr>
          <w:rFonts w:ascii="Times New Roman" w:hAnsi="Times New Roman"/>
          <w:b w:val="false"/>
          <w:i w:val="false"/>
          <w:color w:val="000000"/>
          <w:sz w:val="22"/>
        </w:rPr>
        <w:t>For tax years beginning before January 1, 2018, the amount of any section 179 deduction received by a financial institution subject to the franchise tax in excess of the Iowa deduction limitation for that year is not eligible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available for tax years 2018 and 2019. </w:t>
      </w:r>
      <w:r>
        <w:rPr>
          <w:rFonts w:ascii="Times New Roman" w:hAnsi="Times New Roman"/>
          <w:b w:val="false"/>
          <w:i w:val="false"/>
          <w:color w:val="000000"/>
          <w:sz w:val="22"/>
        </w:rPr>
        <w:t xml:space="preserve">For tax years beginning on or after January 1, 2018, but before January 1, 2020, a financial institution subject to the franchise tax that receives a section 179 deduction from one or more pass-through entities in excess of the Iowa deduction limitation for that tax year may elect to deduct the excess in future years, as described in this subrule. See rule </w:t>
      </w:r>
      <w:hyperlink r:id="rId97">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rules applicable to individuals and other noncorporate entities, and see rule </w:t>
      </w:r>
      <w:hyperlink r:id="rId98">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(422) for rules applicable to corporations (both C and S corporations) and other entities subject to the corporate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special election applies only to section 179 deductions passed through to the financial institution by one or more other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Iowa section 179 deduction passed through to the financial institution exceeds the federal section 179 deduction limitation for that year, the financial institution may only use the amount up to the federal limitation when calculating the deduction under this election. Any amount in excess of the federal limitation shall not be deducted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Section 179 assets of a financial institution. </w:t>
      </w:r>
      <w:r>
        <w:rPr>
          <w:rFonts w:ascii="Times New Roman" w:hAnsi="Times New Roman"/>
          <w:b w:val="false"/>
          <w:i w:val="false"/>
          <w:color w:val="000000"/>
          <w:sz w:val="22"/>
        </w:rPr>
        <w:t>A financial institution that makes this special election may not claim an Iowa section 179 deduction for any assets the financial institution placed in service during the same year but must instead depreciate such assets using the modified accelerated cost recovery system (MACRS) without regard to bonus depreciation under Section 168(k) of the Internal Revenue Code. To the extent the financial institution claimed a federal section 179 deduction on those assets, the Iowa depreciation deductions and any basis adjustments resulting from the difference in timing of the recovery between Iowa law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Bank A, a financial institution doing business in Iowa, places in service $20,000 worth of section 179 assets in tax year 2019 and claims the deduction for the full amount for federal purposes. Bank A is also a member of B, LLC, an entity that has elected to be taxed as a partnership for federal purposes and does not do any business in Iowa. B, LLC also places section 179 assets in service, properly claims a federal section 179 deduction, and passes a total of $150,000 of that deduction through to Bank A. For federal purposes, Bank A has a total of $170,000 in section 179 deductions. Because Bank A has section 179 deductions from a pass-through that exceed the Iowa limitation for 2019, Bank A is eligible for the special election. Bank A makes the special election and claims the maximum Iowa section 179 deduction of $100,000 on the amount passed through from B, LLC. Under the special election, Bank A will be allowed to deduct the remaining $50,000 passed through from B, LLC over the next five years, as described in paragraph </w:t>
      </w:r>
      <w:hyperlink r:id="rId99">
        <w:r>
          <w:rPr>
            <w:rStyle w:val="Hyperlink"/>
            <w:rFonts w:ascii="Times New Roman" w:hAnsi="Times New Roman"/>
            <w:b w:val="false"/>
            <w:i w:val="false"/>
            <w:color w:val="000000"/>
            <w:sz w:val="22"/>
          </w:rPr>
          <w:t>602.24(3)</w:t>
        </w:r>
        <w:r>
          <w:rPr>
            <w:rFonts w:ascii="Times New Roman" w:hAnsi="Times New Roman"/>
            <w:b w:val="false"/>
            <w:i/>
            <w:color w:val="000000"/>
            <w:sz w:val="22"/>
          </w:rPr>
          <w:t>“e.”</w:t>
        </w:r>
      </w:hyperlink>
      <w:r>
        <w:rPr>
          <w:rFonts w:ascii="Times New Roman" w:hAnsi="Times New Roman"/>
          <w:b w:val="false"/>
          <w:i w:val="false"/>
          <w:color w:val="000000"/>
          <w:sz w:val="22"/>
        </w:rPr>
        <w:t xml:space="preserve"> However, because Bank A made the special election, Bank A will be required to depreciate the entire $20,000 cost of the assets Bank A placed in service in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special election. </w:t>
      </w:r>
      <w:r>
        <w:rPr>
          <w:rFonts w:ascii="Times New Roman" w:hAnsi="Times New Roman"/>
          <w:b w:val="false"/>
          <w:i w:val="false"/>
          <w:color w:val="000000"/>
          <w:sz w:val="22"/>
        </w:rPr>
        <w:t xml:space="preserve">A financial institution that elects to take advantage of the special election must first add together all section 179 deductions which the financial institution received from all relevant pass-through entities. The financial institution must claim an aggregate Iowa section 179 deduction equal to the Iowa limit for the tax year. This amount must be subtracted from the total. Whatever remains is the amount the financial institution will be permitted to deduct (special election deduction) in future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This remaining amount from paragraph </w:t>
      </w:r>
      <w:hyperlink r:id="rId100">
        <w:r>
          <w:rPr>
            <w:rStyle w:val="Hyperlink"/>
            <w:rFonts w:ascii="Times New Roman" w:hAnsi="Times New Roman"/>
            <w:b w:val="false"/>
            <w:i w:val="false"/>
            <w:color w:val="000000"/>
            <w:sz w:val="22"/>
          </w:rPr>
          <w:t>602.24(3)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separated into five equal shares.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special election deduction. The financial institution may deduct one of the five shares in each of the next five years. The dollar limitations and reduction limitations on section 179 deductions do not apply to special deduction amounts allowed over the five-year period under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 special deduction. The special election deduction for a given year is limited to the taxpayer’s business income for that year. Any excess may be carried forward to future years. Any amounts carried forward under this subparagraph shall be added to, and treated in the same manner as, regular Iowa section 179 deduction carryforwards as described in paragraph </w:t>
      </w:r>
      <w:hyperlink r:id="rId101">
        <w:r>
          <w:rPr>
            <w:rStyle w:val="Hyperlink"/>
            <w:rFonts w:ascii="Times New Roman" w:hAnsi="Times New Roman"/>
            <w:b w:val="false"/>
            <w:i w:val="false"/>
            <w:color w:val="000000"/>
            <w:sz w:val="22"/>
          </w:rPr>
          <w:t>602.24(2)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Bank D, a financial institution doing business in Iowa, is a partner in a partnership that does not do business in Iowa. In 2019, the partnership passes through a $600,000 federal section 179 deduction and does not recalculate the deduction for Iowa purposes because the partnership has no obligation to file an Iowa return. Bank D claims an Iowa section 179 deduction of $100,000 (the 2019 Iowa limitation) and elects the five-year carryforward for the rest, meaning the bank will be allowed to take a $100,000 Iowa special election deduction in each of the next five years.</w:t>
      </w:r>
    </w:p>
    <w:p>
      <w:pPr>
        <w:spacing w:before="0" w:after="0"/>
        <w:ind w:left="120"/>
        <w:jc w:val="both"/>
      </w:pPr>
      <w:r>
        <w:rPr>
          <w:rFonts w:ascii="Times New Roman" w:hAnsi="Times New Roman"/>
          <w:b w:val="false"/>
          <w:i w:val="false"/>
          <w:color w:val="000000"/>
          <w:sz w:val="22"/>
        </w:rPr>
        <w:t>In 2020, Bank D is eligible for the $100,000 deduction carried forward under the election, but the bank only has $50,000 in business income. The deduction is limited to business income, so the bank can only use $50,000 of the deduction in 2020. However, Bank D will be permitted to treat the excess $50,000 as a section 179 carryforward and use it to offset business income in future years until the deduction is used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Basis. </w:t>
      </w:r>
      <w:r>
        <w:rPr>
          <w:rFonts w:ascii="Times New Roman" w:hAnsi="Times New Roman"/>
          <w:b w:val="false"/>
          <w:i w:val="false"/>
          <w:color w:val="000000"/>
          <w:sz w:val="22"/>
        </w:rPr>
        <w:t xml:space="preserve">The financial institution’s basis in the pass-through entity assets is adjusted by the full amount of the section 179 deduction passed through in the year that the section 179 deduction is received and is therefore the same for both Iowa and federal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Later tax years. </w:t>
      </w:r>
      <w:r>
        <w:rPr>
          <w:rFonts w:ascii="Times New Roman" w:hAnsi="Times New Roman"/>
          <w:b w:val="false"/>
          <w:i w:val="false"/>
          <w:color w:val="000000"/>
          <w:sz w:val="22"/>
        </w:rPr>
        <w:t>For tax years beginning on or after January 1, 2020, Iowa fully conforms to the federal section 179 deduction and special Iowa treatment for excess section 179 deductions received from pass-throughs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2019 Iowa Acts, Senate File 220.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4142C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4517C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ALLOCATION AND APPORTIONMENT</w:t>
      </w:r>
    </w:p>
    <w:p>
      <w:pPr>
        <w:spacing w:before="0" w:after="0"/>
        <w:ind w:left="120"/>
        <w:jc w:val="both"/>
      </w:pPr>
      <w:r>
        <w:rPr>
          <w:rFonts w:ascii="Times New Roman" w:hAnsi="Times New Roman"/>
          <w:b/>
          <w:i w:val="false"/>
          <w:color w:val="000000"/>
          <w:sz w:val="22"/>
        </w:rPr>
        <w:t>701—602.25</w:t>
      </w:r>
      <w:r>
        <w:rPr>
          <w:rFonts w:ascii="Times New Roman" w:hAnsi="Times New Roman"/>
          <w:b/>
          <w:i w:val="false"/>
          <w:color w:val="000000"/>
          <w:sz w:val="22"/>
        </w:rPr>
        <w:t xml:space="preserve">(422) </w:t>
      </w:r>
      <w:r>
        <w:rPr>
          <w:rFonts w:ascii="Times New Roman" w:hAnsi="Times New Roman"/>
          <w:b/>
          <w:i w:val="false"/>
          <w:color w:val="000000"/>
          <w:sz w:val="22"/>
        </w:rPr>
        <w:t xml:space="preserve">Basis of franchise tax. </w:t>
      </w:r>
      <w:r>
        <w:rPr>
          <w:rFonts w:ascii="Times New Roman" w:hAnsi="Times New Roman"/>
          <w:b w:val="false"/>
          <w:i w:val="false"/>
          <w:color w:val="000000"/>
          <w:sz w:val="22"/>
        </w:rPr>
        <w:t xml:space="preserve">Iowa Code section </w:t>
      </w:r>
      <w:hyperlink r:id="rId103">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imposes a franchise tax on financial institutions (as defined in </w:t>
      </w:r>
      <w:hyperlink r:id="rId104">
        <w:r>
          <w:rPr>
            <w:rStyle w:val="Hyperlink"/>
            <w:rFonts w:ascii="Times New Roman" w:hAnsi="Times New Roman"/>
            <w:b w:val="false"/>
            <w:i w:val="false"/>
            <w:color w:val="000000"/>
            <w:sz w:val="22"/>
          </w:rPr>
          <w:t>701—subrule 600.1(2)</w:t>
        </w:r>
      </w:hyperlink>
      <w:r>
        <w:rPr>
          <w:rFonts w:ascii="Times New Roman" w:hAnsi="Times New Roman"/>
          <w:b w:val="false"/>
          <w:i w:val="false"/>
          <w:color w:val="000000"/>
          <w:sz w:val="22"/>
        </w:rPr>
        <w:t>) for the privilege of doing business within the state. The tax is measured by net income. For financial institutions subject to the tax, the tax is levied and collected only on income which may accrue or be recognized to the financial institutions from business done or carried on in the state plus net income from certain sources without the state which by rule follows the commercial domicile of the financial institution.</w:t>
      </w:r>
    </w:p>
    <w:p>
      <w:pPr>
        <w:spacing w:before="0" w:after="0"/>
        <w:ind w:left="120"/>
        <w:jc w:val="both"/>
      </w:pPr>
      <w:r>
        <w:rPr>
          <w:rFonts w:ascii="Times New Roman" w:hAnsi="Times New Roman"/>
          <w:b w:val="false"/>
          <w:i w:val="false"/>
          <w:color w:val="000000"/>
          <w:sz w:val="22"/>
        </w:rPr>
        <w:t>If a financial institution carries on business entirely within the state of Iowa, no allocation or apportionment of its income may be made. The financial institution will be presumed to be carrying on its business entirely within the state of Iowa if its activities are carried on only within Iowa, even though it receives income from sources outside the state in the form of interest, dividends, royalties, and other sources of income from intangibles.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602.25(1)</w:t>
      </w:r>
      <w:r>
        <w:rPr>
          <w:rFonts w:ascii="Times New Roman" w:hAnsi="Times New Roman"/>
          <w:b w:val="false"/>
          <w:i w:val="false"/>
          <w:color w:val="000000"/>
          <w:sz w:val="22"/>
        </w:rPr>
        <w:t> </w:t>
      </w:r>
      <w:r>
        <w:rPr>
          <w:rFonts w:ascii="Times New Roman" w:hAnsi="Times New Roman"/>
          <w:b w:val="false"/>
          <w:i/>
          <w:color w:val="000000"/>
          <w:sz w:val="22"/>
        </w:rPr>
        <w:t xml:space="preserve">Definition—doing business. </w:t>
      </w:r>
      <w:r>
        <w:rPr>
          <w:rFonts w:ascii="Times New Roman" w:hAnsi="Times New Roman"/>
          <w:b w:val="false"/>
          <w:i w:val="false"/>
          <w:color w:val="000000"/>
          <w:sz w:val="22"/>
        </w:rPr>
        <w:t>The term “doing business” is used in a comprehensive sense and includes all activities or any transactions for the purpose of financial or pecuniary gain or profit. Irrespective of the nature of its activities, every financial institution organized for profit and carrying out any of the purposes of its organization shall be deemed to be “doing business.” In determining whether a financial institution is doing business, it is immaterial whether its activities actually result in a profit or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602.25(2)</w:t>
      </w:r>
      <w:r>
        <w:rPr>
          <w:rFonts w:ascii="Times New Roman" w:hAnsi="Times New Roman"/>
          <w:b w:val="false"/>
          <w:i w:val="false"/>
          <w:color w:val="000000"/>
          <w:sz w:val="22"/>
        </w:rPr>
        <w:t> </w:t>
      </w:r>
      <w:r>
        <w:rPr>
          <w:rFonts w:ascii="Times New Roman" w:hAnsi="Times New Roman"/>
          <w:b w:val="false"/>
          <w:i/>
          <w:color w:val="000000"/>
          <w:sz w:val="22"/>
        </w:rPr>
        <w:t xml:space="preserve">Definition—carrying on business partly within and partly without the state. </w:t>
      </w:r>
      <w:r>
        <w:rPr>
          <w:rFonts w:ascii="Times New Roman" w:hAnsi="Times New Roman"/>
          <w:b w:val="false"/>
          <w:i w:val="false"/>
          <w:color w:val="000000"/>
          <w:sz w:val="22"/>
        </w:rPr>
        <w:t>“Carrying on business partly within and partly without the state” means having business activities in at least one other state sufficient to meet the minimum constitutional standards for doing business in a state under the due process and commerce clauses of the United States Constitution. The determination of whether a financial institution is carrying on business partly within and partly without the state must be made on a tax-year-by-tax-year basis. The activities of past or future years have no bearing on the current year.</w:t>
      </w:r>
    </w:p>
    <w:p>
      <w:pPr>
        <w:spacing w:before="0" w:after="0"/>
        <w:ind w:left="120"/>
        <w:jc w:val="both"/>
      </w:pPr>
      <w:r>
        <w:rPr>
          <w:rFonts w:ascii="Times New Roman" w:hAnsi="Times New Roman"/>
          <w:b w:val="false"/>
          <w:i w:val="false"/>
          <w:color w:val="000000"/>
          <w:sz w:val="22"/>
        </w:rPr>
        <w:t>The following nonexclusive activities if done on a regular and continuing basis by financial institution officers or employees in at least one other state would constitute the minimum activities which would meet the constitutional standards for doing business in a state under the due process and commerce clauses of the United States Constitution: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Solicitation of loans by traveling loan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Collection of overdue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activities carried on in advancement, promotion, or fulfillment of the business of the financial institution.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701—602.26</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and apportionment.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classification of income by the labels customarily given, such as interest, dividends, rents, and royalties, is of no aid in determining whether that income is business or nonbusiness income. Interest, dividends, rents and royalties shall be apportioned as business income to the extent the income was earned as a part of a financial institution’s unitary business, a portion of which is conducted in Iowa. </w:t>
      </w:r>
      <w:r>
        <w:rPr>
          <w:rFonts w:ascii="Times New Roman" w:hAnsi="Times New Roman"/>
          <w:b w:val="false"/>
          <w:i/>
          <w:color w:val="000000"/>
          <w:sz w:val="22"/>
        </w:rPr>
        <w:t>Mobil Oil Corp.</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Taxes,</w:t>
      </w:r>
      <w:r>
        <w:rPr>
          <w:rFonts w:ascii="Times New Roman" w:hAnsi="Times New Roman"/>
          <w:b w:val="false"/>
          <w:i w:val="false"/>
          <w:color w:val="000000"/>
          <w:sz w:val="22"/>
        </w:rPr>
        <w:t xml:space="preserve"> 455 U.S. 425 (1980); </w:t>
      </w:r>
      <w:r>
        <w:rPr>
          <w:rFonts w:ascii="Times New Roman" w:hAnsi="Times New Roman"/>
          <w:b w:val="false"/>
          <w:i/>
          <w:color w:val="000000"/>
          <w:sz w:val="22"/>
        </w:rPr>
        <w:t>ASARCO,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Idaho State Tax Commission,</w:t>
      </w:r>
      <w:r>
        <w:rPr>
          <w:rFonts w:ascii="Times New Roman" w:hAnsi="Times New Roman"/>
          <w:b w:val="false"/>
          <w:i w:val="false"/>
          <w:color w:val="000000"/>
          <w:sz w:val="22"/>
        </w:rPr>
        <w:t xml:space="preserve"> 458 U.S. 307, 73 L.Ed.2d 787,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3103 (1982); </w:t>
      </w:r>
      <w:r>
        <w:rPr>
          <w:rFonts w:ascii="Times New Roman" w:hAnsi="Times New Roman"/>
          <w:b w:val="false"/>
          <w:i/>
          <w:color w:val="000000"/>
          <w:sz w:val="22"/>
        </w:rPr>
        <w:t>F. W. Woolworth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and Revenue Dept.,</w:t>
      </w:r>
      <w:r>
        <w:rPr>
          <w:rFonts w:ascii="Times New Roman" w:hAnsi="Times New Roman"/>
          <w:b w:val="false"/>
          <w:i w:val="false"/>
          <w:color w:val="000000"/>
          <w:sz w:val="22"/>
        </w:rPr>
        <w:t xml:space="preserve"> 458 U.S. 354, 73 L.Ed.2d 819,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3128 (1982); </w:t>
      </w:r>
      <w:r>
        <w:rPr>
          <w:rFonts w:ascii="Times New Roman" w:hAnsi="Times New Roman"/>
          <w:b w:val="false"/>
          <w:i/>
          <w:color w:val="000000"/>
          <w:sz w:val="22"/>
        </w:rPr>
        <w:t>Container Corporation of America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Franchise Tax Board,</w:t>
      </w:r>
      <w:r>
        <w:rPr>
          <w:rFonts w:ascii="Times New Roman" w:hAnsi="Times New Roman"/>
          <w:b w:val="false"/>
          <w:i w:val="false"/>
          <w:color w:val="000000"/>
          <w:sz w:val="22"/>
        </w:rPr>
        <w:t xml:space="preserve"> 463 U.S. 159, 77 L.Ed.2d 545, 103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2933 (1983). Whether income is part of a financial institution’s unitary business income depends upon the facts and circumstances in the particular situation. The burden of proof is upon the taxpayer to show that the treatment of income on the return as filed is proper. There is a rebuttable presumption that an affiliated group of financial institutions in the same line of business have a unitary relationship, although that is not the only element used in determining unitariness.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602.26(2)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related expense to nonbusiness income. Subrule </w:t>
      </w:r>
      <w:hyperlink r:id="rId107">
        <w:r>
          <w:rPr>
            <w:rStyle w:val="Hyperlink"/>
            <w:rFonts w:ascii="Times New Roman" w:hAnsi="Times New Roman"/>
            <w:b w:val="false"/>
            <w:i w:val="false"/>
            <w:color w:val="000000"/>
            <w:sz w:val="22"/>
          </w:rPr>
          <w:t>602.26(1)</w:t>
        </w:r>
      </w:hyperlink>
      <w:r>
        <w:rPr>
          <w:rFonts w:ascii="Times New Roman" w:hAnsi="Times New Roman"/>
          <w:b w:val="false"/>
          <w:i w:val="false"/>
          <w:color w:val="000000"/>
          <w:sz w:val="22"/>
        </w:rPr>
        <w:t xml:space="preserve"> deals with the separation of “net” income, therefore, determination and application of related expenses must be made, as hereinafter directed, before allocation and apportionment within and without Iowa. Related expenses shall mean those expenses directly related.</w:t>
      </w:r>
    </w:p>
    <w:p>
      <w:pPr>
        <w:spacing w:before="0" w:after="0"/>
        <w:ind w:left="120"/>
        <w:jc w:val="both"/>
      </w:pPr>
      <w:r>
        <w:rPr>
          <w:rFonts w:ascii="Times New Roman" w:hAnsi="Times New Roman"/>
          <w:b w:val="false"/>
          <w:i w:val="false"/>
          <w:color w:val="000000"/>
          <w:sz w:val="22"/>
        </w:rPr>
        <w:t>A directly related expense shall mean an expense which can be specifically attributed to an item of income. Interest expense shall be considered directly related to a specific property which generates, has generated, or could reasonably have been expected to generate gross income if the existence of all of the facts and circumstances described below is established. Such facts and circumstances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indebtedness on which the interest was paid was specifically incurred for the purpose of purchasing, maintaining, or improving the specific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proceeds of the borrowing were actually applied to the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creditor can look only to the specific property (or any lease or other interest therein) as security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may be reasonably assumed that the return on or from the property will be sufficient to fulfill the terms and conditions of the loan agreement with respect to the amount and timing of payment of principal and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restrictions in the loan agreement on the disposal or use of the property consistent with the assumptions described in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A deduction for interest may not be considered definitely related solely to specific property, even though the above facts and circumstances are present in form, if any of the facts and circumstances are not present in substance. Any expense directly attributable to allocable interest, dividends, rents and royalties shall be deducted from income to arrive at net allocable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purposes of this example, it is assumed that the taxpayer has nonbusiness rental income. The taxpayer invests in a 20-story office building. Under the terms of the lease agreements, the taxpayer provides heat, electricity, janitorial services, and maintenance. The taxpayer also pays the property taxes. Construction of the building was funded through borrowings which meet the criteria of a direct expense under the provisions of this paragraph. The directly related expenses to the operation of the property are:</w:t>
      </w:r>
    </w:p>
    <w:tbl>
      <w:tblPr>
        <w:tblW w:w="0" w:type="auto"/>
        <w:tblCellSpacing w:w="0" w:type="auto"/>
        <w:tblBorders>
          <w:top w:val="none"/>
          <w:left w:val="none"/>
          <w:bottom w:val="none"/>
          <w:right w:val="none"/>
          <w:insideH w:val="none"/>
          <w:insideV w:val="none"/>
        </w:tblBorders>
        <w:tblLayout w:type="fixed"/>
      </w:tblPr>
      <w:tblGrid>
        <w:gridCol w:w="2994"/>
        <w:gridCol w:w="1456"/>
      </w:tblGrid>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Interest expense</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$1,200,000</w:t>
            </w:r>
          </w:p>
        </w:tc>
      </w:tr>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Property taxes</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Depreciation</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Electricity</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w:t>
            </w:r>
          </w:p>
        </w:tc>
      </w:tr>
      <w:tr>
        <w:trPr>
          <w:trHeight w:val="33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Heat</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Insurance</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150,000</w:t>
            </w:r>
          </w:p>
        </w:tc>
      </w:tr>
      <w:tr>
        <w:trPr>
          <w:trHeight w:val="210"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Janitorial services</w:t>
            </w:r>
          </w:p>
        </w:tc>
        <w:tc>
          <w:tcPr>
            <w:tcW w:w="1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r>
      <w:tr>
        <w:trPr>
          <w:trHeight w:val="225"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Repairs</w:t>
            </w:r>
          </w:p>
        </w:tc>
        <w:tc>
          <w:tcPr>
            <w:tcW w:w="1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w:t>
            </w:r>
          </w:p>
        </w:tc>
      </w:tr>
      <w:tr>
        <w:trPr>
          <w:trHeight w:val="225" w:hRule="atLeast"/>
        </w:trPr>
        <w:tc>
          <w:tcPr>
            <w:tcW w:w="299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expenses</w:t>
            </w:r>
          </w:p>
        </w:tc>
        <w:tc>
          <w:tcPr>
            <w:tcW w:w="1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$3,000,000</w:t>
            </w:r>
          </w:p>
        </w:tc>
      </w:tr>
      <w:tr>
        <w:trPr>
          <w:trHeight w:val="225" w:hRule="atLeast"/>
        </w:trPr>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directly related expense of the allocable rental income is $3,000,000.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8">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701—602.27</w:t>
      </w:r>
      <w:r>
        <w:rPr>
          <w:rFonts w:ascii="Times New Roman" w:hAnsi="Times New Roman"/>
          <w:b/>
          <w:i w:val="false"/>
          <w:color w:val="000000"/>
          <w:sz w:val="22"/>
        </w:rPr>
        <w:t xml:space="preserve">(422) </w:t>
      </w:r>
      <w:r>
        <w:rPr>
          <w:rFonts w:ascii="Times New Roman" w:hAnsi="Times New Roman"/>
          <w:b/>
          <w:i w:val="false"/>
          <w:color w:val="000000"/>
          <w:sz w:val="22"/>
        </w:rPr>
        <w:t xml:space="preserve">Net gains and losses from the sale of assets. </w:t>
      </w:r>
      <w:r>
        <w:rPr>
          <w:rFonts w:ascii="Times New Roman" w:hAnsi="Times New Roman"/>
          <w:b w:val="false"/>
          <w:i w:val="false"/>
          <w:color w:val="000000"/>
          <w:sz w:val="22"/>
        </w:rPr>
        <w:t>For purposes of administration of this rule, a capital gain or loss shall mean the sale price or value at the time of disposal of an asset less the adjusted basis, whether reportable as short-term or long-term capital gain or ordinary income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602.27(1)</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real or tangible or intangible personal property, if the property while owned by the taxpayer was used in the taxpayer’s trade or business, shall be apportioned by the business activity ratio applicable to the year the gain or loss is reported on the federal income tax return and may at the taxpayer’s election be included in the computation of the business activity ratio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Gain from the sale, exchange, or other disposition of real property shall be included in the numerator if the property is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Gain from the sale, exchange, or other disposition of tangible personal property shall be included in the numerator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has a situs in this state at the time of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Gains from the sale, exchange, or other disposition of intangible personal property shall be included in the numerator if the taxpayer’s commercial domicile is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gains shall be included in the denominator of the activity ratio.</w:t>
      </w:r>
    </w:p>
    <w:p>
      <w:pPr>
        <w:spacing w:before="0" w:after="0"/>
        <w:ind w:left="120"/>
        <w:jc w:val="both"/>
      </w:pPr>
      <w:r>
        <w:rPr>
          <w:rFonts w:ascii="Times New Roman" w:hAnsi="Times New Roman"/>
          <w:b w:val="false"/>
          <w:i w:val="false"/>
          <w:color w:val="000000"/>
          <w:sz w:val="22"/>
        </w:rPr>
        <w:t>A taxpayer cannot elect to exclude or include gains or loss from the sale of assets where the election would result in an understatement of income reasonably attributable to Iowa. Noninclusive examples of gains or loss from the sale, exchange or other disposition of real or tangible or intangible property which may not be included in the computation of the business activity ratio because to do so would result in an understatement of net income reasonably attributable to Iowa are the gain recognized under an election pursuant to Section 338 of the Internal Revenue Code or gain recognized under Section 631(a)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602.27(2)</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property not used in the taxpayer’s trade or business shall be allocated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real property located in this state are allocable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tangible personal property are allocable to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has a situs in this state at the time of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intangible personal property are allocable to this state if the taxpayer’s commercial domicile is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701—602.28</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factor. </w:t>
      </w:r>
      <w:r>
        <w:rPr>
          <w:rFonts w:ascii="Times New Roman" w:hAnsi="Times New Roman"/>
          <w:b w:val="false"/>
          <w:i w:val="false"/>
          <w:color w:val="000000"/>
          <w:sz w:val="22"/>
        </w:rPr>
        <w:t>In determining the total net taxable income, the apportionable income attributable to this state, as determined by use of the apportionment fraction, shall be added to the nonapportionable income allocable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602.28(1)</w:t>
      </w:r>
      <w:r>
        <w:rPr>
          <w:rFonts w:ascii="Times New Roman" w:hAnsi="Times New Roman"/>
          <w:b w:val="false"/>
          <w:i w:val="false"/>
          <w:color w:val="000000"/>
          <w:sz w:val="22"/>
        </w:rPr>
        <w:t> </w:t>
      </w:r>
      <w:r>
        <w:rPr>
          <w:rFonts w:ascii="Times New Roman" w:hAnsi="Times New Roman"/>
          <w:b w:val="false"/>
          <w:i w:val="false"/>
          <w:color w:val="000000"/>
          <w:sz w:val="22"/>
        </w:rPr>
        <w:t>Receipts derived from transactions and activities in the regular course of trade or business which produce business income are included in the denominator of the apportionment factor. Income which is not subject to the Iowa franchise tax shall not be included in the computation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602.28(2)</w:t>
      </w:r>
      <w:r>
        <w:rPr>
          <w:rFonts w:ascii="Times New Roman" w:hAnsi="Times New Roman"/>
          <w:b w:val="false"/>
          <w:i w:val="false"/>
          <w:color w:val="000000"/>
          <w:sz w:val="22"/>
        </w:rPr>
        <w:t> </w:t>
      </w:r>
      <w:r>
        <w:rPr>
          <w:rFonts w:ascii="Times New Roman" w:hAnsi="Times New Roman"/>
          <w:b w:val="false"/>
          <w:i w:val="false"/>
          <w:color w:val="000000"/>
          <w:sz w:val="22"/>
        </w:rPr>
        <w:t>The numerator of the apportionment factor is that portion of the total receipts included in the denominator of the taxpayer attributable to this state during the income year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Receipts from the lease, rental, or other use of real property shall be included in the numerator if the real property is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Receipts from the sale of tangible personal property shall be included in the numerator if the property is delivered or shipped to a purchaser in this state regardless of the f.o.b.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point or other conditions of the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Receipts from the use of tangible personal property shall be included in the numerator of the business activity formula to the extent that property is utilized in Iowa. The extent of utilization of tangible personal property in a state is determined by multiplying the rent by a fraction, the numerator of which is the number of days of physical location of the property in the state during the rental period in the taxable year and the denominator of which is the number of days of physical location of the property everywhere during all rental periods in the taxable year. If the physical location of the property during the rental period is unknown or not ascertainable by the taxpayer, tangible personal property is utilized in the state in which the property was located at the time the rental payer obtained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royalty income from intangible personal property determined to be business income shall be included in the numerator of the business activity formula if the taxpayer’s commercial domicile is in Iowa. All royalty income from tangible personal property or real property determined to be business income shall be included in the numerator of the business activity formula if the situs of the tangible personal property or real property is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Interest and other receipts from assets in the nature of loans (including federal funds sold and banker’s acceptances) and installment obligations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Interest income from a participating bank’s portion of participation loan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Interest income from loans solicited by traveling loan officers shall be attributed to the state where the borrower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Interest or service charges from bank, travel, and entertainment credit card receivables and credit card holders’ fees shall be attributed to the state in which the credit card holder resides in the case of an individual or, if a corporation, to the state of the corporation’s commercial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Merchant discount income derived from bank and financial corporation credit card holder transactions with a merchant shall be attributed to the state in which the merchant is located. It shall be presumed that the location of the merchant is the address on the invoice submitted by the merchant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Receipts for the performance of fiduciary services are attributable to the state where the services are principally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Receipts from investments of a bank in securities, the income from which constitutes business income, shall be attributed to its commercial domicile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Receipts from securities used to maintain reserves against deposits to meet federal and state reserve deposit requirements shall be attributed to each state based upon the ratio that total deposits in the state bear to total deposits everywhere.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Receipts from securities owned by a bank but held by a state treasurer or other public official or pledged to secure public or trust funds deposited in the bank shall be attributed to the banking office at which the secured deposit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Receipts (fees or charges) from the issuance of traveler’s checks and money orders shall be attributed to the state where the taxpayer’s office is located that issued the traveler’s checks. If the traveler’s checks are issued by an independent representative or agent of the taxpayer, the fees or charges shall be attributed to the state where the independent representative or agent issued the traveler’s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Fees, commissions, or other compensation for financial services rendered for a customer located in this state or an account maintained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gross receipts resulting from the operation as a financial organization within the state to the extent the items do not represent a recapture of an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Receipts from management services if the recipient of the management services is located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0">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4955C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Rescission note at end of chapter;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701—602.29</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and apportionment of income in special cases. </w:t>
      </w:r>
      <w:r>
        <w:rPr>
          <w:rFonts w:ascii="Times New Roman" w:hAnsi="Times New Roman"/>
          <w:b w:val="false"/>
          <w:i w:val="false"/>
          <w:color w:val="000000"/>
          <w:sz w:val="22"/>
        </w:rPr>
        <w:t xml:space="preserve">If a taxpayer feels that the allocation and apportionment method as prescribed by rule </w:t>
      </w:r>
      <w:hyperlink r:id="rId111">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 in the taxpayer’s case results in an injustice, the taxpayer may petition the department for permission to determine the taxable net income, both allocable and apportionable, to the state on some other basis.</w:t>
      </w:r>
    </w:p>
    <w:p>
      <w:pPr>
        <w:spacing w:before="0" w:after="0"/>
        <w:ind w:left="120"/>
        <w:jc w:val="both"/>
      </w:pPr>
      <w:r>
        <w:rPr>
          <w:rFonts w:ascii="Times New Roman" w:hAnsi="Times New Roman"/>
          <w:b w:val="false"/>
          <w:i w:val="false"/>
          <w:color w:val="000000"/>
          <w:sz w:val="22"/>
        </w:rPr>
        <w:t xml:space="preserve">The taxpayer must first file the return as prescribed by rule </w:t>
      </w:r>
      <w:hyperlink r:id="rId112">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 xml:space="preserve">(422) and pay the tax shown due thereon. If a change to some other method is desired, a statement of objections and schedules detailing the alternative method shall be submitted to the department. The department shall require detail and proof within the time as the department may reasonably prescribe. In addition, the alternative method of allocation and apportionment will not be allowed where the taxpayer fails to produce, upon request of the department, any information the department deems necessary to analyze the request for an alternative method of allocation and apportionment. The petition must be in writing and shall set forth in detail the facts upon which the petition is based. The burden of proof will be on the taxpayer as to the validity of the method and its results. The mere fact that an alternative method of apportionment or allocation produces a lesser amount of income attributable to Iowa is, per se, insufficient proof that the statutory method of allocation and apportionment is invalid.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437 U.S. 267, 57 L.Ed.2d 197 (1978). In essence, a comparison of the statutory method of apportionment with another formulary apportionment method is insufficient to prove that the taxpayer would be entitled to the alternative formulary apportionment method.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One of the possible alternative methods of allocation and apportionment is separate accounting provided the taxpayer’s activities in Iowa are not unitary with the taxpayer’s activities outside Iowa. Any corporation deriving income from business operations partly within and partly without Iowa must determine that net business income attributable to this state by the prescribed formula for apportioning net income, unless the taxpayer proved by clear and cogent evidence that the statutory formula apportions income to Iowa out of all reasonable proportion to the business transacted within Iowa.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Separate accounting is not allowable for a unitary business where the separate accounting method fails to consider factors of profitability resulting from functional integration, centralization of management, and economics of scale. </w:t>
      </w:r>
      <w:r>
        <w:rPr>
          <w:rFonts w:ascii="Times New Roman" w:hAnsi="Times New Roman"/>
          <w:b w:val="false"/>
          <w:i/>
          <w:color w:val="000000"/>
          <w:sz w:val="22"/>
        </w:rPr>
        <w:t>Shell Oil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The burden of proof that the statutory method of apportionment attributes to Iowa income out of all reasonable proportion to the business transacted within Iowa is on the taxpayer. In order to utilize separate accounting, the taxpayer’s books and records must be kept in a manner that accurately depicts the exact geographical source of profits. In any petition to utilize separate accounting, the taxpayer must submit schedules which accurately depict net income by division or product line and the amount of income earned within Iowa.</w:t>
      </w:r>
    </w:p>
    <w:p>
      <w:pPr>
        <w:spacing w:before="0" w:after="0"/>
        <w:ind w:left="120"/>
        <w:jc w:val="both"/>
      </w:pPr>
      <w:r>
        <w:rPr>
          <w:rFonts w:ascii="Times New Roman" w:hAnsi="Times New Roman"/>
          <w:b w:val="false"/>
          <w:i w:val="false"/>
          <w:color w:val="000000"/>
          <w:sz w:val="22"/>
        </w:rPr>
        <w:t>There are alternative methods of separate accounting utilizing different accounting principles. A mere showing that one separate accounting method produces a result substantially different than the statutory method of apportionment is not sufficient to justify the granting of the separate accounting method shown. The taxpayer must not only show that the separate accounting method advocated by the taxpayer in comparison with the statutory method of apportionment produces a result which, if the statutory method of apportionment were used, would be out of all reasonable proportion to the business transacted within Iowa. The taxpayer must also show that all other conceivable reasonable separate accounting methods would show, when compared with the statutory method of apportionment, that the statutory method of apportionment substantially produces a distorted result.</w:t>
      </w:r>
    </w:p>
    <w:p>
      <w:pPr>
        <w:spacing w:before="0" w:after="0"/>
        <w:ind w:left="120"/>
        <w:jc w:val="both"/>
      </w:pPr>
      <w:r>
        <w:rPr>
          <w:rFonts w:ascii="Times New Roman" w:hAnsi="Times New Roman"/>
          <w:b w:val="false"/>
          <w:i w:val="false"/>
          <w:color w:val="000000"/>
          <w:sz w:val="22"/>
        </w:rPr>
        <w:t xml:space="preserve">As used in this rule, “statutory method of apportionment” means the apportionment factor set forth in rule </w:t>
      </w:r>
      <w:hyperlink r:id="rId113">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All requests to use an alternative method of allocation and apportionment submitted to the department will be considered by the compliance division if the request is the result of an audit or by the taxpayer services and policy division if the request is received prior to audit. If the department concludes that the statutory method of allocation and apportionment is, in fact, both inapplicable and inequitable, the department shall prescribe a special method. The special method of allocation and apportionment prescribed by the department may be that requested by the taxpayer or some other method of allocation and apportionment which the department deems to equitably attribute income to business activities carried on within Iowa.</w:t>
      </w:r>
    </w:p>
    <w:p>
      <w:pPr>
        <w:spacing w:before="0" w:after="0"/>
        <w:ind w:left="120"/>
        <w:jc w:val="both"/>
      </w:pPr>
      <w:r>
        <w:rPr>
          <w:rFonts w:ascii="Times New Roman" w:hAnsi="Times New Roman"/>
          <w:b w:val="false"/>
          <w:i w:val="false"/>
          <w:color w:val="000000"/>
          <w:sz w:val="22"/>
        </w:rPr>
        <w:t xml:space="preserve">If the taxpayer disagrees with the determination of the department, the taxpayer may file a protest within 60 days of the date of the letter setting forth the department’s determination and the reasons therefor in accordance with rule </w:t>
      </w:r>
      <w:hyperlink r:id="rId114">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If no protest is filed within the 60-day period, then no hearing will be granted on the department’s determination under this rule. However, this does not preclude the taxpayer from subsequently raising this question in the event that the taxpayer protests an assessment or denial of a timely refund claim, but this issue will only be dealt with for the years involved in the assessment or timely refund claim.</w:t>
      </w:r>
    </w:p>
    <w:p>
      <w:pPr>
        <w:spacing w:before="0" w:after="0"/>
        <w:ind w:left="120"/>
        <w:jc w:val="both"/>
      </w:pPr>
      <w:r>
        <w:rPr>
          <w:rFonts w:ascii="Times New Roman" w:hAnsi="Times New Roman"/>
          <w:b w:val="false"/>
          <w:i w:val="false"/>
          <w:color w:val="000000"/>
          <w:sz w:val="22"/>
        </w:rPr>
        <w:t>The use of an alternative method of allocation and apportionment would only be applicable to the years under consideration at the time the special method of allocation and apportionment is prescribed. The taxpayer’s continued use of a prescribed method of allocation and apportionment will be subject to review and change within the statutory, or legally extended period(s).</w:t>
      </w:r>
    </w:p>
    <w:p>
      <w:pPr>
        <w:spacing w:before="0" w:after="0"/>
        <w:ind w:left="120"/>
        <w:jc w:val="both"/>
      </w:pPr>
      <w:r>
        <w:rPr>
          <w:rFonts w:ascii="Times New Roman" w:hAnsi="Times New Roman"/>
          <w:b w:val="false"/>
          <w:i w:val="false"/>
          <w:color w:val="000000"/>
          <w:sz w:val="22"/>
        </w:rPr>
        <w:t>If there is a material change in the business operations or accounting procedures from those in existence at the time the taxpayer was permitted to determine the net income earned within Iowa by an alternative method of allocation and apportionment, the taxpayer shall apprise the department of such changes prior to filing the taxpayer’s return for the current year. After reviewing the information submitted, along with any other information the department deems necessary, the department will notify the taxpayer if the alternative method of allocation and apportionment is deemed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701—602.30</w:t>
      </w:r>
      <w:r>
        <w:rPr>
          <w:rFonts w:ascii="Times New Roman" w:hAnsi="Times New Roman"/>
          <w:b/>
          <w:i w:val="false"/>
          <w:color w:val="000000"/>
          <w:sz w:val="22"/>
        </w:rPr>
        <w:t xml:space="preserve">(422) </w:t>
      </w:r>
      <w:r>
        <w:rPr>
          <w:rFonts w:ascii="Times New Roman" w:hAnsi="Times New Roman"/>
          <w:b/>
          <w:i w:val="false"/>
          <w:color w:val="000000"/>
          <w:sz w:val="22"/>
        </w:rPr>
        <w:t xml:space="preserve">Broadband infrastructure grant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602.30(1)</w:t>
      </w: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grant exemption, generally. </w:t>
      </w:r>
      <w:r>
        <w:rPr>
          <w:rFonts w:ascii="Times New Roman" w:hAnsi="Times New Roman"/>
          <w:b w:val="false"/>
          <w:i w:val="false"/>
          <w:color w:val="000000"/>
          <w:sz w:val="22"/>
        </w:rPr>
        <w:t xml:space="preserve">For tax years beginning on or after January 1, 2019, certain qualifying communications service providers may subtract, to the extent included in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2"/>
        </w:rPr>
        <w:t>Section 706 of the federal Telecommunications Act of 1996</w:t>
      </w:r>
      <w:r>
        <w:rPr>
          <w:rFonts w:ascii="Times New Roman" w:hAnsi="Times New Roman"/>
          <w:b w:val="false"/>
          <w:i w:val="false"/>
          <w:color w:val="000000"/>
          <w:sz w:val="22"/>
        </w:rPr>
        <w:t xml:space="preserve">, as amended. This rule explains terms not defined in Iowa Code section </w:t>
      </w:r>
      <w:hyperlink r:id="rId11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“Facilitate” </w:t>
      </w:r>
      <w:r>
        <w:rPr>
          <w:rFonts w:ascii="Times New Roman" w:hAnsi="Times New Roman"/>
          <w:b w:val="false"/>
          <w:i w:val="false"/>
          <w:color w:val="000000"/>
          <w:sz w:val="22"/>
        </w:rPr>
        <w:t xml:space="preserve">shall have the same meaning as defined in Iowa Code section </w:t>
      </w:r>
      <w:hyperlink r:id="rId11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means a transfer for a governmental purpose of money or property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grant” means any grant issued by the United States government, including any agency or instrumentality thereof.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grant” means any grant issued by any state of the United States, the District of Columbia, or a territory or possession of the United States, including any agency or instrumentality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grant” means any grant issued by any city, county, township, school district, or any other unit of local government, including any agency or instrumentality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602.30(3)</w:t>
      </w:r>
      <w:r>
        <w:rPr>
          <w:rFonts w:ascii="Times New Roman" w:hAnsi="Times New Roman"/>
          <w:b w:val="false"/>
          <w:i w:val="false"/>
          <w:color w:val="000000"/>
          <w:sz w:val="22"/>
        </w:rPr>
        <w:t> </w:t>
      </w:r>
      <w:r>
        <w:rPr>
          <w:rFonts w:ascii="Times New Roman" w:hAnsi="Times New Roman"/>
          <w:b w:val="false"/>
          <w:i/>
          <w:color w:val="000000"/>
          <w:sz w:val="22"/>
        </w:rPr>
        <w:t xml:space="preserve">Limitation on certain refund claims. </w:t>
      </w:r>
      <w:r>
        <w:rPr>
          <w:rFonts w:ascii="Times New Roman" w:hAnsi="Times New Roman"/>
          <w:b w:val="false"/>
          <w:i w:val="false"/>
          <w:color w:val="000000"/>
          <w:sz w:val="22"/>
        </w:rPr>
        <w:t>For tax years beginning on or after January 1, 2019, and before January 1, 2020, refund claims resulting from this exemption must be filed prior to October 1, 2020. No refunds shall be issued for claims filed on or after that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5606C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701—602.31</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expense deduction adjustments. </w:t>
      </w:r>
      <w:r>
        <w:rPr>
          <w:rFonts w:ascii="Times New Roman" w:hAnsi="Times New Roman"/>
          <w:b w:val="false"/>
          <w:i w:val="false"/>
          <w:color w:val="000000"/>
          <w:sz w:val="22"/>
        </w:rPr>
        <w:t xml:space="preserve">For tax years beginning on or after January 1, 2020, the limit on the amount of business interest expense that a taxpayer may deduct in a taxable year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(IRC) Section 163(j) does not apply for Iowa purposes. This rule provides information on how taxpayers must calculate and report their business interest expense deduction for Iowa purposes, for tax year 2018 (</w:t>
      </w:r>
      <w:hyperlink r:id="rId119">
        <w:r>
          <w:rPr>
            <w:rStyle w:val="Hyperlink"/>
            <w:rFonts w:ascii="Times New Roman" w:hAnsi="Times New Roman"/>
            <w:b w:val="false"/>
            <w:i w:val="false"/>
            <w:color w:val="000000"/>
            <w:sz w:val="22"/>
          </w:rPr>
          <w:t>subrule 602.31(2)</w:t>
        </w:r>
      </w:hyperlink>
      <w:r>
        <w:rPr>
          <w:rFonts w:ascii="Times New Roman" w:hAnsi="Times New Roman"/>
          <w:b w:val="false"/>
          <w:i w:val="false"/>
          <w:color w:val="000000"/>
          <w:sz w:val="22"/>
        </w:rPr>
        <w:t>), when Iowa did not conform to the limitation; tax year 2019 (</w:t>
      </w:r>
      <w:hyperlink r:id="rId120">
        <w:r>
          <w:rPr>
            <w:rStyle w:val="Hyperlink"/>
            <w:rFonts w:ascii="Times New Roman" w:hAnsi="Times New Roman"/>
            <w:b w:val="false"/>
            <w:i w:val="false"/>
            <w:color w:val="000000"/>
            <w:sz w:val="22"/>
          </w:rPr>
          <w:t>subrule 602.31(3)</w:t>
        </w:r>
      </w:hyperlink>
      <w:r>
        <w:rPr>
          <w:rFonts w:ascii="Times New Roman" w:hAnsi="Times New Roman"/>
          <w:b w:val="false"/>
          <w:i w:val="false"/>
          <w:color w:val="000000"/>
          <w:sz w:val="22"/>
        </w:rPr>
        <w:t>), when Iowa did conform to the limitation; and tax years 2020 and later (</w:t>
      </w:r>
      <w:hyperlink r:id="rId121">
        <w:r>
          <w:rPr>
            <w:rStyle w:val="Hyperlink"/>
            <w:rFonts w:ascii="Times New Roman" w:hAnsi="Times New Roman"/>
            <w:b w:val="false"/>
            <w:i w:val="false"/>
            <w:color w:val="000000"/>
            <w:sz w:val="22"/>
          </w:rPr>
          <w:t>subrule 602.31(4)</w:t>
        </w:r>
      </w:hyperlink>
      <w:r>
        <w:rPr>
          <w:rFonts w:ascii="Times New Roman" w:hAnsi="Times New Roman"/>
          <w:b w:val="false"/>
          <w:i w:val="false"/>
          <w:color w:val="000000"/>
          <w:sz w:val="22"/>
        </w:rPr>
        <w:t xml:space="preserve"> et seq.), when Iowa again does not conform to this limitation. All references to the Code of Federal Regulations (Treas.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Reg.) and certain other information in this rule are based on final Internal Revenue Service (IRS) regulations and guidance in effect on January 13,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partnership” </w:t>
      </w:r>
      <w:r>
        <w:rPr>
          <w:rFonts w:ascii="Times New Roman" w:hAnsi="Times New Roman"/>
          <w:b w:val="false"/>
          <w:i w:val="false"/>
          <w:color w:val="000000"/>
          <w:sz w:val="22"/>
        </w:rPr>
        <w:t>means any partnership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 corporation” </w:t>
      </w:r>
      <w:r>
        <w:rPr>
          <w:rFonts w:ascii="Times New Roman" w:hAnsi="Times New Roman"/>
          <w:b w:val="false"/>
          <w:i w:val="false"/>
          <w:color w:val="000000"/>
          <w:sz w:val="22"/>
        </w:rPr>
        <w:t>means any S corporation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partnership” </w:t>
      </w:r>
      <w:r>
        <w:rPr>
          <w:rFonts w:ascii="Times New Roman" w:hAnsi="Times New Roman"/>
          <w:b w:val="false"/>
          <w:i w:val="false"/>
          <w:color w:val="000000"/>
          <w:sz w:val="22"/>
        </w:rPr>
        <w:t>means any partnership that is not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S corporation” </w:t>
      </w:r>
      <w:r>
        <w:rPr>
          <w:rFonts w:ascii="Times New Roman" w:hAnsi="Times New Roman"/>
          <w:b w:val="false"/>
          <w:i w:val="false"/>
          <w:color w:val="000000"/>
          <w:sz w:val="22"/>
        </w:rPr>
        <w:t>means any S corporation that is not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602.31(2)</w:t>
      </w:r>
      <w:r>
        <w:rPr>
          <w:rFonts w:ascii="Times New Roman" w:hAnsi="Times New Roman"/>
          <w:b w:val="false"/>
          <w:i w:val="false"/>
          <w:color w:val="000000"/>
          <w:sz w:val="22"/>
        </w:rPr>
        <w:t> </w:t>
      </w:r>
      <w:r>
        <w:rPr>
          <w:rFonts w:ascii="Times New Roman" w:hAnsi="Times New Roman"/>
          <w:b w:val="false"/>
          <w:i/>
          <w:color w:val="000000"/>
          <w:sz w:val="22"/>
        </w:rPr>
        <w:t xml:space="preserve">Tax year 2018. </w:t>
      </w:r>
      <w:r>
        <w:rPr>
          <w:rFonts w:ascii="Times New Roman" w:hAnsi="Times New Roman"/>
          <w:b w:val="false"/>
          <w:i w:val="false"/>
          <w:color w:val="000000"/>
          <w:sz w:val="22"/>
        </w:rPr>
        <w:t xml:space="preserve">For tax years beginning on or after January 1, 2018, but before January 1, 2019 (tax year 2018), Iowa conforms with the IRC in effect on January 1, 2015, meaning the 30 percent limitation on the business interest expense deduction first imposed by IRC Section 163(j) under Public Law 115-97 (TCJA) does not apply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For tax year 2018, Iowa taxpayers are permitted to deduct current-year business interest expense without regard to the limitations imposed by IRC Section 163(j) under the TCJA. The taxpayer’s additional deduction is computed on the 2018 Nonconformity Adjustments Worksheet. Taxpayers who qualify for these higher Iowa deductions in 2018 may need to make further adjustments in 2019 for amounts deducted under this subrule for Iowa purposes but disallowed and carried forward for federal purposes. See subrule </w:t>
      </w:r>
      <w:hyperlink r:id="rId122">
        <w:r>
          <w:rPr>
            <w:rStyle w:val="Hyperlink"/>
            <w:rFonts w:ascii="Times New Roman" w:hAnsi="Times New Roman"/>
            <w:b w:val="false"/>
            <w:i w:val="false"/>
            <w:color w:val="000000"/>
            <w:sz w:val="22"/>
          </w:rPr>
          <w:t>602.31(3)</w:t>
        </w:r>
      </w:hyperlink>
      <w:r>
        <w:rPr>
          <w:rFonts w:ascii="Times New Roman" w:hAnsi="Times New Roman"/>
          <w:b w:val="false"/>
          <w:i w:val="false"/>
          <w:color w:val="000000"/>
          <w:sz w:val="22"/>
        </w:rPr>
        <w:t xml:space="preserve"> for more information about these 2019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partnerships and S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partnerships and S corporations. Partnerships and S corporations required to file Iowa returns in tax year 2018 are required to make adjustments for Iowa’s nonconformity with IRC Section 163(j) at the entity level, meaning they can deduct the full interest expense on the entity’s own Iowa return and the reduction to the partner’s or shareholder’s share of the entity’s income will be included in the all source modifications line of the partners’ or shareholders’ Iowa Schedules K-1.</w:t>
      </w:r>
    </w:p>
    <w:p>
      <w:pPr>
        <w:spacing w:before="0" w:after="0"/>
        <w:ind w:left="120"/>
        <w:jc w:val="both"/>
      </w:pPr>
      <w:r>
        <w:rPr>
          <w:rFonts w:ascii="Times New Roman" w:hAnsi="Times New Roman"/>
          <w:b w:val="false"/>
          <w:i w:val="false"/>
          <w:color w:val="000000"/>
          <w:sz w:val="22"/>
        </w:rPr>
        <w:t>Example 1: P, a partnership doing business in Iowa, has $100,000 in current-year business interest expense in 2018. For federal purposes, $20,000 of that amount is disallowed under IRC Section 163(j). The partnership deducts $80,000 at the entity level in 2018,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 source modification on the partners’ IA 1065 Schedules K-1, and partners will receive the benefit of this all 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of partnerships and S corporations with no entity-level 2018 Iowa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Non-Iowa partnerships. Iowa partners who received interest expense deductions from partnerships which were not required to file 2018 Iowa returns may claim the larger Iowa deduction for business interest expense passed through from the partnership on the partner’s own 2018 Iowa return by including in the partner’s Iowa deduction the amount of disallowed business interest expense deduction shown on the 2018 federal Schedule K-1 (Form 1065), line 13, code K, received from the non-Iowa partnership.</w:t>
      </w:r>
    </w:p>
    <w:p>
      <w:pPr>
        <w:spacing w:before="0" w:after="0"/>
        <w:ind w:left="120"/>
        <w:jc w:val="both"/>
      </w:pPr>
      <w:r>
        <w:rPr>
          <w:rFonts w:ascii="Times New Roman" w:hAnsi="Times New Roman"/>
          <w:b w:val="false"/>
          <w:i w:val="false"/>
          <w:color w:val="000000"/>
          <w:sz w:val="22"/>
        </w:rPr>
        <w:t>Example 2: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corporation doing business in Iowa and a partner in P2, an out-of-state partnership with no business in Iowa and no Iowa filing obligation. In 2018, P2 has $100,000 in current-year business interest expense and is subject to the IRC Section 163(j) limitation for federal purposes. At the entity level, P2 is permitted to deduct $80,000 on its 2018 federal partnership return. The $20,000 in excess business interest expense is then allocated to P2’s partners.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allocated $5,000 in excess business interest expense from P2. Because P2 is not required to file an Iowa return, and therefore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did not receive a 2018 IA 1065 Schedule K-1 from P2, ABC,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permitted to deduct the $5,000 allocated from P2 as current-year business interest expense on ABC, Inc.’s 2018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Non-Iowa S corporations. Iowa shareholders of S corporations that have no Iowa filing requirement are limited to the deduction actually passed through to them on the federal Schedule K-1 received from the S corporation for Iowa purposes in tax year 2018. These shareholders are not permitted to make adjustments for interest expense disallowed at the entity level for the non-Iowa S corporation. See Example 3 in </w:t>
      </w:r>
      <w:hyperlink r:id="rId123">
        <w:r>
          <w:rPr>
            <w:rStyle w:val="Hyperlink"/>
            <w:rFonts w:ascii="Times New Roman" w:hAnsi="Times New Roman"/>
            <w:b w:val="false"/>
            <w:i w:val="false"/>
            <w:color w:val="000000"/>
            <w:sz w:val="22"/>
          </w:rPr>
          <w:t>701—subrule 302.85(2)</w:t>
        </w:r>
      </w:hyperlink>
      <w:r>
        <w:rPr>
          <w:rFonts w:ascii="Times New Roman" w:hAnsi="Times New Roman"/>
          <w:b w:val="false"/>
          <w:i w:val="false"/>
          <w:color w:val="000000"/>
          <w:sz w:val="22"/>
        </w:rPr>
        <w:t xml:space="preserve"> for an example of how Iowa shareholders of non-Iowa S corporations should report the business interest expense deduction allocated to them from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602.31(3)</w:t>
      </w:r>
      <w:r>
        <w:rPr>
          <w:rFonts w:ascii="Times New Roman" w:hAnsi="Times New Roman"/>
          <w:b w:val="false"/>
          <w:i w:val="false"/>
          <w:color w:val="000000"/>
          <w:sz w:val="22"/>
        </w:rPr>
        <w:t> </w:t>
      </w:r>
      <w:r>
        <w:rPr>
          <w:rFonts w:ascii="Times New Roman" w:hAnsi="Times New Roman"/>
          <w:b w:val="false"/>
          <w:i/>
          <w:color w:val="000000"/>
          <w:sz w:val="22"/>
        </w:rPr>
        <w:t xml:space="preserve">Tax year 2019. </w:t>
      </w:r>
      <w:r>
        <w:rPr>
          <w:rFonts w:ascii="Times New Roman" w:hAnsi="Times New Roman"/>
          <w:b w:val="false"/>
          <w:i w:val="false"/>
          <w:color w:val="000000"/>
          <w:sz w:val="22"/>
        </w:rPr>
        <w:t xml:space="preserve">For tax years beginning on or after January 1, 2019, but before January 1, 2020 (tax year 2019), Iowa conforms to the IRC in effect on March 24, 2018.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Applicable limitation. </w:t>
      </w:r>
      <w:r>
        <w:rPr>
          <w:rFonts w:ascii="Times New Roman" w:hAnsi="Times New Roman"/>
          <w:b w:val="false"/>
          <w:i w:val="false"/>
          <w:color w:val="000000"/>
          <w:sz w:val="22"/>
        </w:rPr>
        <w:t>For tax year 2019, Iowa conforms to the 30 percent limitation on the business interest expense deduction imposed by IRC Section 163(j). Because of Iowa’s fixed conformity date, Iowa did not conform with the higher 50 percent limitation retroactively imposed by the Coronavirus Aid, Relief, and Economic Security (CARES) Act, Public Law 116-136, to the extent that increased limitation applied in tax year 2019 for federal purposes. For tax year 2019 only, taxpayers are required to calculate their Iowa business interest expense deduction by applying the limitations of IRC Section 163(j) without regard to IRC Section 163(j)(10).</w:t>
      </w:r>
    </w:p>
    <w:p>
      <w:pPr>
        <w:spacing w:before="0" w:after="0"/>
        <w:ind w:left="120"/>
        <w:jc w:val="both"/>
      </w:pPr>
      <w:r>
        <w:rPr>
          <w:rFonts w:ascii="Times New Roman" w:hAnsi="Times New Roman"/>
          <w:b w:val="false"/>
          <w:i w:val="false"/>
          <w:color w:val="000000"/>
          <w:sz w:val="22"/>
        </w:rPr>
        <w:t>Example 3: X Bank has an adjusted taxable income (ATI) of $100,000 for tax year 2019, and $80,000 in deductible business interest expense. For federal purposes, X Bank’s business interest expense deduction is limited to $50,000 (50 percent of ATI) under the CARES Act. However, because Iowa only conforms to the 30 percent limitation imposed by the TCJA, and not the higher CARES Act limitation for 2019, X Bank’s Iowa business interest expense deduction for the year is limited to $30,000. X Bank will report this difference by making a $20,000 adjustment on IA 101, line 3 (X Bank may have additional adjustments on this line if the current-year federal deduction included amounts carried forward from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 to income for tax year 2018 federal carryforward amounts deducted in tax year 2019. </w:t>
      </w:r>
      <w:r>
        <w:rPr>
          <w:rFonts w:ascii="Times New Roman" w:hAnsi="Times New Roman"/>
          <w:b w:val="false"/>
          <w:i w:val="false"/>
          <w:color w:val="000000"/>
          <w:sz w:val="22"/>
        </w:rPr>
        <w:t xml:space="preserve">To the extent a taxpayer’s tax year 2019 federal business interest expense deduction includes amounts that were disallowed and carried forward to future years under IRC Section 163(j) in tax year 2018 for federal purposes, but allowed as a deduction in tax year 2018 for Iowa purposes under </w:t>
      </w:r>
      <w:hyperlink r:id="rId124">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general), </w:t>
      </w:r>
      <w:hyperlink r:id="rId125">
        <w:r>
          <w:rPr>
            <w:rStyle w:val="Hyperlink"/>
            <w:rFonts w:ascii="Times New Roman" w:hAnsi="Times New Roman"/>
            <w:b w:val="false"/>
            <w:i w:val="false"/>
            <w:color w:val="000000"/>
            <w:sz w:val="22"/>
          </w:rPr>
          <w:t>subparagraph 602.31(2)</w:t>
        </w:r>
      </w:hyperlink>
      <w:r>
        <w:rPr>
          <w:rFonts w:ascii="Times New Roman" w:hAnsi="Times New Roman"/>
          <w:b w:val="false"/>
          <w:i/>
          <w:color w:val="000000"/>
          <w:sz w:val="22"/>
        </w:rPr>
        <w:t>“b”</w:t>
      </w:r>
      <w:r>
        <w:rPr>
          <w:rFonts w:ascii="Times New Roman" w:hAnsi="Times New Roman"/>
          <w:b w:val="false"/>
          <w:i w:val="false"/>
          <w:color w:val="000000"/>
          <w:sz w:val="22"/>
        </w:rPr>
        <w:t xml:space="preserve">(1) (Iowa partnerships and S corporations), or numbered </w:t>
      </w:r>
      <w:hyperlink r:id="rId126">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“b”</w:t>
      </w:r>
      <w:r>
        <w:rPr>
          <w:rFonts w:ascii="Times New Roman" w:hAnsi="Times New Roman"/>
          <w:b w:val="false"/>
          <w:i w:val="false"/>
          <w:color w:val="000000"/>
          <w:sz w:val="22"/>
        </w:rPr>
        <w:t xml:space="preserve">(2)“1” (non-Iowa partnerships), these carried-forward amounts must be added back in computing Iowa income. These prior deductions and current adjustments are calculated and tracked on the IA 101 Nonconformity Adjustments form. Note that shareholders of non-Iowa S corporations should not be required to add back 2018 carryforward amounts deducted by the S corporation in 2019, because the shareholders were not permitted to deduct these excess amounts for Iowa purposes in 2018. See numbered </w:t>
      </w:r>
      <w:hyperlink r:id="rId127">
        <w:r>
          <w:rPr>
            <w:rStyle w:val="Hyperlink"/>
            <w:rFonts w:ascii="Times New Roman" w:hAnsi="Times New Roman"/>
            <w:b w:val="false"/>
            <w:i w:val="false"/>
            <w:color w:val="000000"/>
            <w:sz w:val="22"/>
          </w:rPr>
          <w:t>paragraph 602.31(2)</w:t>
        </w:r>
      </w:hyperlink>
      <w:r>
        <w:rPr>
          <w:rFonts w:ascii="Times New Roman" w:hAnsi="Times New Roman"/>
          <w:b w:val="false"/>
          <w:i/>
          <w:color w:val="000000"/>
          <w:sz w:val="22"/>
        </w:rPr>
        <w:t>“b”</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Example 4: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partner in P under the same facts described in Example 1 above. For tax year 2019,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completes federal Form 8990 and is eligible to deduct $1,000 of the excess business interest expense allocated to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from P in 2018 on QRS, Inc.’s 2019 federal income tax return. This $1,000 federal deduction for prior-year excess business interest expense allocated from P must be added back in computing QRS, Inc.’s 2019 Iowa income. The same add-back would be required if this scenario was applied to the facts in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602.31(4)</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2020. </w:t>
      </w:r>
      <w:r>
        <w:rPr>
          <w:rFonts w:ascii="Times New Roman" w:hAnsi="Times New Roman"/>
          <w:b w:val="false"/>
          <w:i w:val="false"/>
          <w:color w:val="000000"/>
          <w:sz w:val="22"/>
        </w:rPr>
        <w:t xml:space="preserve">For tax years beginning on or after January 1, 2020, Iowa does not conform with the IRC Section 163(j) business interest expense deduction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For tax years beginning on or after January 1, 2020, 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1.163(j)-3(b)(4), which are determined after the application of IRC Section 163(j) for federal purposes.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1.163(j)-3 for examples of other provisions of the IRC that may restrict interest expense deductions for federal and Iowa purposes, independent of the Section 163(j)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one-time carryforward catch-up (tax year 2020 only). For tax years beginning on or after January 1, 2020, but before January 1, 2021 (tax year 2020), taxpayers who filed a 2019 Iowa return are permitted to deduct all interest expense deduction amounts that were disallowed and carried forward under IRC Section 163(j) for Iowa purposes in tax year 2019. This deduction shall be calculated and reported on the taxpayer’s 2020 Iowa income tax return using form IA 163A. Excess business interest expense amounts carried over from tax year 2018 at the federal level shall not be deducted for Iowa tax purposes in tax year 2020.</w:t>
      </w:r>
    </w:p>
    <w:p>
      <w:pPr>
        <w:spacing w:before="0" w:after="0"/>
        <w:ind w:left="120"/>
        <w:jc w:val="both"/>
      </w:pPr>
      <w:r>
        <w:rPr>
          <w:rFonts w:ascii="Times New Roman" w:hAnsi="Times New Roman"/>
          <w:b w:val="false"/>
          <w:i w:val="false"/>
          <w:color w:val="000000"/>
          <w:sz w:val="22"/>
        </w:rPr>
        <w:t>Example 5: In 2019, X Bank had $100,000 in current-year business interest expense. X Bank’s business interest expense deduction was limited to $50,000 for federal purposes and limited to $30,000 for Iowa purposes due to Iowa’s nonconformity with the CARES Act for that year. See paragraph 59.31(3)</w:t>
      </w:r>
      <w:r>
        <w:rPr>
          <w:rFonts w:ascii="Times New Roman" w:hAnsi="Times New Roman"/>
          <w:b w:val="false"/>
          <w:i/>
          <w:color w:val="000000"/>
          <w:sz w:val="22"/>
        </w:rPr>
        <w:t>“a.”</w:t>
      </w:r>
      <w:r>
        <w:rPr>
          <w:rFonts w:ascii="Times New Roman" w:hAnsi="Times New Roman"/>
          <w:b w:val="false"/>
          <w:i w:val="false"/>
          <w:color w:val="000000"/>
          <w:sz w:val="22"/>
        </w:rPr>
        <w:t xml:space="preserve"> In 2020, X Bank is again subject to an IRC Section 163(j) limitation and is not permitted to deduct any prior-year carryforward amounts for federal purposes. However, because Iowa does not conform to the IRC Section 163(j) limitation for 2020, X Bank may deduct all of the company’s current-year business interest expense and all $70,000 ($100,000 - $30,000) of X Bank’s disallowed Iowa interest expense carried over from 2019. X Bank must complete the IA 163 in order to calculate the company’s current-year business interest expense deduction, and the IA 163A to determine the total amount of 2019 disallowed Iowa interest expense amounts, which may be deducted in full on X Bank’s 2020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 to income for prior-year federal carryforward amounts deducted in the current year. When current-year interest expense is limited at the federal level, the disallowed business interest expense is carried forward to be deducted in future years for federal purposes when certain conditions are met.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1.163(j)-1(b)(10) for the definition of “disallowed business interest expense.”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except as described in </w:t>
      </w:r>
      <w:hyperlink r:id="rId128">
        <w:r>
          <w:rPr>
            <w:rStyle w:val="Hyperlink"/>
            <w:rFonts w:ascii="Times New Roman" w:hAnsi="Times New Roman"/>
            <w:b w:val="false"/>
            <w:i w:val="false"/>
            <w:color w:val="000000"/>
            <w:sz w:val="22"/>
          </w:rPr>
          <w:t>subparagraph 602.31(4)</w:t>
        </w:r>
      </w:hyperlink>
      <w:r>
        <w:rPr>
          <w:rFonts w:ascii="Times New Roman" w:hAnsi="Times New Roman"/>
          <w:b w:val="false"/>
          <w:i/>
          <w:color w:val="000000"/>
          <w:sz w:val="22"/>
        </w:rPr>
        <w:t>“b”</w:t>
      </w:r>
      <w:r>
        <w:rPr>
          <w:rFonts w:ascii="Times New Roman" w:hAnsi="Times New Roman"/>
          <w:b w:val="false"/>
          <w:i w:val="false"/>
          <w:color w:val="000000"/>
          <w:sz w:val="22"/>
        </w:rPr>
        <w:t xml:space="preserve">(1). All prior 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 </w:t>
      </w:r>
    </w:p>
    <w:p>
      <w:pPr>
        <w:spacing w:before="0" w:after="0"/>
        <w:ind w:left="120"/>
        <w:jc w:val="both"/>
      </w:pPr>
      <w:r>
        <w:rPr>
          <w:rFonts w:ascii="Times New Roman" w:hAnsi="Times New Roman"/>
          <w:b w:val="false"/>
          <w:i w:val="false"/>
          <w:color w:val="000000"/>
          <w:sz w:val="22"/>
        </w:rPr>
        <w:t>Example 6: In 2020, X Bank has $100,000 in current-year business interest expense. For federal purposes, X Bank is subject to the IRC Section 163(j) limitation. X Bank deducts $70,000 in business interest expense on X Bank’s 2020 federal return and carries the remaining $30,000 forward to be deducted in future years. For Iowa purposes, X Bank deducts the full $100,000 in current-year business interest expense in 2020.</w:t>
      </w:r>
    </w:p>
    <w:p>
      <w:pPr>
        <w:spacing w:before="0" w:after="0"/>
        <w:ind w:left="120"/>
        <w:jc w:val="both"/>
      </w:pPr>
      <w:r>
        <w:rPr>
          <w:rFonts w:ascii="Times New Roman" w:hAnsi="Times New Roman"/>
          <w:b w:val="false"/>
          <w:i w:val="false"/>
          <w:color w:val="000000"/>
          <w:sz w:val="22"/>
        </w:rPr>
        <w:t>In 2021, X Bank has $50,000 in current-year business interest expense. For federal purposes, X Bank is permitted to deduct the full $50,000 in interest expense generated in 2021, plus $5,000 of the amount that was disallowed in 2020 for a total federal deduction of $55,000 in 2021. X Bank must add the federal carryforward amount ($5,000) back on the company’s 2021 Iowa return, limiting X Bank’s 2021 Iowa deduction to the $50,000 in current-year business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602.31(5)</w:t>
      </w:r>
      <w:r>
        <w:rPr>
          <w:rFonts w:ascii="Times New Roman" w:hAnsi="Times New Roman"/>
          <w:b w:val="false"/>
          <w:i w:val="false"/>
          <w:color w:val="000000"/>
          <w:sz w:val="22"/>
        </w:rPr>
        <w:t> </w:t>
      </w:r>
      <w:r>
        <w:rPr>
          <w:rFonts w:ascii="Times New Roman" w:hAnsi="Times New Roman"/>
          <w:b w:val="false"/>
          <w:i/>
          <w:color w:val="000000"/>
          <w:sz w:val="22"/>
        </w:rPr>
        <w:t xml:space="preserve">Partners and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Partnership-level adjustments. </w:t>
      </w:r>
      <w:r>
        <w:rPr>
          <w:rFonts w:ascii="Times New Roman" w:hAnsi="Times New Roman"/>
          <w:b w:val="false"/>
          <w:i w:val="false"/>
          <w:color w:val="000000"/>
          <w:sz w:val="22"/>
        </w:rPr>
        <w:t xml:space="preserve">For tax years beginning on or after January 1, 2020, partnerships that file an Iowa income tax return for a tax year in which the partnership is subject to the IRC Section 163(j) limitation for federal purposes are permitted to deduct all current-year business interest expense at the partnership level in that tax year. See </w:t>
      </w:r>
      <w:hyperlink r:id="rId129">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more information about the calculation and reporting of partnership-level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Partner-level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expense from Iowa partnerships. Iowa adjustments related to excess business interest expense of an Iowa partnership are made at the entity level as described in </w:t>
      </w:r>
      <w:hyperlink r:id="rId130">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 See Example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expense from non-Iowa partnerships. For tax years beginning on or after January 1, 2020, partners may include as part of their Iowa business interest expense deduction the total amount of current-year excess business interest expense deduction passed through to them from all non-Iowa partnerships as shown on the federal Schedule K-1 (Form 1065), line 13, code K. See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Partnership basis. A partner’s basis is reduced (but not below zero) by the amount of excess business interest expense the partnership passes through to the partner each year.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163(j)-6(h) for detailed information about how to make these basis adjustments. For federal purposes, immediately before disposition of the partnership interest, the partner’s basis is then increased by the amount of any passed-through business interest expense which has not yet been treated as paid or accrued by the partner as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602.31(6)</w:t>
      </w:r>
      <w:r>
        <w:rPr>
          <w:rFonts w:ascii="Times New Roman" w:hAnsi="Times New Roman"/>
          <w:b w:val="false"/>
          <w:i w:val="false"/>
          <w:color w:val="000000"/>
          <w:sz w:val="22"/>
        </w:rPr>
        <w:t> </w:t>
      </w:r>
      <w:r>
        <w:rPr>
          <w:rFonts w:ascii="Times New Roman" w:hAnsi="Times New Roman"/>
          <w:b w:val="false"/>
          <w:i/>
          <w:color w:val="000000"/>
          <w:sz w:val="22"/>
        </w:rPr>
        <w:t xml:space="preserve">S corporation adjustments. </w:t>
      </w:r>
      <w:r>
        <w:rPr>
          <w:rFonts w:ascii="Times New Roman" w:hAnsi="Times New Roman"/>
          <w:b w:val="false"/>
          <w:i w:val="false"/>
          <w:color w:val="000000"/>
          <w:sz w:val="22"/>
        </w:rPr>
        <w:t xml:space="preserve">For federal purposes, IRC Section 163(j) limitations are applied at the S corporation level. Unlike partnerships, disallowed business interest expense amounts are carried forward and deducted in future years at the entity level rather than being passed through to shareholders. S corporations should calculate their entity-level business interest expense deduction for Iowa purposes under the provisions of rule </w:t>
      </w:r>
      <w:hyperlink r:id="rId131">
        <w:r>
          <w:rPr>
            <w:rStyle w:val="Hyperlink"/>
            <w:rFonts w:ascii="Times New Roman" w:hAnsi="Times New Roman"/>
            <w:b w:val="false"/>
            <w:i w:val="false"/>
            <w:color w:val="000000"/>
            <w:sz w:val="22"/>
          </w:rPr>
          <w:t>701—502.29</w:t>
        </w:r>
      </w:hyperlink>
      <w:r>
        <w:rPr>
          <w:rFonts w:ascii="Times New Roman" w:hAnsi="Times New Roman"/>
          <w:b w:val="false"/>
          <w:i w:val="false"/>
          <w:color w:val="000000"/>
          <w:sz w:val="22"/>
        </w:rPr>
        <w:t>(422). See also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1.163(j)-6(l) for more information about the application of IRC Section 163(j) to S corporations for federal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422.35(27)</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5733C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701—602.32</w:t>
      </w:r>
      <w:r>
        <w:rPr>
          <w:rFonts w:ascii="Times New Roman" w:hAnsi="Times New Roman"/>
          <w:b/>
          <w:i w:val="false"/>
          <w:color w:val="000000"/>
          <w:sz w:val="22"/>
        </w:rPr>
        <w:t xml:space="preserve">(422) </w:t>
      </w:r>
      <w:r>
        <w:rPr>
          <w:rFonts w:ascii="Times New Roman" w:hAnsi="Times New Roman"/>
          <w:b/>
          <w:i w:val="false"/>
          <w:color w:val="000000"/>
          <w:sz w:val="22"/>
        </w:rPr>
        <w:t xml:space="preserve">COVID-19 grant exclusion.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means the economic development authority, the Iowa finance authority, or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recipient” </w:t>
      </w:r>
      <w:r>
        <w:rPr>
          <w:rFonts w:ascii="Times New Roman" w:hAnsi="Times New Roman"/>
          <w:b w:val="false"/>
          <w:i w:val="false"/>
          <w:color w:val="000000"/>
          <w:sz w:val="22"/>
        </w:rPr>
        <w:t>means a person who applies for and is issued a qualifying COVID-19 grant by an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“Issued” </w:t>
      </w:r>
      <w:r>
        <w:rPr>
          <w:rFonts w:ascii="Times New Roman" w:hAnsi="Times New Roman"/>
          <w:b w:val="false"/>
          <w:i w:val="false"/>
          <w:color w:val="000000"/>
          <w:sz w:val="22"/>
        </w:rPr>
        <w:t>means the approval of the grant recipient’s application and amount for a qualifying COVID-19 grant by an administering agency, regardless of when the grant funds were paid by the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602.32(2)</w:t>
      </w:r>
      <w:r>
        <w:rPr>
          <w:rFonts w:ascii="Times New Roman" w:hAnsi="Times New Roman"/>
          <w:b w:val="false"/>
          <w:i w:val="false"/>
          <w:color w:val="000000"/>
          <w:sz w:val="22"/>
        </w:rPr>
        <w:t> </w:t>
      </w:r>
      <w:r>
        <w:rPr>
          <w:rFonts w:ascii="Times New Roman" w:hAnsi="Times New Roman"/>
          <w:b w:val="false"/>
          <w:i/>
          <w:color w:val="000000"/>
          <w:sz w:val="22"/>
        </w:rPr>
        <w:t xml:space="preserve">Qualifying COVID-19 grant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determining whether a grant program provides “qualifying COVID-19 grants” as defined in Iowa Code section </w:t>
      </w:r>
      <w:hyperlink r:id="rId134">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In making this determination, and for purposes of the definition of “qualifying COVID-19 grant,” a grant program is “created to primarily provide COVID-19 related financial assistance to economically impacted individuals and businesses located in this state” if that grant program, at the time of its inception, was intended by the administering agency to provide a majority (more than 50 percent) of its financial assistance to or for the benefit of businesses that are doing business in Iowa or are deriving income from sources within Iowa, and that are economically affected by the COVID-19 pandemic.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administering agency shall notify the director of the existence of any grant program it believes may be a qualifying COVID-19 grant program. Upon such notification, the department will request from the administering agency the information necessary to determine whether that program is a qualifying COVID-19 grant as defined in Iowa Code section </w:t>
      </w:r>
      <w:hyperlink r:id="rId135">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and this rule. The administering agency shall provide the department with the requested information within the time frame prescribed by the department in its request. Failure to provide the requested information to the department shall prevent the department from determining that the grant program is a qualifying COVID-19 grant. Grant programs not specifically listed below in </w:t>
      </w:r>
      <w:hyperlink r:id="rId136">
        <w:r>
          <w:rPr>
            <w:rStyle w:val="Hyperlink"/>
            <w:rFonts w:ascii="Times New Roman" w:hAnsi="Times New Roman"/>
            <w:b w:val="false"/>
            <w:i w:val="false"/>
            <w:color w:val="000000"/>
            <w:sz w:val="22"/>
          </w:rPr>
          <w:t>paragraph 602.32(2)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not qualifying COVID-19 grants and are not eligible for the exclusion provided in this rule, even if that program may otherwise meet the definition of “qualifying COVID-19 grant” in Iowa Code section </w:t>
      </w:r>
      <w:hyperlink r:id="rId137">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exhaustive list of programs that have been identified by the department as qualifying COVID-19 grants, including a general description of each program’s grant recipients, that may qualify for the exclusion from Iowa net income under </w:t>
      </w:r>
      <w:hyperlink r:id="rId138">
        <w:r>
          <w:rPr>
            <w:rStyle w:val="Hyperlink"/>
            <w:rFonts w:ascii="Times New Roman" w:hAnsi="Times New Roman"/>
            <w:b w:val="false"/>
            <w:i w:val="false"/>
            <w:color w:val="000000"/>
            <w:sz w:val="22"/>
          </w:rPr>
          <w:t>subrule 602.32(3)</w:t>
        </w:r>
      </w:hyperlink>
      <w:r>
        <w:rPr>
          <w:rFonts w:ascii="Times New Roman" w:hAnsi="Times New Roman"/>
          <w:b w:val="false"/>
          <w:i w:val="false"/>
          <w:color w:val="000000"/>
          <w:sz w:val="22"/>
        </w:rPr>
        <w:t xml:space="preserve">, see </w:t>
      </w:r>
      <w:hyperlink r:id="rId139">
        <w:r>
          <w:rPr>
            <w:rStyle w:val="Hyperlink"/>
            <w:rFonts w:ascii="Times New Roman" w:hAnsi="Times New Roman"/>
            <w:b w:val="false"/>
            <w:i w:val="false"/>
            <w:color w:val="000000"/>
            <w:sz w:val="22"/>
          </w:rPr>
          <w:t>701—paragraph 502.30(2)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602.32(3)</w:t>
      </w:r>
      <w:r>
        <w:rPr>
          <w:rFonts w:ascii="Times New Roman" w:hAnsi="Times New Roman"/>
          <w:b w:val="false"/>
          <w:i w:val="false"/>
          <w:color w:val="000000"/>
          <w:sz w:val="22"/>
        </w:rPr>
        <w:t> </w:t>
      </w:r>
      <w:r>
        <w:rPr>
          <w:rFonts w:ascii="Times New Roman" w:hAnsi="Times New Roman"/>
          <w:b w:val="false"/>
          <w:i/>
          <w:color w:val="000000"/>
          <w:sz w:val="22"/>
        </w:rPr>
        <w:t xml:space="preserve">Excluding qualifying COVID-19 grants from Iowa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grant recipient may subtract a qualifying COVID-19 grant when calculating Iowa net income if all of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as part of a qualifying COVID-19 grant program identified in </w:t>
      </w:r>
      <w:hyperlink r:id="rId140">
        <w:r>
          <w:rPr>
            <w:rStyle w:val="Hyperlink"/>
            <w:rFonts w:ascii="Times New Roman" w:hAnsi="Times New Roman"/>
            <w:b w:val="false"/>
            <w:i w:val="false"/>
            <w:color w:val="000000"/>
            <w:sz w:val="22"/>
          </w:rPr>
          <w:t>701—paragraph 502.30(2)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on or after March 17, 2020, and on or before December 31, 2021.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grant funds were included in the grant recipient’s net income for a tax year ending on or after March 17, 2020, but beginning before January 1, 2024. The grant may only be subtracted to the extent it is included in the grant recipient’s net income for that qualifying tax year. A qualifying COVID-19 grant that is exempt from federal income tax, and thus not included in the grant recipient’s Iowa net income, does not qualify for an additional subtraction on the grant recipient’s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payee of grant funds. </w:t>
      </w:r>
      <w:r>
        <w:rPr>
          <w:rFonts w:ascii="Times New Roman" w:hAnsi="Times New Roman"/>
          <w:b w:val="false"/>
          <w:i w:val="false"/>
          <w:color w:val="000000"/>
          <w:sz w:val="22"/>
        </w:rPr>
        <w:t xml:space="preserve">A third-party payee of qualifying COVID-19 grant funds is not eligible for this exemption from Iowa income. If the proceeds of a qualifying COVID-19 grant are paid to someone other than the grant recipient, only the grant recipient on whose behalf the grant proceeds were paid may qualify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 xml:space="preserve">Grant funds that were repaid to the administering agency for any reason are not eligible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grant recipient who received qualifying COVID-19 grant funds and who excludes those funds when calculating Iowa net income should retain documentation to support the claimed exclusion. A grant recipient must provide such documentation to the department if requested. The required documentation may include, but is not limited to, documentation to support that the grant recipient was issued and received the grant within the qualifying periods.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1">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5.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5817C</w:t>
      </w:r>
      <w:r>
        <w:rPr>
          <w:rFonts w:ascii="Times New Roman" w:hAnsi="Times New Roman"/>
          <w:b w:val="false"/>
          <w:i w:val="false"/>
          <w:color w:val="000000"/>
          <w:sz w:val="16"/>
        </w:rPr>
        <w:t>, IAB 8/11/21, effective 7/13/21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701—602.33</w:t>
      </w:r>
      <w:r>
        <w:rPr>
          <w:rFonts w:ascii="Times New Roman" w:hAnsi="Times New Roman"/>
          <w:b/>
          <w:i w:val="false"/>
          <w:color w:val="000000"/>
          <w:sz w:val="22"/>
        </w:rPr>
        <w:t xml:space="preserve">(422) </w:t>
      </w:r>
      <w:r>
        <w:rPr>
          <w:rFonts w:ascii="Times New Roman" w:hAnsi="Times New Roman"/>
          <w:b/>
          <w:i w:val="false"/>
          <w:color w:val="000000"/>
          <w:sz w:val="22"/>
        </w:rPr>
        <w:t xml:space="preserve">Investment subsidiary combined returns. </w:t>
      </w:r>
      <w:r>
        <w:rPr>
          <w:rFonts w:ascii="Times New Roman" w:hAnsi="Times New Roman"/>
          <w:b w:val="false"/>
          <w:i w:val="false"/>
          <w:color w:val="000000"/>
          <w:sz w:val="22"/>
        </w:rPr>
        <w:t>For tax years beginning on or after January 1, 2025, financial institutions that own or control investment subsidiaries may elect to file combined Iowa franchise tax returns with those investment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means the same as defined in subrule </w:t>
      </w:r>
      <w:hyperlink r:id="rId142">
        <w:r>
          <w:rPr>
            <w:rStyle w:val="Hyperlink"/>
            <w:rFonts w:ascii="Times New Roman" w:hAnsi="Times New Roman"/>
            <w:b w:val="false"/>
            <w:i w:val="false"/>
            <w:color w:val="000000"/>
            <w:sz w:val="22"/>
          </w:rPr>
          <w:t>602.20(1)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“Unitary business,” </w:t>
      </w:r>
      <w:r>
        <w:rPr>
          <w:rFonts w:ascii="Times New Roman" w:hAnsi="Times New Roman"/>
          <w:b w:val="false"/>
          <w:i w:val="false"/>
          <w:color w:val="000000"/>
          <w:sz w:val="22"/>
        </w:rPr>
        <w:t>for purposes of this rule, means a single economic enterprise made up either of separate parts of a single business entity or of a commonly controlled group of business entities that are sufficiently interdependent, integrated, and interrelated through their activities so as to provide a synergy and mutual benefit that produces a sharing or exchange of value among them and a significant flow of value to the separate parts. A unitary business includes that part of the business that meets this definition and is conducted by a taxpayer through the taxpayer’s interest in a partnership, whether the interest in that partnership is held directly or indirectly through a series of partnerships or other passthrough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602.33(2)</w:t>
      </w:r>
      <w:r>
        <w:rPr>
          <w:rFonts w:ascii="Times New Roman" w:hAnsi="Times New Roman"/>
          <w:b w:val="false"/>
          <w:i w:val="false"/>
          <w:color w:val="000000"/>
          <w:sz w:val="22"/>
        </w:rPr>
        <w:t> </w:t>
      </w:r>
      <w:r>
        <w:rPr>
          <w:rFonts w:ascii="Times New Roman" w:hAnsi="Times New Roman"/>
          <w:b w:val="false"/>
          <w:i/>
          <w:color w:val="000000"/>
          <w:sz w:val="22"/>
        </w:rPr>
        <w:t xml:space="preserve">Election to file a combined return. </w:t>
      </w:r>
      <w:r>
        <w:rPr>
          <w:rFonts w:ascii="Times New Roman" w:hAnsi="Times New Roman"/>
          <w:b w:val="false"/>
          <w:i w:val="false"/>
          <w:color w:val="000000"/>
          <w:sz w:val="22"/>
        </w:rPr>
        <w:t>A financial institution and its investment subsidiaries that did not file a combined return for the immediately preceding taxable year may elect to file a combined return in lieu of separate returns for the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Making the election. </w:t>
      </w:r>
      <w:r>
        <w:rPr>
          <w:rFonts w:ascii="Times New Roman" w:hAnsi="Times New Roman"/>
          <w:b w:val="false"/>
          <w:i w:val="false"/>
          <w:color w:val="000000"/>
          <w:sz w:val="22"/>
        </w:rPr>
        <w:t>The election is made by filing a return that includes both the financial institution and its investment subsidiaries on forms provided by the department, on or before the statutory due date for filing the return, including extensions. The parent financial institution may withdraw the election by filing a separate return at any time prior to the due date of the return (including extensions of time) in the first year in which the election is made, but the group cannot withdraw the election after the due date of the return (including extensions of time). All requirements of this paragraph and any additional requirements provided in the instructions to the form must be met for the election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institution and each investment subsidiary that is to be included on the combined return must consent to the filing of the combined return in the same manner as members of an affiliated group consent to the filing of a consolidated return in </w:t>
      </w:r>
      <w:hyperlink r:id="rId143">
        <w:r>
          <w:rPr>
            <w:rStyle w:val="Hyperlink"/>
            <w:rFonts w:ascii="Times New Roman" w:hAnsi="Times New Roman"/>
            <w:b w:val="false"/>
            <w:i w:val="false"/>
            <w:color w:val="000000"/>
            <w:sz w:val="22"/>
          </w:rPr>
          <w:t>701—paragraph 502.15(1)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combined group must include the parent financial institution and all investment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combined group cannot include any entity other than the parent financial institution and the investment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binding. </w:t>
      </w:r>
      <w:r>
        <w:rPr>
          <w:rFonts w:ascii="Times New Roman" w:hAnsi="Times New Roman"/>
          <w:b w:val="false"/>
          <w:i w:val="false"/>
          <w:color w:val="000000"/>
          <w:sz w:val="22"/>
        </w:rPr>
        <w:t xml:space="preserve">Except as provided in subrule </w:t>
      </w:r>
      <w:hyperlink r:id="rId144">
        <w:r>
          <w:rPr>
            <w:rStyle w:val="Hyperlink"/>
            <w:rFonts w:ascii="Times New Roman" w:hAnsi="Times New Roman"/>
            <w:b w:val="false"/>
            <w:i w:val="false"/>
            <w:color w:val="000000"/>
            <w:sz w:val="22"/>
          </w:rPr>
          <w:t>602.33(3)</w:t>
        </w:r>
      </w:hyperlink>
      <w:r>
        <w:rPr>
          <w:rFonts w:ascii="Times New Roman" w:hAnsi="Times New Roman"/>
          <w:b w:val="false"/>
          <w:i w:val="false"/>
          <w:color w:val="000000"/>
          <w:sz w:val="22"/>
        </w:rPr>
        <w:t>, an election to file a combined return under this paragraph is binding on all future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Treated as financial institutions. </w:t>
      </w:r>
      <w:r>
        <w:rPr>
          <w:rFonts w:ascii="Times New Roman" w:hAnsi="Times New Roman"/>
          <w:b w:val="false"/>
          <w:i w:val="false"/>
          <w:color w:val="000000"/>
          <w:sz w:val="22"/>
        </w:rPr>
        <w:t xml:space="preserve">By making this election, all investment subsidiaries agree to be treated as financial institutions under Iowa Code chapter </w:t>
      </w:r>
      <w:hyperlink r:id="rId14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this rule, for every tax year the election remains in effect, except as provided in 701—subrules </w:t>
      </w:r>
      <w:hyperlink r:id="rId146">
        <w:r>
          <w:rPr>
            <w:rStyle w:val="Hyperlink"/>
            <w:rFonts w:ascii="Times New Roman" w:hAnsi="Times New Roman"/>
            <w:b w:val="false"/>
            <w:i w:val="false"/>
            <w:color w:val="000000"/>
            <w:sz w:val="22"/>
          </w:rPr>
          <w:t>304.16(2)</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501.16(2)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602.33(3)</w:t>
      </w:r>
      <w:r>
        <w:rPr>
          <w:rFonts w:ascii="Times New Roman" w:hAnsi="Times New Roman"/>
          <w:b w:val="false"/>
          <w:i w:val="false"/>
          <w:color w:val="000000"/>
          <w:sz w:val="22"/>
        </w:rPr>
        <w:t> </w:t>
      </w:r>
      <w:r>
        <w:rPr>
          <w:rFonts w:ascii="Times New Roman" w:hAnsi="Times New Roman"/>
          <w:b w:val="false"/>
          <w:i/>
          <w:color w:val="000000"/>
          <w:sz w:val="22"/>
        </w:rPr>
        <w:t xml:space="preserve">Discontinuing the election. </w:t>
      </w:r>
      <w:r>
        <w:rPr>
          <w:rFonts w:ascii="Times New Roman" w:hAnsi="Times New Roman"/>
          <w:b w:val="false"/>
          <w:i w:val="false"/>
          <w:color w:val="000000"/>
          <w:sz w:val="22"/>
        </w:rPr>
        <w:t>A combined group shall discontinue filing combined returns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investment subsidiaries cease to be subsidiaries of the parent financial institution. If on or before the beginning of the tax year the parent financial institution no longer owns an investment subsidiary, the group is not required or permitted to file combined returns. However, for combined groups that included more than one investment subsidiary, if at least one entity remains an investment subsidiary, the remaining group members must continue filing combined returns even after other investment subsidiaries have left the group. Reasons an investment subsidiary may cease to be a subsidiary of the parent for purposes of this 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financial institution no longer owns or controls the investment subsidiary previously included in the combined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subsidiary no longer meets the definition of investment subsidiary in Iowa Code section </w:t>
      </w:r>
      <w:hyperlink r:id="rId148">
        <w:r>
          <w:rPr>
            <w:rStyle w:val="Hyperlink"/>
            <w:rFonts w:ascii="Times New Roman" w:hAnsi="Times New Roman"/>
            <w:b w:val="false"/>
            <w:i w:val="false"/>
            <w:color w:val="000000"/>
            <w:sz w:val="22"/>
          </w:rPr>
          <w:t>422.61(2)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investment subsidiary ceases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entity ceases to be subject to Iowa franchise tax. If the parent entity ceases to be subject to Iowa franchise tax, for any reason, the group is no longer allowed to file a combined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common reasons a parent financial institution may no longer be subject to Iowa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financial institution is no longer doing business in Iowa as defined in </w:t>
      </w:r>
      <w:hyperlink r:id="rId149">
        <w:r>
          <w:rPr>
            <w:rStyle w:val="Hyperlink"/>
            <w:rFonts w:ascii="Times New Roman" w:hAnsi="Times New Roman"/>
            <w:b w:val="false"/>
            <w:i w:val="false"/>
            <w:color w:val="000000"/>
            <w:sz w:val="22"/>
          </w:rPr>
          <w:t>701—subrule 501.1(1)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entity changes in character such that it no longer meets the statutory definition of “financial institution” for Iowa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entity ceases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of the group that continue doing business in Iowa after the parent entity ceases to be subject to Iowa franchise tax may still be required to file Iowa income or franchise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finds separate returns would more clearly disclose the taxable income of the combined group. If the group believes that the filing of separate returns will more clearly disclose the taxable income of each member of the combined group, the group may apply to the director to discontinue filing combined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Applications to discontinue filing combined returns must be submitted not later than 90 days prior to the due date of the return, including extensions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Applications to discontinue filing consolidated returns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taxable income of both the group on a combined basis and each entity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clear statement of the reasons why separate returns would more clearly disclose Iowa taxable income. The mere fact that the group’s combined tax liability is greater or less than the sum of each member’s separate tax liabilities for a given year is not, by itself, a ground for discontinuance of combined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Submitting the application. Applications to discontinue combined filing under this paragraph must be submitted through GovConnectIowa or by mail to:</w:t>
      </w:r>
    </w:p>
    <w:p>
      <w:pPr>
        <w:spacing w:before="0" w:after="0"/>
        <w:ind w:left="120"/>
        <w:jc w:val="both"/>
      </w:pPr>
      <w:r>
        <w:rPr>
          <w:rFonts w:ascii="Times New Roman" w:hAnsi="Times New Roman"/>
          <w:b w:val="false"/>
          <w:i w:val="false"/>
          <w:color w:val="000000"/>
          <w:sz w:val="22"/>
        </w:rPr>
        <w:t xml:space="preserve">Policy Bureau - Research and Policy Division </w:t>
      </w:r>
    </w:p>
    <w:p>
      <w:pPr>
        <w:spacing w:before="0" w:after="0"/>
        <w:ind w:left="120"/>
        <w:jc w:val="both"/>
      </w:pPr>
      <w:r>
        <w:rPr>
          <w:rFonts w:ascii="Times New Roman" w:hAnsi="Times New Roman"/>
          <w:b w:val="false"/>
          <w:i w:val="false"/>
          <w:color w:val="000000"/>
          <w:sz w:val="22"/>
        </w:rPr>
        <w:t>Iowa Department of Revenue</w:t>
      </w:r>
    </w:p>
    <w:p>
      <w:pPr>
        <w:spacing w:before="0" w:after="0"/>
        <w:ind w:left="120"/>
        <w:jc w:val="both"/>
      </w:pPr>
      <w:r>
        <w:rPr>
          <w:rFonts w:ascii="Times New Roman" w:hAnsi="Times New Roman"/>
          <w:b w:val="false"/>
          <w:i w:val="false"/>
          <w:color w:val="000000"/>
          <w:sz w:val="22"/>
        </w:rPr>
        <w:t>P.O. Box 14467</w:t>
      </w:r>
    </w:p>
    <w:p>
      <w:pPr>
        <w:spacing w:before="0" w:after="0"/>
        <w:ind w:left="120"/>
        <w:jc w:val="both"/>
      </w:pPr>
      <w:r>
        <w:rPr>
          <w:rFonts w:ascii="Times New Roman" w:hAnsi="Times New Roman"/>
          <w:b w:val="false"/>
          <w:i w:val="false"/>
          <w:color w:val="000000"/>
          <w:sz w:val="22"/>
        </w:rPr>
        <w:t>Des Moines, Iowa 50306-3467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602.33(4)</w:t>
      </w:r>
      <w:r>
        <w:rPr>
          <w:rFonts w:ascii="Times New Roman" w:hAnsi="Times New Roman"/>
          <w:b w:val="false"/>
          <w:i w:val="false"/>
          <w:color w:val="000000"/>
          <w:sz w:val="22"/>
        </w:rPr>
        <w:t> </w:t>
      </w:r>
      <w:r>
        <w:rPr>
          <w:rFonts w:ascii="Times New Roman" w:hAnsi="Times New Roman"/>
          <w:b w:val="false"/>
          <w:i/>
          <w:color w:val="000000"/>
          <w:sz w:val="22"/>
        </w:rPr>
        <w:t xml:space="preserve">Filing combined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Filed by parent financial institution. </w:t>
      </w:r>
      <w:r>
        <w:rPr>
          <w:rFonts w:ascii="Times New Roman" w:hAnsi="Times New Roman"/>
          <w:b w:val="false"/>
          <w:i w:val="false"/>
          <w:color w:val="000000"/>
          <w:sz w:val="22"/>
        </w:rPr>
        <w:t>The combined return must be filed under the name and federal employer identification number of the parent financial institution that is subject to Iowa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filing and signing. </w:t>
      </w:r>
      <w:r>
        <w:rPr>
          <w:rFonts w:ascii="Times New Roman" w:hAnsi="Times New Roman"/>
          <w:b w:val="false"/>
          <w:i w:val="false"/>
          <w:color w:val="000000"/>
          <w:sz w:val="22"/>
        </w:rPr>
        <w:t>The return must be filed and signed on behalf of the combined group by an officer or employee of the parent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All members of the combined group are required to have the same tax year as the parent financial institution. The combined return is due on or before the statutory due date for the parent financial institution, including extensions.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602.33(5)</w:t>
      </w:r>
      <w:r>
        <w:rPr>
          <w:rFonts w:ascii="Times New Roman" w:hAnsi="Times New Roman"/>
          <w:b w:val="false"/>
          <w:i w:val="false"/>
          <w:color w:val="000000"/>
          <w:sz w:val="22"/>
        </w:rPr>
        <w:t> </w:t>
      </w:r>
      <w:r>
        <w:rPr>
          <w:rFonts w:ascii="Times New Roman" w:hAnsi="Times New Roman"/>
          <w:b w:val="false"/>
          <w:i/>
          <w:color w:val="000000"/>
          <w:sz w:val="22"/>
        </w:rPr>
        <w:t xml:space="preserve">Combined group net income calculation. </w:t>
      </w:r>
      <w:r>
        <w:rPr>
          <w:rFonts w:ascii="Times New Roman" w:hAnsi="Times New Roman"/>
          <w:b w:val="false"/>
          <w:i w:val="false"/>
          <w:color w:val="000000"/>
          <w:sz w:val="22"/>
        </w:rPr>
        <w:t>The combined group calculates its Iowa net income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Total combined income or loss. </w:t>
      </w:r>
      <w:r>
        <w:rPr>
          <w:rFonts w:ascii="Times New Roman" w:hAnsi="Times New Roman"/>
          <w:b w:val="false"/>
          <w:i w:val="false"/>
          <w:color w:val="000000"/>
          <w:sz w:val="22"/>
        </w:rPr>
        <w:t>The total combined group income or loss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of the combined group determines its separate income or loss by determining the member’s taxable income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on a separate entity basis, after making adjustments required under Iowa Code section </w:t>
      </w:r>
      <w:hyperlink r:id="rId150">
        <w:r>
          <w:rPr>
            <w:rStyle w:val="Hyperlink"/>
            <w:rFonts w:ascii="Times New Roman" w:hAnsi="Times New Roman"/>
            <w:b w:val="false"/>
            <w:i w:val="false"/>
            <w:color w:val="000000"/>
            <w:sz w:val="22"/>
          </w:rPr>
          <w:t>422.61(3)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in these rules, or by instructions on the required tax return and supporting schedules, income or loss of the members as determined under subparagraph </w:t>
      </w:r>
      <w:hyperlink r:id="rId151">
        <w:r>
          <w:rPr>
            <w:rStyle w:val="Hyperlink"/>
            <w:rFonts w:ascii="Times New Roman" w:hAnsi="Times New Roman"/>
            <w:b w:val="false"/>
            <w:i w:val="false"/>
            <w:color w:val="000000"/>
            <w:sz w:val="22"/>
          </w:rPr>
          <w:t>602.33(5)</w:t>
        </w:r>
      </w:hyperlink>
      <w:r>
        <w:rPr>
          <w:rFonts w:ascii="Times New Roman" w:hAnsi="Times New Roman"/>
          <w:b w:val="false"/>
          <w:i/>
          <w:color w:val="000000"/>
          <w:sz w:val="22"/>
        </w:rPr>
        <w:t>“a”</w:t>
      </w:r>
      <w:r>
        <w:rPr>
          <w:rFonts w:ascii="Times New Roman" w:hAnsi="Times New Roman"/>
          <w:b w:val="false"/>
          <w:i w:val="false"/>
          <w:color w:val="000000"/>
          <w:sz w:val="22"/>
        </w:rPr>
        <w:t xml:space="preserve">(1) are combined, eliminating items of income, expense, gain, and loss from transactions between members of the combined group, applying the consolidated filing rules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defined in Iowa Code section </w:t>
      </w:r>
      <w:hyperlink r:id="rId152">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rule </w:t>
      </w:r>
      <w:hyperlink r:id="rId153">
        <w:r>
          <w:rPr>
            <w:rStyle w:val="Hyperlink"/>
            <w:rFonts w:ascii="Times New Roman" w:hAnsi="Times New Roman"/>
            <w:b w:val="false"/>
            <w:i w:val="false"/>
            <w:color w:val="000000"/>
            <w:sz w:val="22"/>
          </w:rPr>
          <w:t>701—502.15</w:t>
        </w:r>
      </w:hyperlink>
      <w:r>
        <w:rPr>
          <w:rFonts w:ascii="Times New Roman" w:hAnsi="Times New Roman"/>
          <w:b w:val="false"/>
          <w:i w:val="false"/>
          <w:color w:val="000000"/>
          <w:sz w:val="22"/>
        </w:rPr>
        <w:t>(422), as if the combined group were a consolidated filing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Net operating loss (NOL) deduction. </w:t>
      </w:r>
      <w:r>
        <w:rPr>
          <w:rFonts w:ascii="Times New Roman" w:hAnsi="Times New Roman"/>
          <w:b w:val="false"/>
          <w:i w:val="false"/>
          <w:color w:val="000000"/>
          <w:sz w:val="22"/>
        </w:rPr>
        <w:t>The starting point for Iowa taxable income is federal taxable income, which includes the application of the federal net operating loss deduction,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NOL calculation. The combined group must calculate its NOL deduction, if any, by applying the applicable rules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defined in Iowa Code section </w:t>
      </w:r>
      <w:hyperlink r:id="rId154">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rule </w:t>
      </w:r>
      <w:hyperlink r:id="rId155">
        <w:r>
          <w:rPr>
            <w:rStyle w:val="Hyperlink"/>
            <w:rFonts w:ascii="Times New Roman" w:hAnsi="Times New Roman"/>
            <w:b w:val="false"/>
            <w:i w:val="false"/>
            <w:color w:val="000000"/>
            <w:sz w:val="22"/>
          </w:rPr>
          <w:t>701—502.15</w:t>
        </w:r>
      </w:hyperlink>
      <w:r>
        <w:rPr>
          <w:rFonts w:ascii="Times New Roman" w:hAnsi="Times New Roman"/>
          <w:b w:val="false"/>
          <w:i w:val="false"/>
          <w:color w:val="000000"/>
          <w:sz w:val="22"/>
        </w:rPr>
        <w:t xml:space="preserve">(422) as if the combined group were filing a consolidated federal income tax return. The combined group net income should then be adjusted by this combined group federal net operating loss deduction, if any, subject to the adjustments in numbered paragraph </w:t>
      </w:r>
      <w:hyperlink r:id="rId156">
        <w:r>
          <w:rPr>
            <w:rStyle w:val="Hyperlink"/>
            <w:rFonts w:ascii="Times New Roman" w:hAnsi="Times New Roman"/>
            <w:b w:val="false"/>
            <w:i w:val="false"/>
            <w:color w:val="000000"/>
            <w:sz w:val="22"/>
          </w:rPr>
          <w:t>602.33(5)</w:t>
        </w:r>
      </w:hyperlink>
      <w:r>
        <w:rPr>
          <w:rFonts w:ascii="Times New Roman" w:hAnsi="Times New Roman"/>
          <w:b w:val="false"/>
          <w:i/>
          <w:color w:val="000000"/>
          <w:sz w:val="22"/>
        </w:rPr>
        <w:t>“b”</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adjustments are required for pre-2023 federal and Iowa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Add back to the extent included in the calculation under subparagraph </w:t>
      </w:r>
      <w:hyperlink r:id="rId157">
        <w:r>
          <w:rPr>
            <w:rStyle w:val="Hyperlink"/>
            <w:rFonts w:ascii="Times New Roman" w:hAnsi="Times New Roman"/>
            <w:b w:val="false"/>
            <w:i w:val="false"/>
            <w:color w:val="000000"/>
            <w:sz w:val="22"/>
          </w:rPr>
          <w:t>602.33(5)</w:t>
        </w:r>
      </w:hyperlink>
      <w:r>
        <w:rPr>
          <w:rFonts w:ascii="Times New Roman" w:hAnsi="Times New Roman"/>
          <w:b w:val="false"/>
          <w:i/>
          <w:color w:val="000000"/>
          <w:sz w:val="22"/>
        </w:rPr>
        <w:t>“a”</w:t>
      </w:r>
      <w:r>
        <w:rPr>
          <w:rFonts w:ascii="Times New Roman" w:hAnsi="Times New Roman"/>
          <w:b w:val="false"/>
          <w:i w:val="false"/>
          <w:color w:val="000000"/>
          <w:sz w:val="22"/>
        </w:rPr>
        <w:t>(1) any federal net operating loss deduction attributable to losses incurred in a tax year beginning prior to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Subtract from the income attributable to Iowa, to the extent available, any Iowa net operating loss carryovers attributable to the parent or any investment subsidiary included in the group from a year beginning prior to January 1, 2023.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602.33(6)</w:t>
      </w:r>
      <w:r>
        <w:rPr>
          <w:rFonts w:ascii="Times New Roman" w:hAnsi="Times New Roman"/>
          <w:b w:val="false"/>
          <w:i w:val="false"/>
          <w:color w:val="000000"/>
          <w:sz w:val="22"/>
        </w:rPr>
        <w:t> </w:t>
      </w:r>
      <w:r>
        <w:rPr>
          <w:rFonts w:ascii="Times New Roman" w:hAnsi="Times New Roman"/>
          <w:b w:val="false"/>
          <w:i/>
          <w:color w:val="000000"/>
          <w:sz w:val="22"/>
        </w:rPr>
        <w:t xml:space="preserve">Allocation and apportionment of combined group income. </w:t>
      </w:r>
      <w:r>
        <w:rPr>
          <w:rFonts w:ascii="Times New Roman" w:hAnsi="Times New Roman"/>
          <w:b w:val="false"/>
          <w:i w:val="false"/>
          <w:color w:val="000000"/>
          <w:sz w:val="22"/>
        </w:rPr>
        <w:t xml:space="preserve">Determine combined group business income or loss by eliminating from the amount determined in subrule </w:t>
      </w:r>
      <w:hyperlink r:id="rId158">
        <w:r>
          <w:rPr>
            <w:rStyle w:val="Hyperlink"/>
            <w:rFonts w:ascii="Times New Roman" w:hAnsi="Times New Roman"/>
            <w:b w:val="false"/>
            <w:i w:val="false"/>
            <w:color w:val="000000"/>
            <w:sz w:val="22"/>
          </w:rPr>
          <w:t>602.33(5)</w:t>
        </w:r>
      </w:hyperlink>
      <w:r>
        <w:rPr>
          <w:rFonts w:ascii="Times New Roman" w:hAnsi="Times New Roman"/>
          <w:b w:val="false"/>
          <w:i w:val="false"/>
          <w:color w:val="000000"/>
          <w:sz w:val="22"/>
        </w:rPr>
        <w:t xml:space="preserve"> any nonbusiness income or loss or item of nonbusiness income, expense, gain,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Apportionment of business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Combined group apportionment factor. The combined group apportionment factor is a percentage determined under rules </w:t>
      </w:r>
      <w:hyperlink r:id="rId159">
        <w:r>
          <w:rPr>
            <w:rStyle w:val="Hyperlink"/>
            <w:rFonts w:ascii="Times New Roman" w:hAnsi="Times New Roman"/>
            <w:b w:val="false"/>
            <w:i w:val="false"/>
            <w:color w:val="000000"/>
            <w:sz w:val="22"/>
          </w:rPr>
          <w:t>701—602.27</w:t>
        </w:r>
      </w:hyperlink>
      <w:r>
        <w:rPr>
          <w:rFonts w:ascii="Times New Roman" w:hAnsi="Times New Roman"/>
          <w:b w:val="false"/>
          <w:i w:val="false"/>
          <w:color w:val="000000"/>
          <w:sz w:val="22"/>
        </w:rPr>
        <w:t xml:space="preserve">(422) and </w:t>
      </w:r>
      <w:hyperlink r:id="rId160">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 where the numerator of the factor includes amounts sourced to the state for the combined group’s unitary business, regardless of the separate entity to which those factors may be attributed, and the denominator of the factor includes amounts associated with the combined group’s unitary business, wherever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Separate entity apportionment factor. Except as provided in paragraph </w:t>
      </w:r>
      <w:hyperlink r:id="rId161">
        <w:r>
          <w:rPr>
            <w:rStyle w:val="Hyperlink"/>
            <w:rFonts w:ascii="Times New Roman" w:hAnsi="Times New Roman"/>
            <w:b w:val="false"/>
            <w:i w:val="false"/>
            <w:color w:val="000000"/>
            <w:sz w:val="22"/>
          </w:rPr>
          <w:t>602.33(6)</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separate entity apportionment factor for a member of the combined group is a percentage determined under rules </w:t>
      </w:r>
      <w:hyperlink r:id="rId162">
        <w:r>
          <w:rPr>
            <w:rStyle w:val="Hyperlink"/>
            <w:rFonts w:ascii="Times New Roman" w:hAnsi="Times New Roman"/>
            <w:b w:val="false"/>
            <w:i w:val="false"/>
            <w:color w:val="000000"/>
            <w:sz w:val="22"/>
          </w:rPr>
          <w:t>701—602.27</w:t>
        </w:r>
      </w:hyperlink>
      <w:r>
        <w:rPr>
          <w:rFonts w:ascii="Times New Roman" w:hAnsi="Times New Roman"/>
          <w:b w:val="false"/>
          <w:i w:val="false"/>
          <w:color w:val="000000"/>
          <w:sz w:val="22"/>
        </w:rPr>
        <w:t xml:space="preserve">(422) and </w:t>
      </w:r>
      <w:hyperlink r:id="rId163">
        <w:r>
          <w:rPr>
            <w:rStyle w:val="Hyperlink"/>
            <w:rFonts w:ascii="Times New Roman" w:hAnsi="Times New Roman"/>
            <w:b w:val="false"/>
            <w:i w:val="false"/>
            <w:color w:val="000000"/>
            <w:sz w:val="22"/>
          </w:rPr>
          <w:t>701—602.28</w:t>
        </w:r>
      </w:hyperlink>
      <w:r>
        <w:rPr>
          <w:rFonts w:ascii="Times New Roman" w:hAnsi="Times New Roman"/>
          <w:b w:val="false"/>
          <w:i w:val="false"/>
          <w:color w:val="000000"/>
          <w:sz w:val="22"/>
        </w:rPr>
        <w:t>(422) where the numerator of the factor includes amounts sourced to the state for the member and the denominator of the factor includes amounts associated with the combined group’s unitary business, wherever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member of the combined group holds a partnership interest from which it derives apportionable income, the share of the partnership’s apportionment factor(s) to be included in the apportionment factor(s) of the group is determined by multiplying the partnership’s factor(s) by a ratio the numerator of which is the amount of the partnership’s apportionable income properly included in the member’s income, and including any guaranteed payments, and the denominator of which is the amount of the partnership’s total apportionable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of nonbusiness income. </w:t>
      </w:r>
      <w:r>
        <w:rPr>
          <w:rFonts w:ascii="Times New Roman" w:hAnsi="Times New Roman"/>
          <w:b w:val="false"/>
          <w:i w:val="false"/>
          <w:color w:val="000000"/>
          <w:sz w:val="22"/>
        </w:rPr>
        <w:t xml:space="preserve">Determine the amount of any combined group nonbusiness items of income, expense, gain or loss not apportioned under paragraph </w:t>
      </w:r>
      <w:hyperlink r:id="rId164">
        <w:r>
          <w:rPr>
            <w:rStyle w:val="Hyperlink"/>
            <w:rFonts w:ascii="Times New Roman" w:hAnsi="Times New Roman"/>
            <w:b w:val="false"/>
            <w:i w:val="false"/>
            <w:color w:val="000000"/>
            <w:sz w:val="22"/>
          </w:rPr>
          <w:t>602.33(6)</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are allocable to the state under Iowa Code sections </w:t>
      </w:r>
      <w:hyperlink r:id="rId165">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422.63(1)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Combined group commercial domicile. </w:t>
      </w:r>
      <w:r>
        <w:rPr>
          <w:rFonts w:ascii="Times New Roman" w:hAnsi="Times New Roman"/>
          <w:b w:val="false"/>
          <w:i w:val="false"/>
          <w:color w:val="000000"/>
          <w:sz w:val="22"/>
        </w:rPr>
        <w:t>Notwithstanding any other rule to the contrary, for purposes of determining where items of income for the combined group should be attributed, the commercial domicile of all investment subsidiaries is deemed to be that of the parent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602.33(7)</w:t>
      </w:r>
      <w:r>
        <w:rPr>
          <w:rFonts w:ascii="Times New Roman" w:hAnsi="Times New Roman"/>
          <w:b w:val="false"/>
          <w:i w:val="false"/>
          <w:color w:val="000000"/>
          <w:sz w:val="22"/>
        </w:rPr>
        <w:t> </w:t>
      </w:r>
      <w:r>
        <w:rPr>
          <w:rFonts w:ascii="Times New Roman" w:hAnsi="Times New Roman"/>
          <w:b w:val="false"/>
          <w:i/>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Franchise rates. </w:t>
      </w:r>
      <w:r>
        <w:rPr>
          <w:rFonts w:ascii="Times New Roman" w:hAnsi="Times New Roman"/>
          <w:b w:val="false"/>
          <w:i w:val="false"/>
          <w:color w:val="000000"/>
          <w:sz w:val="22"/>
        </w:rPr>
        <w:t xml:space="preserve">The tax liability for the combined group shall be imposed on the group’s combined income as calculated under this rule and determined according to the Iowa franchise tax rate provided in Iowa Code section </w:t>
      </w:r>
      <w:hyperlink r:id="rId167">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Liability for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institution and each investment subsidiary included on the combined return shall be severally liable for the tax for the year computed in accordance with Iowa Code chapter </w:t>
      </w:r>
      <w:hyperlink r:id="rId16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on or before the due date (not including extensions of time) for the filing of the combined return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investment subsidiary has ceased to be a member of the group and if the cessation resulted from a bona fide sale or exchange of the parent’s interest in the subsidiary for fair value that occurred prior to the date upon which any deficiency is assessed, the director may make an assessment and collection of the deficiency from the former subsidiary in an amount not exceeding the portion of the deficiency that the director may determine to be allocable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agreement entered into by one or more members of the affiliated group with any other member of the group shall in any case have the effect of reducing the liability prescribed under this subrule.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9">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0028D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Rules </w:t>
      </w:r>
      <w:hyperlink r:id="rId170">
        <w:r>
          <w:rPr>
            <w:rStyle w:val="Hyperlink"/>
            <w:rFonts w:ascii="Times New Roman" w:hAnsi="Times New Roman"/>
            <w:b w:val="false"/>
            <w:i w:val="false"/>
            <w:color w:val="000000"/>
            <w:sz w:val="22"/>
          </w:rPr>
          <w:t>701—59.25(422)</w:t>
        </w:r>
      </w:hyperlink>
      <w:r>
        <w:rPr>
          <w:rFonts w:ascii="Times New Roman" w:hAnsi="Times New Roman"/>
          <w:b w:val="false"/>
          <w:i w:val="false"/>
          <w:color w:val="000000"/>
          <w:sz w:val="22"/>
        </w:rPr>
        <w:t xml:space="preserve"> to </w:t>
      </w:r>
      <w:hyperlink r:id="rId171">
        <w:r>
          <w:rPr>
            <w:rStyle w:val="Hyperlink"/>
            <w:rFonts w:ascii="Times New Roman" w:hAnsi="Times New Roman"/>
            <w:b w:val="false"/>
            <w:i w:val="false"/>
            <w:color w:val="000000"/>
            <w:sz w:val="22"/>
          </w:rPr>
          <w:t>701—59.29(422)</w:t>
        </w:r>
      </w:hyperlink>
      <w:r>
        <w:rPr>
          <w:rFonts w:ascii="Times New Roman" w:hAnsi="Times New Roman"/>
          <w:b w:val="false"/>
          <w:i w:val="false"/>
          <w:color w:val="000000"/>
          <w:sz w:val="22"/>
        </w:rPr>
        <w:t xml:space="preserve"> are effective for tax years beginning on or after June 1, 1989.</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1/19/83—published 2/16/83, effective 1/19/83]</w:t>
      </w:r>
    </w:p>
    <w:p>
      <w:pPr>
        <w:spacing w:before="0" w:after="0"/>
        <w:ind w:left="120"/>
        <w:jc w:val="center"/>
      </w:pPr>
      <w:r>
        <w:rPr>
          <w:rFonts w:ascii="Times New Roman" w:hAnsi="Times New Roman"/>
          <w:b w:val="false"/>
          <w:i w:val="false"/>
          <w:color w:val="000000"/>
          <w:sz w:val="21"/>
        </w:rPr>
        <w:t>[Filed emergency 6/3/83—published 6/22/83, effective 6/3/83]</w:t>
      </w:r>
    </w:p>
    <w:p>
      <w:pPr>
        <w:spacing w:before="0" w:after="0"/>
        <w:ind w:left="120"/>
        <w:jc w:val="center"/>
      </w:pPr>
      <w:r>
        <w:rPr>
          <w:rFonts w:ascii="Times New Roman" w:hAnsi="Times New Roman"/>
          <w:b w:val="false"/>
          <w:i w:val="false"/>
          <w:color w:val="000000"/>
          <w:sz w:val="21"/>
        </w:rPr>
        <w:t>[Filed 3/23/84, Notice 2/15/84—published 4/11/84, effective 5/16/84]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6/8/89, Notice 5/3/89—published 6/28/89, effective 8/2/89]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9/13/90, Notice 8/8/90—published 10/3/90, effective 11/7/90]</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7/2/92, Notice 5/27/92—published 7/22/92, effective 8/26/92]</w:t>
      </w:r>
    </w:p>
    <w:p>
      <w:pPr>
        <w:spacing w:before="0" w:after="0"/>
        <w:ind w:left="120"/>
        <w:jc w:val="center"/>
      </w:pPr>
      <w:r>
        <w:rPr>
          <w:rFonts w:ascii="Times New Roman" w:hAnsi="Times New Roman"/>
          <w:b w:val="false"/>
          <w:i w:val="false"/>
          <w:color w:val="000000"/>
          <w:sz w:val="21"/>
        </w:rPr>
        <w:t>[Filed 9/11/92, Notice 8/5/92—published 9/30/92, effective 11/4/92]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6/22/00, Notice 5/17/00—published 7/12/00, effective 8/16/00]</w:t>
      </w:r>
    </w:p>
    <w:p>
      <w:pPr>
        <w:spacing w:before="0" w:after="0"/>
        <w:ind w:left="120"/>
        <w:jc w:val="center"/>
      </w:pPr>
      <w:r>
        <w:rPr>
          <w:rFonts w:ascii="Times New Roman" w:hAnsi="Times New Roman"/>
          <w:b w:val="false"/>
          <w:i w:val="false"/>
          <w:color w:val="000000"/>
          <w:sz w:val="21"/>
        </w:rPr>
        <w:t>[Filed 8/16/01, Notice 7/11/01—published 9/5/01, effective 10/10/01]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emergency 2/25/05—published 3/16/05, effective 2/25/05]</w:t>
      </w:r>
    </w:p>
    <w:p>
      <w:pPr>
        <w:spacing w:before="0" w:after="0"/>
        <w:ind w:left="120"/>
        <w:jc w:val="center"/>
      </w:pPr>
      <w:r>
        <w:rPr>
          <w:rFonts w:ascii="Times New Roman" w:hAnsi="Times New Roman"/>
          <w:b w:val="false"/>
          <w:i w:val="false"/>
          <w:color w:val="000000"/>
          <w:sz w:val="21"/>
        </w:rPr>
        <w:t>[Filed 9/22/05, Notice 8/3/05—published 10/12/05, effective 11/16/05]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4142C</w:t>
      </w:r>
      <w:r>
        <w:rPr>
          <w:rFonts w:ascii="Times New Roman" w:hAnsi="Times New Roman"/>
          <w:b w:val="false"/>
          <w:i w:val="false"/>
          <w:color w:val="000000"/>
          <w:sz w:val="21"/>
        </w:rPr>
        <w:t xml:space="preserve"> (Notice ARC 4022C,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4517C</w:t>
      </w:r>
      <w:r>
        <w:rPr>
          <w:rFonts w:ascii="Times New Roman" w:hAnsi="Times New Roman"/>
          <w:b w:val="false"/>
          <w:i w:val="false"/>
          <w:color w:val="000000"/>
          <w:sz w:val="21"/>
        </w:rPr>
        <w:t xml:space="preserve"> (Notice ARC 4406C, IAB 4/24/19)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4614C</w:t>
      </w:r>
      <w:r>
        <w:rPr>
          <w:rFonts w:ascii="Times New Roman" w:hAnsi="Times New Roman"/>
          <w:b w:val="false"/>
          <w:i w:val="false"/>
          <w:color w:val="000000"/>
          <w:sz w:val="21"/>
        </w:rPr>
        <w:t xml:space="preserve"> (Notice ARC 4500C,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4955C</w:t>
      </w:r>
      <w:r>
        <w:rPr>
          <w:rFonts w:ascii="Times New Roman" w:hAnsi="Times New Roman"/>
          <w:b w:val="false"/>
          <w:i w:val="false"/>
          <w:color w:val="000000"/>
          <w:sz w:val="21"/>
        </w:rPr>
        <w:t xml:space="preserve"> (Notice ARC 4843C,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[Rescinded paragraph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5606C</w:t>
      </w:r>
      <w:r>
        <w:rPr>
          <w:rFonts w:ascii="Times New Roman" w:hAnsi="Times New Roman"/>
          <w:b w:val="false"/>
          <w:i w:val="false"/>
          <w:color w:val="000000"/>
          <w:sz w:val="21"/>
        </w:rPr>
        <w:t xml:space="preserve"> (Amended Notice ARC 5503C, IAB 3/10/21; </w:t>
      </w:r>
      <w:r>
        <w:rPr>
          <w:rFonts w:ascii="Times New Roman" w:hAnsi="Times New Roman"/>
          <w:b w:val="false"/>
          <w:i w:val="false"/>
          <w:color w:val="000000"/>
          <w:sz w:val="21"/>
        </w:rPr>
        <w:t>Notice ARC 5399C, IAB 1/27/21)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5733C</w:t>
      </w:r>
      <w:r>
        <w:rPr>
          <w:rFonts w:ascii="Times New Roman" w:hAnsi="Times New Roman"/>
          <w:b w:val="false"/>
          <w:i w:val="false"/>
          <w:color w:val="000000"/>
          <w:sz w:val="21"/>
        </w:rPr>
        <w:t xml:space="preserve"> (Notice ARC 5612C, IAB 5/5/21)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5817C, IAB 8/11/21, effective 7/13/21]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0028D</w:t>
      </w:r>
      <w:r>
        <w:rPr>
          <w:rFonts w:ascii="Times New Roman" w:hAnsi="Times New Roman"/>
          <w:b w:val="false"/>
          <w:i w:val="false"/>
          <w:color w:val="000000"/>
          <w:sz w:val="21"/>
        </w:rPr>
        <w:t xml:space="preserve"> (Notice ARC 9745C,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Paragraph 59.28(2)“p” rescinded by 2020 Iowa Acts, House File 2641, section 79, effective June 29, 2020.</w:t>
      </w:r>
    </w:p>
    <w:sectPr>
      <w:footerReference r:id="rId17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602.2.pdf" Type="http://schemas.openxmlformats.org/officeDocument/2006/relationships/hyperlink" Id="rId5"/>
    <Relationship TargetMode="External" Target="https://www.legis.iowa.gov/docs/iac/rule/701.602.13.pdf" Type="http://schemas.openxmlformats.org/officeDocument/2006/relationships/hyperlink" Id="rId6"/>
    <Relationship TargetMode="External" Target="https://www.legis.iowa.gov/docs/iac/rule/701.602.14.pdf" Type="http://schemas.openxmlformats.org/officeDocument/2006/relationships/hyperlink" Id="rId7"/>
    <Relationship TargetMode="External" Target="https://www.legis.iowa.gov/docs/iac/rule/701.602.24.pdf" Type="http://schemas.openxmlformats.org/officeDocument/2006/relationships/hyperlink" Id="rId8"/>
    <Relationship TargetMode="External" Target="https://www.legis.iowa.gov/docs/ico/chapter/422.35.pdf" Type="http://schemas.openxmlformats.org/officeDocument/2006/relationships/hyperlink" Id="rId9"/>
    <Relationship TargetMode="External" Target="https://www.legis.iowa.gov/docs/iac/rule/701.602.2.pdf" Type="http://schemas.openxmlformats.org/officeDocument/2006/relationships/hyperlink" Id="rId10"/>
    <Relationship TargetMode="External" Target="https://www.legis.iowa.gov/docs/iac/rule/701.602.2.pdf" Type="http://schemas.openxmlformats.org/officeDocument/2006/relationships/hyperlink" Id="rId11"/>
    <Relationship TargetMode="External" Target="https://www.legis.iowa.gov/docs/iac/rule/701.602.2.pdf" Type="http://schemas.openxmlformats.org/officeDocument/2006/relationships/hyperlink" Id="rId12"/>
    <Relationship TargetMode="External" Target="https://www.legis.iowa.gov/docs/iac/rule/701.602.2.pdf" Type="http://schemas.openxmlformats.org/officeDocument/2006/relationships/hyperlink" Id="rId13"/>
    <Relationship TargetMode="External" Target="https://www.legis.iowa.gov/docs/iac/rule/701.602.25.pdf" Type="http://schemas.openxmlformats.org/officeDocument/2006/relationships/hyperlink" Id="rId14"/>
    <Relationship TargetMode="External" Target="https://www.legis.iowa.gov/docs/iac/rule/701.602.29.pdf" Type="http://schemas.openxmlformats.org/officeDocument/2006/relationships/hyperlink" Id="rId15"/>
    <Relationship TargetMode="External" Target="https://www.legis.iowa.gov/docs/iac/rule/701.602.2.pdf" Type="http://schemas.openxmlformats.org/officeDocument/2006/relationships/hyperlink" Id="rId16"/>
    <Relationship TargetMode="External" Target="https://www.legis.iowa.gov/docs/iac/rule/701.602.2.pdf" Type="http://schemas.openxmlformats.org/officeDocument/2006/relationships/hyperlink" Id="rId17"/>
    <Relationship TargetMode="External" Target="https://www.legis.iowa.gov/docs/iac/rule/701.602.2.pdf" Type="http://schemas.openxmlformats.org/officeDocument/2006/relationships/hyperlink" Id="rId18"/>
    <Relationship TargetMode="External" Target="https://www.legis.iowa.gov/docs/ico/chapter/422.35.pdf" Type="http://schemas.openxmlformats.org/officeDocument/2006/relationships/hyperlink" Id="rId19"/>
    <Relationship TargetMode="External" Target="https://www.legis.iowa.gov/docs/ico/chapter/422.61.pdf" Type="http://schemas.openxmlformats.org/officeDocument/2006/relationships/hyperlink" Id="rId20"/>
    <Relationship TargetMode="External" Target="https://www.legis.iowa.gov/docs/ico/chapter/422.63.pdf" Type="http://schemas.openxmlformats.org/officeDocument/2006/relationships/hyperlink" Id="rId21"/>
    <Relationship TargetMode="External" Target="https://www.legis.iowa.gov/docs/ico/chapter/422.35.pdf" Type="http://schemas.openxmlformats.org/officeDocument/2006/relationships/hyperlink" Id="rId22"/>
    <Relationship TargetMode="External" Target="https://www.legis.iowa.gov/docs/ico/chapter/422.61.pdf" Type="http://schemas.openxmlformats.org/officeDocument/2006/relationships/hyperlink" Id="rId23"/>
    <Relationship TargetMode="External" Target="https://www.legis.iowa.gov/docs/ico/chapter/422.35.pdf" Type="http://schemas.openxmlformats.org/officeDocument/2006/relationships/hyperlink" Id="rId24"/>
    <Relationship TargetMode="External" Target="https://www.legis.iowa.gov/docs/ico/chapter/422.61.pdf" Type="http://schemas.openxmlformats.org/officeDocument/2006/relationships/hyperlink" Id="rId25"/>
    <Relationship TargetMode="External" Target="https://www.legis.iowa.gov/docs/ico/chapter/422.61.pdf" Type="http://schemas.openxmlformats.org/officeDocument/2006/relationships/hyperlink" Id="rId26"/>
    <Relationship TargetMode="External" Target="https://www.legis.iowa.gov/docs/ico/chapter/422.35.pdf" Type="http://schemas.openxmlformats.org/officeDocument/2006/relationships/hyperlink" Id="rId27"/>
    <Relationship TargetMode="External" Target="https://www.legis.iowa.gov/docs/ico/chapter/422.61.pdf" Type="http://schemas.openxmlformats.org/officeDocument/2006/relationships/hyperlink" Id="rId28"/>
    <Relationship TargetMode="External" Target="https://www.legis.iowa.gov/docs/ico/chapter/422.35.pdf" Type="http://schemas.openxmlformats.org/officeDocument/2006/relationships/hyperlink" Id="rId29"/>
    <Relationship TargetMode="External" Target="https://www.legis.iowa.gov/docs/ico/chapter/422.61.pdf" Type="http://schemas.openxmlformats.org/officeDocument/2006/relationships/hyperlink" Id="rId30"/>
    <Relationship TargetMode="External" Target="https://www.legis.iowa.gov/docs/iac/rule/701.602.8.pdf" Type="http://schemas.openxmlformats.org/officeDocument/2006/relationships/hyperlink" Id="rId31"/>
    <Relationship TargetMode="External" Target="https://www.legis.iowa.gov/docs/ico/chapter/906.pdf" Type="http://schemas.openxmlformats.org/officeDocument/2006/relationships/hyperlink" Id="rId32"/>
    <Relationship TargetMode="External" Target="https://www.legis.iowa.gov/docs/ico/chapter/907.pdf" Type="http://schemas.openxmlformats.org/officeDocument/2006/relationships/hyperlink" Id="rId33"/>
    <Relationship TargetMode="External" Target="https://www.legis.iowa.gov/docs/ico/chapter/904.pdf" Type="http://schemas.openxmlformats.org/officeDocument/2006/relationships/hyperlink" Id="rId34"/>
    <Relationship TargetMode="External" Target="https://www.legis.iowa.gov/docs/ico/chapter/907A.1.pdf" Type="http://schemas.openxmlformats.org/officeDocument/2006/relationships/hyperlink" Id="rId35"/>
    <Relationship TargetMode="External" Target="https://www.legis.iowa.gov/docs/iac/rule/701.502.11.pdf" Type="http://schemas.openxmlformats.org/officeDocument/2006/relationships/hyperlink" Id="rId36"/>
    <Relationship TargetMode="External" Target="https://www.legis.iowa.gov/docs/ico/chapter/906.pdf" Type="http://schemas.openxmlformats.org/officeDocument/2006/relationships/hyperlink" Id="rId37"/>
    <Relationship TargetMode="External" Target="https://www.legis.iowa.gov/docs/ico/chapter/907.pdf" Type="http://schemas.openxmlformats.org/officeDocument/2006/relationships/hyperlink" Id="rId38"/>
    <Relationship TargetMode="External" Target="https://www.legis.iowa.gov/docs/ico/chapter/904.pdf" Type="http://schemas.openxmlformats.org/officeDocument/2006/relationships/hyperlink" Id="rId39"/>
    <Relationship TargetMode="External" Target="https://www.legis.iowa.gov/docs/ico/chapter/907A.1.pdf" Type="http://schemas.openxmlformats.org/officeDocument/2006/relationships/hyperlink" Id="rId40"/>
    <Relationship TargetMode="External" Target="https://www.legis.iowa.gov/docs/ico/chapter/16.1.pdf" Type="http://schemas.openxmlformats.org/officeDocument/2006/relationships/hyperlink" Id="rId41"/>
    <Relationship TargetMode="External" Target="https://www.legis.iowa.gov/docs/ico/chapter/422.35.pdf" Type="http://schemas.openxmlformats.org/officeDocument/2006/relationships/hyperlink" Id="rId42"/>
    <Relationship TargetMode="External" Target="https://www.legis.iowa.gov/docs/ico/chapter/422.35.pdf" Type="http://schemas.openxmlformats.org/officeDocument/2006/relationships/hyperlink" Id="rId43"/>
    <Relationship TargetMode="External" Target="https://www.legis.iowa.gov/docs/ico/chapter/422.61.pdf" Type="http://schemas.openxmlformats.org/officeDocument/2006/relationships/hyperlink" Id="rId44"/>
    <Relationship TargetMode="External" Target="https://www.legis.iowa.gov/docs/iac/rule/701.602.10.pdf" Type="http://schemas.openxmlformats.org/officeDocument/2006/relationships/hyperlink" Id="rId45"/>
    <Relationship TargetMode="External" Target="https://www.legis.iowa.gov/docs/iac/rule/701.602.10.pdf" Type="http://schemas.openxmlformats.org/officeDocument/2006/relationships/hyperlink" Id="rId46"/>
    <Relationship TargetMode="External" Target="https://www.legis.iowa.gov/docs/iac/rule/701.602.23.pdf" Type="http://schemas.openxmlformats.org/officeDocument/2006/relationships/hyperlink" Id="rId47"/>
    <Relationship TargetMode="External" Target="https://www.legis.iowa.gov/docs/iac/rule/701.602.24.pdf" Type="http://schemas.openxmlformats.org/officeDocument/2006/relationships/hyperlink" Id="rId48"/>
    <Relationship TargetMode="External" Target="https://www.legis.iowa.gov/docs/iac/rule/701.602.23.pdf" Type="http://schemas.openxmlformats.org/officeDocument/2006/relationships/hyperlink" Id="rId49"/>
    <Relationship TargetMode="External" Target="https://www.legis.iowa.gov/docs/iac/rule/701.602.24.pdf" Type="http://schemas.openxmlformats.org/officeDocument/2006/relationships/hyperlink" Id="rId50"/>
    <Relationship TargetMode="External" Target="https://www.legis.iowa.gov/docs/iac/rule/701.602.24.pdf" Type="http://schemas.openxmlformats.org/officeDocument/2006/relationships/hyperlink" Id="rId51"/>
    <Relationship TargetMode="External" Target="https://www.legis.iowa.gov/docs/ico/chapter/422.35.pdf" Type="http://schemas.openxmlformats.org/officeDocument/2006/relationships/hyperlink" Id="rId52"/>
    <Relationship TargetMode="External" Target="https://www.legis.iowa.gov/docs/ico/chapter/422.61.pdf" Type="http://schemas.openxmlformats.org/officeDocument/2006/relationships/hyperlink" Id="rId53"/>
    <Relationship TargetMode="External" Target="https://www.legis.iowa.gov/docs/ico/chapter/422.61.pdf" Type="http://schemas.openxmlformats.org/officeDocument/2006/relationships/hyperlink" Id="rId54"/>
    <Relationship TargetMode="External" Target="https://www.legis.iowa.gov/docs/ico/chapter/422.35.pdf" Type="http://schemas.openxmlformats.org/officeDocument/2006/relationships/hyperlink" Id="rId55"/>
    <Relationship TargetMode="External" Target="https://www.legis.iowa.gov/docs/ico/chapter/422.61.pdf" Type="http://schemas.openxmlformats.org/officeDocument/2006/relationships/hyperlink" Id="rId56"/>
    <Relationship TargetMode="External" Target="https://www.legis.iowa.gov/docs/ico/chapter/422.61.pdf" Type="http://schemas.openxmlformats.org/officeDocument/2006/relationships/hyperlink" Id="rId57"/>
    <Relationship TargetMode="External" Target="https://www.legis.iowa.gov/docs/ico/chapter/422.35.pdf" Type="http://schemas.openxmlformats.org/officeDocument/2006/relationships/hyperlink" Id="rId58"/>
    <Relationship TargetMode="External" Target="https://www.legis.iowa.gov/docs/ico/chapter/422.61.pdf" Type="http://schemas.openxmlformats.org/officeDocument/2006/relationships/hyperlink" Id="rId59"/>
    <Relationship TargetMode="External" Target="https://www.legis.iowa.gov/docs/ico/chapter/422.32.pdf" Type="http://schemas.openxmlformats.org/officeDocument/2006/relationships/hyperlink" Id="rId60"/>
    <Relationship TargetMode="External" Target="https://www.legis.iowa.gov/docs/ico/chapter/421.14.pdf" Type="http://schemas.openxmlformats.org/officeDocument/2006/relationships/hyperlink" Id="rId61"/>
    <Relationship TargetMode="External" Target="https://www.legis.iowa.gov/docs/ico/chapter/422.68.pdf" Type="http://schemas.openxmlformats.org/officeDocument/2006/relationships/hyperlink" Id="rId62"/>
    <Relationship TargetMode="External" Target="https://www.legis.iowa.gov/docs/ico/chapter/422.35.pdf" Type="http://schemas.openxmlformats.org/officeDocument/2006/relationships/hyperlink" Id="rId63"/>
    <Relationship TargetMode="External" Target="https://www.legis.iowa.gov/docs/ico/chapter/422.61.pdf" Type="http://schemas.openxmlformats.org/officeDocument/2006/relationships/hyperlink" Id="rId64"/>
    <Relationship TargetMode="External" Target="https://www.legis.iowa.gov/docs/iac/rule/701.601.13.pdf" Type="http://schemas.openxmlformats.org/officeDocument/2006/relationships/hyperlink" Id="rId65"/>
    <Relationship TargetMode="External" Target="https://www.legis.iowa.gov/docs/ico/chapter/15E.305.pdf" Type="http://schemas.openxmlformats.org/officeDocument/2006/relationships/hyperlink" Id="rId66"/>
    <Relationship TargetMode="External" Target="https://www.legis.iowa.gov/docs/ico/chapter/427.1.pdf" Type="http://schemas.openxmlformats.org/officeDocument/2006/relationships/hyperlink" Id="rId67"/>
    <Relationship TargetMode="External" Target="https://www.legis.iowa.gov/docs/ico/chapter/422.35.pdf" Type="http://schemas.openxmlformats.org/officeDocument/2006/relationships/hyperlink" Id="rId68"/>
    <Relationship TargetMode="External" Target="https://www.legis.iowa.gov/docs/ico/chapter/422.63.pdf" Type="http://schemas.openxmlformats.org/officeDocument/2006/relationships/hyperlink" Id="rId69"/>
    <Relationship TargetMode="External" Target="https://www.legis.iowa.gov/docs/ico/chapter/321.124.pdf" Type="http://schemas.openxmlformats.org/officeDocument/2006/relationships/hyperlink" Id="rId70"/>
    <Relationship TargetMode="External" Target="https://www.legis.iowa.gov/docs/ico/chapter/422.35.pdf" Type="http://schemas.openxmlformats.org/officeDocument/2006/relationships/hyperlink" Id="rId71"/>
    <Relationship TargetMode="External" Target="https://www.legis.iowa.gov/docs/ico/chapter/422.61.pdf" Type="http://schemas.openxmlformats.org/officeDocument/2006/relationships/hyperlink" Id="rId72"/>
    <Relationship TargetMode="External" Target="https://www.legis.iowa.gov/docs/iac/rule/701.602.33.pdf" Type="http://schemas.openxmlformats.org/officeDocument/2006/relationships/hyperlink" Id="rId73"/>
    <Relationship TargetMode="External" Target="https://www.legis.iowa.gov/docs/ico/chapter/422.61.pdf" Type="http://schemas.openxmlformats.org/officeDocument/2006/relationships/hyperlink" Id="rId74"/>
    <Relationship TargetMode="External" Target="https://www.legis.iowa.gov/docs/ico/chapter/524.pdf" Type="http://schemas.openxmlformats.org/officeDocument/2006/relationships/hyperlink" Id="rId75"/>
    <Relationship TargetMode="External" Target="https://www.legis.iowa.gov/docs/ico/chapter/422.61.pdf" Type="http://schemas.openxmlformats.org/officeDocument/2006/relationships/hyperlink" Id="rId76"/>
    <Relationship TargetMode="External" Target="https://www.legis.iowa.gov/docs/ico/chapter/422.35.pdf" Type="http://schemas.openxmlformats.org/officeDocument/2006/relationships/hyperlink" Id="rId77"/>
    <Relationship TargetMode="External" Target="https://www.legis.iowa.gov/docs/ico/chapter/422.61.pdf" Type="http://schemas.openxmlformats.org/officeDocument/2006/relationships/hyperlink" Id="rId78"/>
    <Relationship TargetMode="External" Target="https://www.legis.iowa.gov/docs/iac/rule/701.53.22.pdf" Type="http://schemas.openxmlformats.org/officeDocument/2006/relationships/hyperlink" Id="rId79"/>
    <Relationship TargetMode="External" Target="https://www.legis.iowa.gov/docs/iac/rule/701.302.60.pdf" Type="http://schemas.openxmlformats.org/officeDocument/2006/relationships/hyperlink" Id="rId80"/>
    <Relationship TargetMode="External" Target="https://www.legis.iowa.gov/docs/iac/rule/701.502.22.pdf" Type="http://schemas.openxmlformats.org/officeDocument/2006/relationships/hyperlink" Id="rId81"/>
    <Relationship TargetMode="External" Target="https://www.legis.iowa.gov/docs/iac/rule/701.502.22.pdf" Type="http://schemas.openxmlformats.org/officeDocument/2006/relationships/hyperlink" Id="rId82"/>
    <Relationship TargetMode="External" Target="https://www.legis.iowa.gov/docs/ico/chapter/422.35.pdf" Type="http://schemas.openxmlformats.org/officeDocument/2006/relationships/hyperlink" Id="rId83"/>
    <Relationship TargetMode="External" Target="https://www.legis.iowa.gov/docs/ico/chapter/422.61.pdf" Type="http://schemas.openxmlformats.org/officeDocument/2006/relationships/hyperlink" Id="rId84"/>
    <Relationship TargetMode="External" Target="https://www.legis.iowa.gov/docs/iac/rule/701.302.65.pdf" Type="http://schemas.openxmlformats.org/officeDocument/2006/relationships/hyperlink" Id="rId85"/>
    <Relationship TargetMode="External" Target="https://www.legis.iowa.gov/docs/iac/rule/701.502.23.pdf" Type="http://schemas.openxmlformats.org/officeDocument/2006/relationships/hyperlink" Id="rId86"/>
    <Relationship TargetMode="External" Target="https://www.legis.iowa.gov/docs/iac/rule/701.602.24.pdf" Type="http://schemas.openxmlformats.org/officeDocument/2006/relationships/hyperlink" Id="rId87"/>
    <Relationship TargetMode="External" Target="https://www.legis.iowa.gov/docs/iac/rule/701.59.24.pdf" Type="http://schemas.openxmlformats.org/officeDocument/2006/relationships/hyperlink" Id="rId88"/>
    <Relationship TargetMode="External" Target="https://www.legis.iowa.gov/docs/iac/rule/701.602.24.pdf" Type="http://schemas.openxmlformats.org/officeDocument/2006/relationships/hyperlink" Id="rId89"/>
    <Relationship TargetMode="External" Target="https://www.legis.iowa.gov/docs/iac/rule/701.602.24.pdf" Type="http://schemas.openxmlformats.org/officeDocument/2006/relationships/hyperlink" Id="rId90"/>
    <Relationship TargetMode="External" Target="https://www.legis.iowa.gov/docs/iac/rule/701.302.65.pdf" Type="http://schemas.openxmlformats.org/officeDocument/2006/relationships/hyperlink" Id="rId91"/>
    <Relationship TargetMode="External" Target="https://www.legis.iowa.gov/docs/iac/rule/701.602.24.pdf" Type="http://schemas.openxmlformats.org/officeDocument/2006/relationships/hyperlink" Id="rId92"/>
    <Relationship TargetMode="External" Target="https://www.legis.iowa.gov/docs/iac/rule/701.602.24.pdf" Type="http://schemas.openxmlformats.org/officeDocument/2006/relationships/hyperlink" Id="rId93"/>
    <Relationship TargetMode="External" Target="https://www.legis.iowa.gov/docs/iac/rule/701.602.24.pdf" Type="http://schemas.openxmlformats.org/officeDocument/2006/relationships/hyperlink" Id="rId94"/>
    <Relationship TargetMode="External" Target="https://www.legis.iowa.gov/docs/iac/rule/701.602.24.pdf" Type="http://schemas.openxmlformats.org/officeDocument/2006/relationships/hyperlink" Id="rId95"/>
    <Relationship TargetMode="External" Target="https://www.legis.iowa.gov/docs/iac/rule/701.602.24.pdf" Type="http://schemas.openxmlformats.org/officeDocument/2006/relationships/hyperlink" Id="rId96"/>
    <Relationship TargetMode="External" Target="https://www.legis.iowa.gov/docs/iac/rule/701.302.65.pdf" Type="http://schemas.openxmlformats.org/officeDocument/2006/relationships/hyperlink" Id="rId97"/>
    <Relationship TargetMode="External" Target="https://www.legis.iowa.gov/docs/iac/rule/701.502.23.pdf" Type="http://schemas.openxmlformats.org/officeDocument/2006/relationships/hyperlink" Id="rId98"/>
    <Relationship TargetMode="External" Target="https://www.legis.iowa.gov/docs/iac/rule/701.602.24.pdf" Type="http://schemas.openxmlformats.org/officeDocument/2006/relationships/hyperlink" Id="rId99"/>
    <Relationship TargetMode="External" Target="https://www.legis.iowa.gov/docs/iac/rule/701.602.24.pdf" Type="http://schemas.openxmlformats.org/officeDocument/2006/relationships/hyperlink" Id="rId100"/>
    <Relationship TargetMode="External" Target="https://www.legis.iowa.gov/docs/iac/rule/701.602.24.pdf" Type="http://schemas.openxmlformats.org/officeDocument/2006/relationships/hyperlink" Id="rId101"/>
    <Relationship TargetMode="External" Target="https://www.legis.iowa.gov/docs/ico/chapter/422.35.pdf" Type="http://schemas.openxmlformats.org/officeDocument/2006/relationships/hyperlink" Id="rId102"/>
    <Relationship TargetMode="External" Target="https://www.legis.iowa.gov/docs/ico/chapter/422.60.pdf" Type="http://schemas.openxmlformats.org/officeDocument/2006/relationships/hyperlink" Id="rId103"/>
    <Relationship TargetMode="External" Target="https://www.legis.iowa.gov/docs/iac/rule/701.600.1.pdf" Type="http://schemas.openxmlformats.org/officeDocument/2006/relationships/hyperlink" Id="rId104"/>
    <Relationship TargetMode="External" Target="https://www.legis.iowa.gov/docs/ico/chapter/422.60.pdf" Type="http://schemas.openxmlformats.org/officeDocument/2006/relationships/hyperlink" Id="rId105"/>
    <Relationship TargetMode="External" Target="https://www.legis.iowa.gov/docs/ico/chapter/422.63.pdf" Type="http://schemas.openxmlformats.org/officeDocument/2006/relationships/hyperlink" Id="rId106"/>
    <Relationship TargetMode="External" Target="https://www.legis.iowa.gov/docs/iac/rule/701.602.26.pdf" Type="http://schemas.openxmlformats.org/officeDocument/2006/relationships/hyperlink" Id="rId107"/>
    <Relationship TargetMode="External" Target="https://www.legis.iowa.gov/docs/ico/chapter/422.63.pdf" Type="http://schemas.openxmlformats.org/officeDocument/2006/relationships/hyperlink" Id="rId108"/>
    <Relationship TargetMode="External" Target="https://www.legis.iowa.gov/docs/ico/chapter/422.63.pdf" Type="http://schemas.openxmlformats.org/officeDocument/2006/relationships/hyperlink" Id="rId109"/>
    <Relationship TargetMode="External" Target="https://www.legis.iowa.gov/docs/ico/chapter/422.63.pdf" Type="http://schemas.openxmlformats.org/officeDocument/2006/relationships/hyperlink" Id="rId110"/>
    <Relationship TargetMode="External" Target="https://www.legis.iowa.gov/docs/iac/rule/701.602.28.pdf" Type="http://schemas.openxmlformats.org/officeDocument/2006/relationships/hyperlink" Id="rId111"/>
    <Relationship TargetMode="External" Target="https://www.legis.iowa.gov/docs/iac/rule/701.602.28.pdf" Type="http://schemas.openxmlformats.org/officeDocument/2006/relationships/hyperlink" Id="rId112"/>
    <Relationship TargetMode="External" Target="https://www.legis.iowa.gov/docs/iac/rule/701.602.28.pdf" Type="http://schemas.openxmlformats.org/officeDocument/2006/relationships/hyperlink" Id="rId113"/>
    <Relationship TargetMode="External" Target="https://www.legis.iowa.gov/docs/iac/rule/701.7.9.pdf" Type="http://schemas.openxmlformats.org/officeDocument/2006/relationships/hyperlink" Id="rId114"/>
    <Relationship TargetMode="External" Target="https://www.legis.iowa.gov/docs/ico/chapter/422.63.pdf" Type="http://schemas.openxmlformats.org/officeDocument/2006/relationships/hyperlink" Id="rId115"/>
    <Relationship TargetMode="External" Target="https://www.legis.iowa.gov/docs/ico/chapter/422.35.pdf" Type="http://schemas.openxmlformats.org/officeDocument/2006/relationships/hyperlink" Id="rId116"/>
    <Relationship TargetMode="External" Target="https://www.legis.iowa.gov/docs/ico/chapter/8B.1.pdf" Type="http://schemas.openxmlformats.org/officeDocument/2006/relationships/hyperlink" Id="rId117"/>
    <Relationship TargetMode="External" Target="https://www.legis.iowa.gov/docs/ico/chapter/422.35.pdf" Type="http://schemas.openxmlformats.org/officeDocument/2006/relationships/hyperlink" Id="rId118"/>
    <Relationship TargetMode="External" Target="https://www.legis.iowa.gov/docs/iac/rule/701.602.31.pdf" Type="http://schemas.openxmlformats.org/officeDocument/2006/relationships/hyperlink" Id="rId119"/>
    <Relationship TargetMode="External" Target="https://www.legis.iowa.gov/docs/iac/rule/701.602.31.pdf" Type="http://schemas.openxmlformats.org/officeDocument/2006/relationships/hyperlink" Id="rId120"/>
    <Relationship TargetMode="External" Target="https://www.legis.iowa.gov/docs/iac/rule/701.602.31.pdf" Type="http://schemas.openxmlformats.org/officeDocument/2006/relationships/hyperlink" Id="rId121"/>
    <Relationship TargetMode="External" Target="https://www.legis.iowa.gov/docs/iac/rule/701.602.31.pdf" Type="http://schemas.openxmlformats.org/officeDocument/2006/relationships/hyperlink" Id="rId122"/>
    <Relationship TargetMode="External" Target="https://www.legis.iowa.gov/docs/iac/rule/701.302.85.pdf" Type="http://schemas.openxmlformats.org/officeDocument/2006/relationships/hyperlink" Id="rId123"/>
    <Relationship TargetMode="External" Target="https://www.legis.iowa.gov/docs/iac/rule/701.602.31.pdf" Type="http://schemas.openxmlformats.org/officeDocument/2006/relationships/hyperlink" Id="rId124"/>
    <Relationship TargetMode="External" Target="https://www.legis.iowa.gov/docs/iac/rule/701.602.31.pdf" Type="http://schemas.openxmlformats.org/officeDocument/2006/relationships/hyperlink" Id="rId125"/>
    <Relationship TargetMode="External" Target="https://www.legis.iowa.gov/docs/iac/rule/701.602.31.pdf" Type="http://schemas.openxmlformats.org/officeDocument/2006/relationships/hyperlink" Id="rId126"/>
    <Relationship TargetMode="External" Target="https://www.legis.iowa.gov/docs/iac/rule/701.602.31.pdf" Type="http://schemas.openxmlformats.org/officeDocument/2006/relationships/hyperlink" Id="rId127"/>
    <Relationship TargetMode="External" Target="https://www.legis.iowa.gov/docs/iac/rule/701.602.31.pdf" Type="http://schemas.openxmlformats.org/officeDocument/2006/relationships/hyperlink" Id="rId128"/>
    <Relationship TargetMode="External" Target="https://www.legis.iowa.gov/docs/iac/rule/701.302.85.pdf" Type="http://schemas.openxmlformats.org/officeDocument/2006/relationships/hyperlink" Id="rId129"/>
    <Relationship TargetMode="External" Target="https://www.legis.iowa.gov/docs/iac/rule/701.302.85.pdf" Type="http://schemas.openxmlformats.org/officeDocument/2006/relationships/hyperlink" Id="rId130"/>
    <Relationship TargetMode="External" Target="https://www.legis.iowa.gov/docs/iac/rule/701.502.29.pdf" Type="http://schemas.openxmlformats.org/officeDocument/2006/relationships/hyperlink" Id="rId131"/>
    <Relationship TargetMode="External" Target="https://www.legis.iowa.gov/docs/ico/chapter/422.35.pdf" Type="http://schemas.openxmlformats.org/officeDocument/2006/relationships/hyperlink" Id="rId132"/>
    <Relationship TargetMode="External" Target="https://www.legis.iowa.gov/docs/ico/chapter/422.61.pdf" Type="http://schemas.openxmlformats.org/officeDocument/2006/relationships/hyperlink" Id="rId133"/>
    <Relationship TargetMode="External" Target="https://www.legis.iowa.gov/docs/ico/chapter/422.7.pdf" Type="http://schemas.openxmlformats.org/officeDocument/2006/relationships/hyperlink" Id="rId134"/>
    <Relationship TargetMode="External" Target="https://www.legis.iowa.gov/docs/ico/chapter/422.7.pdf" Type="http://schemas.openxmlformats.org/officeDocument/2006/relationships/hyperlink" Id="rId135"/>
    <Relationship TargetMode="External" Target="https://www.legis.iowa.gov/docs/iac/rule/701.602.32.pdf" Type="http://schemas.openxmlformats.org/officeDocument/2006/relationships/hyperlink" Id="rId136"/>
    <Relationship TargetMode="External" Target="https://www.legis.iowa.gov/docs/ico/chapter/422.7.pdf" Type="http://schemas.openxmlformats.org/officeDocument/2006/relationships/hyperlink" Id="rId137"/>
    <Relationship TargetMode="External" Target="https://www.legis.iowa.gov/docs/iac/rule/701.602.32.pdf" Type="http://schemas.openxmlformats.org/officeDocument/2006/relationships/hyperlink" Id="rId138"/>
    <Relationship TargetMode="External" Target="https://www.legis.iowa.gov/docs/iac/rule/701.502.30.pdf" Type="http://schemas.openxmlformats.org/officeDocument/2006/relationships/hyperlink" Id="rId139"/>
    <Relationship TargetMode="External" Target="https://www.legis.iowa.gov/docs/iac/rule/701.502.30.pdf" Type="http://schemas.openxmlformats.org/officeDocument/2006/relationships/hyperlink" Id="rId140"/>
    <Relationship TargetMode="External" Target="https://www.legis.iowa.gov/docs/ico/chapter/422.7.pdf" Type="http://schemas.openxmlformats.org/officeDocument/2006/relationships/hyperlink" Id="rId141"/>
    <Relationship TargetMode="External" Target="https://www.legis.iowa.gov/docs/iac/rule/701.602.20.pdf" Type="http://schemas.openxmlformats.org/officeDocument/2006/relationships/hyperlink" Id="rId142"/>
    <Relationship TargetMode="External" Target="https://www.legis.iowa.gov/docs/iac/rule/701.502.15.pdf" Type="http://schemas.openxmlformats.org/officeDocument/2006/relationships/hyperlink" Id="rId143"/>
    <Relationship TargetMode="External" Target="https://www.legis.iowa.gov/docs/iac/rule/701.602.33.pdf" Type="http://schemas.openxmlformats.org/officeDocument/2006/relationships/hyperlink" Id="rId144"/>
    <Relationship TargetMode="External" Target="https://www.legis.iowa.gov/docs/ico/chapter/422.pdf" Type="http://schemas.openxmlformats.org/officeDocument/2006/relationships/hyperlink" Id="rId145"/>
    <Relationship TargetMode="External" Target="https://www.legis.iowa.gov/docs/iac/rule/701.304.16.pdf" Type="http://schemas.openxmlformats.org/officeDocument/2006/relationships/hyperlink" Id="rId146"/>
    <Relationship TargetMode="External" Target="https://www.legis.iowa.gov/docs/iac/rule/701.501.16.pdf" Type="http://schemas.openxmlformats.org/officeDocument/2006/relationships/hyperlink" Id="rId147"/>
    <Relationship TargetMode="External" Target="https://www.legis.iowa.gov/docs/ico/chapter/422.61.pdf" Type="http://schemas.openxmlformats.org/officeDocument/2006/relationships/hyperlink" Id="rId148"/>
    <Relationship TargetMode="External" Target="https://www.legis.iowa.gov/docs/iac/rule/701.501.1.pdf" Type="http://schemas.openxmlformats.org/officeDocument/2006/relationships/hyperlink" Id="rId149"/>
    <Relationship TargetMode="External" Target="https://www.legis.iowa.gov/docs/ico/chapter/422.61.pdf" Type="http://schemas.openxmlformats.org/officeDocument/2006/relationships/hyperlink" Id="rId150"/>
    <Relationship TargetMode="External" Target="https://www.legis.iowa.gov/docs/iac/rule/701.602.33.pdf" Type="http://schemas.openxmlformats.org/officeDocument/2006/relationships/hyperlink" Id="rId151"/>
    <Relationship TargetMode="External" Target="https://www.legis.iowa.gov/docs/ico/chapter/422.3.pdf" Type="http://schemas.openxmlformats.org/officeDocument/2006/relationships/hyperlink" Id="rId152"/>
    <Relationship TargetMode="External" Target="https://www.legis.iowa.gov/docs/iac/rule/701.502.15.pdf" Type="http://schemas.openxmlformats.org/officeDocument/2006/relationships/hyperlink" Id="rId153"/>
    <Relationship TargetMode="External" Target="https://www.legis.iowa.gov/docs/ico/chapter/422.3.pdf" Type="http://schemas.openxmlformats.org/officeDocument/2006/relationships/hyperlink" Id="rId154"/>
    <Relationship TargetMode="External" Target="https://www.legis.iowa.gov/docs/iac/rule/701.502.15.pdf" Type="http://schemas.openxmlformats.org/officeDocument/2006/relationships/hyperlink" Id="rId155"/>
    <Relationship TargetMode="External" Target="https://www.legis.iowa.gov/docs/iac/rule/701.602.33.pdf" Type="http://schemas.openxmlformats.org/officeDocument/2006/relationships/hyperlink" Id="rId156"/>
    <Relationship TargetMode="External" Target="https://www.legis.iowa.gov/docs/iac/rule/701.602.33.pdf" Type="http://schemas.openxmlformats.org/officeDocument/2006/relationships/hyperlink" Id="rId157"/>
    <Relationship TargetMode="External" Target="https://www.legis.iowa.gov/docs/iac/rule/701.602.33.pdf" Type="http://schemas.openxmlformats.org/officeDocument/2006/relationships/hyperlink" Id="rId158"/>
    <Relationship TargetMode="External" Target="https://www.legis.iowa.gov/docs/iac/rule/701.602.27.pdf" Type="http://schemas.openxmlformats.org/officeDocument/2006/relationships/hyperlink" Id="rId159"/>
    <Relationship TargetMode="External" Target="https://www.legis.iowa.gov/docs/iac/rule/701.602.28.pdf" Type="http://schemas.openxmlformats.org/officeDocument/2006/relationships/hyperlink" Id="rId160"/>
    <Relationship TargetMode="External" Target="https://www.legis.iowa.gov/docs/iac/rule/701.602.33.pdf" Type="http://schemas.openxmlformats.org/officeDocument/2006/relationships/hyperlink" Id="rId161"/>
    <Relationship TargetMode="External" Target="https://www.legis.iowa.gov/docs/iac/rule/701.602.27.pdf" Type="http://schemas.openxmlformats.org/officeDocument/2006/relationships/hyperlink" Id="rId162"/>
    <Relationship TargetMode="External" Target="https://www.legis.iowa.gov/docs/iac/rule/701.602.28.pdf" Type="http://schemas.openxmlformats.org/officeDocument/2006/relationships/hyperlink" Id="rId163"/>
    <Relationship TargetMode="External" Target="https://www.legis.iowa.gov/docs/iac/rule/701.602.33.pdf" Type="http://schemas.openxmlformats.org/officeDocument/2006/relationships/hyperlink" Id="rId164"/>
    <Relationship TargetMode="External" Target="https://www.legis.iowa.gov/docs/ico/chapter/422.33.pdf" Type="http://schemas.openxmlformats.org/officeDocument/2006/relationships/hyperlink" Id="rId165"/>
    <Relationship TargetMode="External" Target="https://www.legis.iowa.gov/docs/ico/chapter/422.63.pdf" Type="http://schemas.openxmlformats.org/officeDocument/2006/relationships/hyperlink" Id="rId166"/>
    <Relationship TargetMode="External" Target="https://www.legis.iowa.gov/docs/ico/chapter/422.63.pdf" Type="http://schemas.openxmlformats.org/officeDocument/2006/relationships/hyperlink" Id="rId167"/>
    <Relationship TargetMode="External" Target="https://www.legis.iowa.gov/docs/ico/chapter/422.pdf" Type="http://schemas.openxmlformats.org/officeDocument/2006/relationships/hyperlink" Id="rId168"/>
    <Relationship TargetMode="External" Target="https://www.legis.iowa.gov/docs/ico/chapter/422.60.pdf" Type="http://schemas.openxmlformats.org/officeDocument/2006/relationships/hyperlink" Id="rId169"/>
    <Relationship TargetMode="External" Target="https://www.legis.iowa.gov/docs/iac/rule/701.59.25.pdf" Type="http://schemas.openxmlformats.org/officeDocument/2006/relationships/hyperlink" Id="rId170"/>
    <Relationship TargetMode="External" Target="https://www.legis.iowa.gov/docs/iac/rule/701.59.29.pdf" Type="http://schemas.openxmlformats.org/officeDocument/2006/relationships/hyperlink" Id="rId171"/>
    <Relationship Target="footer.xml" Type="http://schemas.openxmlformats.org/officeDocument/2006/relationships/footer" Id="rId17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