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VII</w:t>
      </w:r>
    </w:p>
    <w:p>
      <w:pPr>
        <w:pBdr>
          <w:bottom w:space="3"/>
        </w:pBdr>
        <w:spacing w:before="0" w:after="0"/>
        <w:ind w:left="120"/>
        <w:jc w:val="center"/>
      </w:pPr>
      <w:r>
        <w:rPr>
          <w:rFonts w:ascii="Times New Roman" w:hAnsi="Times New Roman"/>
          <w:b w:val="false"/>
          <w:i/>
          <w:color w:val="000000"/>
          <w:sz w:val="16"/>
        </w:rPr>
        <w:t>FRANCHISE TAX</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600</w:t>
      </w:r>
    </w:p>
    <w:p>
      <w:pPr>
        <w:spacing w:before="0" w:after="0"/>
        <w:ind w:left="120"/>
        <w:jc w:val="center"/>
      </w:pPr>
      <w:r>
        <w:rPr>
          <w:rFonts w:ascii="Times New Roman" w:hAnsi="Times New Roman"/>
          <w:b w:val="false"/>
          <w:i w:val="false"/>
          <w:color w:val="000000"/>
          <w:sz w:val="21"/>
        </w:rPr>
        <w:t>ADMINISTRATION</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57]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701—600.1</w:t>
      </w:r>
      <w:r>
        <w:rPr>
          <w:rFonts w:ascii="Times New Roman" w:hAnsi="Times New Roman"/>
          <w:b/>
          <w:i w:val="false"/>
          <w:color w:val="000000"/>
          <w:sz w:val="22"/>
        </w:rPr>
        <w:t xml:space="preserve">(422)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600.1(1)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word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appears herein, it refers to and is synonymous with the “Iowa Department of Revenue”; the word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is the “Director of Revenue” or the director’s authorized assistants and employees; the word </w:t>
      </w:r>
      <w:r>
        <w:rPr>
          <w:rFonts w:ascii="Times New Roman" w:hAnsi="Times New Roman"/>
          <w:b w:val="false"/>
          <w:i/>
          <w:color w:val="000000"/>
          <w:sz w:val="22"/>
        </w:rPr>
        <w:t>“tax”</w:t>
      </w:r>
      <w:r>
        <w:rPr>
          <w:rFonts w:ascii="Times New Roman" w:hAnsi="Times New Roman"/>
          <w:b w:val="false"/>
          <w:i w:val="false"/>
          <w:color w:val="000000"/>
          <w:sz w:val="22"/>
        </w:rPr>
        <w:t xml:space="preserve"> is the “franchise tax on financial institutions”; and the word </w:t>
      </w:r>
      <w:r>
        <w:rPr>
          <w:rFonts w:ascii="Times New Roman" w:hAnsi="Times New Roman"/>
          <w:b w:val="false"/>
          <w:i/>
          <w:color w:val="000000"/>
          <w:sz w:val="22"/>
        </w:rPr>
        <w:t xml:space="preserve">“return” </w:t>
      </w:r>
      <w:r>
        <w:rPr>
          <w:rFonts w:ascii="Times New Roman" w:hAnsi="Times New Roman"/>
          <w:b w:val="false"/>
          <w:i w:val="false"/>
          <w:color w:val="000000"/>
          <w:sz w:val="22"/>
        </w:rPr>
        <w:t>is the “franchise tax return.”</w:t>
      </w:r>
    </w:p>
    <w:p>
      <w:pPr>
        <w:spacing w:before="0" w:after="0"/>
        <w:ind w:left="120"/>
        <w:jc w:val="both"/>
      </w:pPr>
      <w:r>
        <w:rPr>
          <w:rFonts w:ascii="Times New Roman" w:hAnsi="Times New Roman"/>
          <w:b w:val="false"/>
          <w:i w:val="false"/>
          <w:color w:val="000000"/>
          <w:sz w:val="22"/>
        </w:rPr>
        <w:t>The administration of the franchise tax is a responsibility of the department. The department is charged with the administration of the franchise tax, subject always to the rules, regulations and direction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600.1(2)</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June 1, 1989, the term “financial institution” as used in division V of Iowa Code chapter </w:t>
      </w:r>
      <w:hyperlink r:id="rId5">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and in </w:t>
      </w:r>
      <w:hyperlink r:id="rId6">
        <w:r>
          <w:rPr>
            <w:rStyle w:val="Hyperlink"/>
            <w:rFonts w:ascii="Times New Roman" w:hAnsi="Times New Roman"/>
            <w:b w:val="false"/>
            <w:i w:val="false"/>
            <w:color w:val="000000"/>
            <w:sz w:val="22"/>
          </w:rPr>
          <w:t>701—Chapters 600 to 604</w:t>
        </w:r>
      </w:hyperlink>
      <w:r>
        <w:rPr>
          <w:rFonts w:ascii="Times New Roman" w:hAnsi="Times New Roman"/>
          <w:b w:val="false"/>
          <w:i w:val="false"/>
          <w:color w:val="000000"/>
          <w:sz w:val="22"/>
        </w:rPr>
        <w:t xml:space="preserve"> includes an Iowa chartered bank, a state bank chartered under the laws of any other state, a nationally chartered bank, a trust company, a federally chartered savings and loan association, a non-Iowa chartered savings bank, a financial institution chartered by the Federal Home Loan Bank Board, a non-Iowa chartered savings and loan association, an association incorporated or authorized to do business under Iowa Code chapter </w:t>
      </w:r>
      <w:hyperlink r:id="rId7">
        <w:r>
          <w:rPr>
            <w:rStyle w:val="Hyperlink"/>
            <w:rFonts w:ascii="Times New Roman" w:hAnsi="Times New Roman"/>
            <w:b w:val="false"/>
            <w:i w:val="false"/>
            <w:color w:val="000000"/>
            <w:sz w:val="22"/>
          </w:rPr>
          <w:t>534</w:t>
        </w:r>
      </w:hyperlink>
      <w:r>
        <w:rPr>
          <w:rFonts w:ascii="Times New Roman" w:hAnsi="Times New Roman"/>
          <w:b w:val="false"/>
          <w:i w:val="false"/>
          <w:color w:val="000000"/>
          <w:sz w:val="22"/>
        </w:rPr>
        <w:t xml:space="preserve"> or a production credit association.</w:t>
      </w:r>
    </w:p>
    <w:p>
      <w:pPr>
        <w:spacing w:before="0" w:after="0"/>
        <w:ind w:left="120"/>
        <w:jc w:val="both"/>
      </w:pPr>
      <w:r>
        <w:rPr>
          <w:rFonts w:ascii="Times New Roman" w:hAnsi="Times New Roman"/>
          <w:b w:val="false"/>
          <w:i w:val="false"/>
          <w:color w:val="000000"/>
          <w:sz w:val="22"/>
        </w:rPr>
        <w:t xml:space="preserve">Effective July 1, 2012, the term “financial institution” as used in division V of Iowa Code chapter </w:t>
      </w:r>
      <w:hyperlink r:id="rId8">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and in </w:t>
      </w:r>
      <w:hyperlink r:id="rId9">
        <w:r>
          <w:rPr>
            <w:rStyle w:val="Hyperlink"/>
            <w:rFonts w:ascii="Times New Roman" w:hAnsi="Times New Roman"/>
            <w:b w:val="false"/>
            <w:i w:val="false"/>
            <w:color w:val="000000"/>
            <w:sz w:val="22"/>
          </w:rPr>
          <w:t>701—Chapters 600 to 604</w:t>
        </w:r>
      </w:hyperlink>
      <w:r>
        <w:rPr>
          <w:rFonts w:ascii="Times New Roman" w:hAnsi="Times New Roman"/>
          <w:b w:val="false"/>
          <w:i w:val="false"/>
          <w:color w:val="000000"/>
          <w:sz w:val="22"/>
        </w:rPr>
        <w:t xml:space="preserve"> includes an Iowa chartered bank, a state bank chartered under the laws of any other state, a nationally chartered bank, a trust company, a federally chartered savings and loan association, a non-Iowa chartered savings bank, a financial institution chartered by the Federal Home Loan Bank Board, a non-Iowa chartered savings and loan association or a production credit association.</w:t>
      </w:r>
    </w:p>
    <w:p>
      <w:pPr>
        <w:spacing w:before="0" w:after="0"/>
        <w:ind w:left="120"/>
        <w:jc w:val="both"/>
      </w:pPr>
      <w:r>
        <w:rPr>
          <w:rFonts w:ascii="Times New Roman" w:hAnsi="Times New Roman"/>
          <w:b w:val="false"/>
          <w:i w:val="false"/>
          <w:color w:val="000000"/>
          <w:sz w:val="22"/>
        </w:rPr>
        <w:t>Unincorporated privately held financial institutions are exempt from the franchise tax filing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 xml:space="preserve">“Internal Revenue Code” </w:t>
      </w:r>
      <w:r>
        <w:rPr>
          <w:rFonts w:ascii="Times New Roman" w:hAnsi="Times New Roman"/>
          <w:b w:val="false"/>
          <w:i w:val="false"/>
          <w:color w:val="000000"/>
          <w:sz w:val="22"/>
        </w:rPr>
        <w:t>means the Internal Revenue Code of 1954 prior to the date of its redesignation as the Internal Revenue Code of 1986 or the Internal Revenue Code of 1986, whichever is applicable.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2202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701—600.2</w:t>
      </w:r>
      <w:r>
        <w:rPr>
          <w:rFonts w:ascii="Times New Roman" w:hAnsi="Times New Roman"/>
          <w:b/>
          <w:i w:val="false"/>
          <w:color w:val="000000"/>
          <w:sz w:val="22"/>
        </w:rPr>
        <w:t xml:space="preserve">(422) </w:t>
      </w:r>
      <w:r>
        <w:rPr>
          <w:rFonts w:ascii="Times New Roman" w:hAnsi="Times New Roman"/>
          <w:b/>
          <w:i w:val="false"/>
          <w:color w:val="000000"/>
          <w:sz w:val="22"/>
        </w:rPr>
        <w:t xml:space="preserve">Statutes of limitation.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600.2(1)</w:t>
      </w:r>
      <w:r>
        <w:rPr>
          <w:rFonts w:ascii="Times New Roman" w:hAnsi="Times New Roman"/>
          <w:b w:val="false"/>
          <w:i w:val="false"/>
          <w:color w:val="000000"/>
          <w:sz w:val="22"/>
        </w:rPr>
        <w:t> </w:t>
      </w:r>
      <w:r>
        <w:rPr>
          <w:rFonts w:ascii="Times New Roman" w:hAnsi="Times New Roman"/>
          <w:b w:val="false"/>
          <w:i/>
          <w:color w:val="000000"/>
          <w:sz w:val="22"/>
        </w:rPr>
        <w:t xml:space="preserve">Periods of audit.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three years after a return has been filed or three years after the return became due, including any extensions of time for filing, whichever time is the later, to determine whether any additional tax other than that shown on the return is due and owing. This three-year statute of limitation does not apply in the instances specified below in paragraphs </w:t>
      </w:r>
      <w:r>
        <w:rPr>
          <w:rFonts w:ascii="Times New Roman" w:hAnsi="Times New Roman"/>
          <w:b w:val="false"/>
          <w:i/>
          <w:color w:val="000000"/>
          <w:sz w:val="22"/>
        </w:rPr>
        <w:t xml:space="preserve">“b,” “c,” “d,” “e,” “f,” </w:t>
      </w:r>
      <w:r>
        <w:rPr>
          <w:rFonts w:ascii="Times New Roman" w:hAnsi="Times New Roman"/>
          <w:b w:val="false"/>
          <w:i w:val="false"/>
          <w:color w:val="000000"/>
          <w:sz w:val="22"/>
        </w:rPr>
        <w:t xml:space="preserve">and </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taxpayer fails to include in the taxpayer’s return such items of gross income as defined in the Internal Revenue Code, as amended, as will under that Code extend the statute of limitations for federal tax purposes to six years, the correct amount of tax due may be determined by the department within six years from the time the return is filed, or within six years after the return became due, including any extension of time for filing, whichever time is the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taxpayer files a false or fraudulent return with intent to evade tax, the correct amount of tax due may be determined by the department at any time after the return has been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taxpayer fails to file a return, the statutes of limitation so specified in Iowa Code section </w:t>
      </w:r>
      <w:hyperlink r:id="rId11">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do not begin to run until the return is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While the burden of proof of additional tax owing under the six-year period or the unlimited period is upon the department, a prima facie case of omission of income, or of making a false or fraudulent return, shall be made upon a showing of a federal audit of the same income, a determination by federal authorities that the taxpayer omitted items of gross income or made a false or fraudulent return, and the payment by the taxpayer of the amount claimed by the federal government to be the correct tax or the admission by the taxpayer to the federal government of liability for that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periods of limitation set forth in paragraph </w:t>
      </w:r>
      <w:r>
        <w:rPr>
          <w:rFonts w:ascii="Times New Roman" w:hAnsi="Times New Roman"/>
          <w:b w:val="false"/>
          <w:i/>
          <w:color w:val="000000"/>
          <w:sz w:val="22"/>
        </w:rPr>
        <w:t>“a,” “b,” “c,” “d,” or “e,”</w:t>
      </w:r>
      <w:r>
        <w:rPr>
          <w:rFonts w:ascii="Times New Roman" w:hAnsi="Times New Roman"/>
          <w:b w:val="false"/>
          <w:i w:val="false"/>
          <w:color w:val="000000"/>
          <w:sz w:val="22"/>
        </w:rPr>
        <w:t xml:space="preserve"> the department has six months after notification by the taxpayer of the final disposition of any matter between the taxpayer and the Internal Revenue Service with respect to any particular tax year to make an examination and determination. Final disposition of any matter between the taxpayer and the Internal Revenue Service triggers the extension of the statute of limitations for the department to make an examination and determination and the extension runs until six months after the department receives notification and a copy of the federal document showing the final disposition or final federal adjustments from the taxpayer, </w:t>
      </w:r>
      <w:r>
        <w:rPr>
          <w:rFonts w:ascii="Times New Roman" w:hAnsi="Times New Roman"/>
          <w:b w:val="false"/>
          <w:i/>
          <w:color w:val="000000"/>
          <w:sz w:val="22"/>
        </w:rPr>
        <w:t>Van Dyke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Iowa Department of Revenue and Finance,</w:t>
      </w:r>
      <w:r>
        <w:rPr>
          <w:rFonts w:ascii="Times New Roman" w:hAnsi="Times New Roman"/>
          <w:b w:val="false"/>
          <w:i w:val="false"/>
          <w:color w:val="000000"/>
          <w:sz w:val="22"/>
        </w:rPr>
        <w:t xml:space="preserve"> 547 N.W.2d 1. This examination and determination is limited to those matters between the taxpayer and the Internal Revenue Service which affect Iowa taxable income. </w:t>
      </w:r>
      <w:r>
        <w:rPr>
          <w:rFonts w:ascii="Times New Roman" w:hAnsi="Times New Roman"/>
          <w:b w:val="false"/>
          <w:i/>
          <w:color w:val="000000"/>
          <w:sz w:val="22"/>
        </w:rPr>
        <w:t>Kelly-Springfield Tire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State Board of Tax Review,</w:t>
      </w:r>
      <w:r>
        <w:rPr>
          <w:rFonts w:ascii="Times New Roman" w:hAnsi="Times New Roman"/>
          <w:b w:val="false"/>
          <w:i w:val="false"/>
          <w:color w:val="000000"/>
          <w:sz w:val="22"/>
        </w:rPr>
        <w:t xml:space="preserve"> 414 N.W.2d 113 (Iowa 1987). The notification shall be in writing in any form sufficient to inform the department of final disposition, and attached thereto shall be a photo reproduction or carbon copy of the federal document which shows the final disposition and any schedules necessary to explain the federal adjustments. The notification and copy of the federal document shall be mailed, under separate cover, to the Examination Section, Compliance Division, Iowa Department of Revenue, P.O. Box 10456, Des Moines, Iowa 50306. Any notification and copy of the federal document which is included in, made a part of, or mailed with a current year Iowa franchise tax return will not be considered as proper notification for the purposes of beginning the running of the six-month period.</w:t>
      </w:r>
    </w:p>
    <w:p>
      <w:pPr>
        <w:spacing w:before="0" w:after="0"/>
        <w:ind w:left="120"/>
        <w:jc w:val="both"/>
      </w:pPr>
      <w:r>
        <w:rPr>
          <w:rFonts w:ascii="Times New Roman" w:hAnsi="Times New Roman"/>
          <w:b w:val="false"/>
          <w:i w:val="false"/>
          <w:color w:val="000000"/>
          <w:sz w:val="22"/>
        </w:rPr>
        <w:t>When a taxpayer’s income or loss is included in a consolidated federal corporation income tax return, notification shall include a schedule of adjustments to the taxpayer’s income, a copy of the revenue agent’s tax computation, a schedule of revised foreign tax credit on a separate company basis if applicable, and a schedule of consolidating income statements after federal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lieu of the above periods of limitation for any prior year for which an overpayment of tax or an elimination or reduction of any underpayment of tax due for that prior year results from the carryback to such prior year of a net operating loss or net capital loss, the period shall be the period of limitations for the taxable year of the net operating loss or net capital loss which results in such carryback.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may, at any time within the period prescribed for assessment or refund adjustment, make a supplemental assessment or refund adjustment whenever it is ascertained that any assessment or refund adjustment is imperfect or incomplete in any respect.</w:t>
      </w:r>
    </w:p>
    <w:p>
      <w:pPr>
        <w:spacing w:before="0" w:after="0"/>
        <w:ind w:left="120"/>
        <w:jc w:val="both"/>
      </w:pPr>
      <w:r>
        <w:rPr>
          <w:rFonts w:ascii="Times New Roman" w:hAnsi="Times New Roman"/>
          <w:b w:val="false"/>
          <w:i w:val="false"/>
          <w:color w:val="000000"/>
          <w:sz w:val="22"/>
        </w:rPr>
        <w:t xml:space="preserve">If an assessment or refund adjustment is appealed (protested under rule </w:t>
      </w:r>
      <w:hyperlink r:id="rId12">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and is resolved whether by informal proceedings or by adjudication, the department and the taxpayer are precluded from making a supplemental assessment or refund adjustment concerning the same issue involved in such appeal for the same tax period unless there is a showing of mathematical or clerical error or a showing of fraud or misrepresentation. Nothing in this rule shall prevent the making of an assessment or refund adjustment for the purpose of taking into account the impact upon Iowa net income of federal audit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600.2(3)</w:t>
      </w:r>
      <w:r>
        <w:rPr>
          <w:rFonts w:ascii="Times New Roman" w:hAnsi="Times New Roman"/>
          <w:b w:val="false"/>
          <w:i w:val="false"/>
          <w:color w:val="000000"/>
          <w:sz w:val="22"/>
        </w:rPr>
        <w:t> </w:t>
      </w:r>
      <w:r>
        <w:rPr>
          <w:rFonts w:ascii="Times New Roman" w:hAnsi="Times New Roman"/>
          <w:b w:val="false"/>
          <w:i/>
          <w:color w:val="000000"/>
          <w:sz w:val="22"/>
        </w:rPr>
        <w:t xml:space="preserve">Waiver of statute of limitations. </w:t>
      </w:r>
      <w:r>
        <w:rPr>
          <w:rFonts w:ascii="Times New Roman" w:hAnsi="Times New Roman"/>
          <w:b w:val="false"/>
          <w:i w:val="false"/>
          <w:color w:val="000000"/>
          <w:sz w:val="22"/>
        </w:rPr>
        <w:t>Waivers entered into on or after July 1, 1989. When the department and the taxpayer enter into an agreement to extend the period of limitation, interest continues to accrue on an assessed deficiency or overpayment during the period of the waiver. The taxpayer may claim a refund during the period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600.2(4)</w:t>
      </w:r>
      <w:r>
        <w:rPr>
          <w:rFonts w:ascii="Times New Roman" w:hAnsi="Times New Roman"/>
          <w:b w:val="false"/>
          <w:i w:val="false"/>
          <w:color w:val="000000"/>
          <w:sz w:val="22"/>
        </w:rPr>
        <w:t> </w:t>
      </w:r>
      <w:r>
        <w:rPr>
          <w:rFonts w:ascii="Times New Roman" w:hAnsi="Times New Roman"/>
          <w:b w:val="false"/>
          <w:i/>
          <w:color w:val="000000"/>
          <w:sz w:val="22"/>
        </w:rPr>
        <w:t xml:space="preserve">Amended returns filed within 60 days of the expiration of the statute of limitations for assessment. </w:t>
      </w:r>
      <w:r>
        <w:rPr>
          <w:rFonts w:ascii="Times New Roman" w:hAnsi="Times New Roman"/>
          <w:b w:val="false"/>
          <w:i w:val="false"/>
          <w:color w:val="000000"/>
          <w:sz w:val="22"/>
        </w:rPr>
        <w:t>If a taxpayer files an amended return on or after April 1, 1995, within 60 days prior to the expiration of the statute of limitations for assessment, the department has 60 days from the date the amended return is received to issue an assessment for applicable tax, interest, or penalty.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422.66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701—600.3</w:t>
      </w:r>
      <w:r>
        <w:rPr>
          <w:rFonts w:ascii="Times New Roman" w:hAnsi="Times New Roman"/>
          <w:b/>
          <w:i w:val="false"/>
          <w:color w:val="000000"/>
          <w:sz w:val="22"/>
        </w:rPr>
        <w:t xml:space="preserve">(422) </w:t>
      </w:r>
      <w:r>
        <w:rPr>
          <w:rFonts w:ascii="Times New Roman" w:hAnsi="Times New Roman"/>
          <w:b/>
          <w:i w:val="false"/>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600.3(1)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financial institution subject to the tax imposed by Iowa Code section </w:t>
      </w:r>
      <w:hyperlink r:id="rId15">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(whether or not the financial institution incurs liability for the tax) shall retain its books and records as required by Section 6001 of the Internal Revenue Code and federal income tax regulation 1.6001-1(e) including the federal schedules required by </w:t>
      </w:r>
      <w:hyperlink r:id="rId16">
        <w:r>
          <w:rPr>
            <w:rStyle w:val="Hyperlink"/>
            <w:rFonts w:ascii="Times New Roman" w:hAnsi="Times New Roman"/>
            <w:b w:val="false"/>
            <w:i w:val="false"/>
            <w:color w:val="000000"/>
            <w:sz w:val="22"/>
          </w:rPr>
          <w:t>701—subrule 601.3(2)</w:t>
        </w:r>
      </w:hyperlink>
      <w:r>
        <w:rPr>
          <w:rFonts w:ascii="Times New Roman" w:hAnsi="Times New Roman"/>
          <w:b w:val="false"/>
          <w:i w:val="false"/>
          <w:color w:val="000000"/>
          <w:sz w:val="22"/>
        </w:rPr>
        <w:t xml:space="preserve">. For taxpayers using an electronic data interchange process or technology also see </w:t>
      </w:r>
      <w:hyperlink r:id="rId17">
        <w:r>
          <w:rPr>
            <w:rStyle w:val="Hyperlink"/>
            <w:rFonts w:ascii="Times New Roman" w:hAnsi="Times New Roman"/>
            <w:b w:val="false"/>
            <w:i w:val="false"/>
            <w:color w:val="000000"/>
            <w:sz w:val="22"/>
          </w:rPr>
          <w:t>701—subrule 11.4(4)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600.3(2)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records relating to computation of the Iowa apportionment factor, allocable income, other deductions or additions to federal taxable income, and Iowa tax credits shall be retained so long as the contents may be material in the administration of the Iowa Code under the statutes of limitation for audit specified in Iowa Code section </w:t>
      </w:r>
      <w:hyperlink r:id="rId18">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701—600.4</w:t>
      </w:r>
      <w:r>
        <w:rPr>
          <w:rFonts w:ascii="Times New Roman" w:hAnsi="Times New Roman"/>
          <w:b/>
          <w:i w:val="false"/>
          <w:color w:val="000000"/>
          <w:sz w:val="22"/>
        </w:rPr>
        <w:t xml:space="preserve">(422) </w:t>
      </w:r>
      <w:r>
        <w:rPr>
          <w:rFonts w:ascii="Times New Roman" w:hAnsi="Times New Roman"/>
          <w:b/>
          <w:i w:val="false"/>
          <w:color w:val="000000"/>
          <w:sz w:val="22"/>
        </w:rPr>
        <w:t xml:space="preserve">Authority for deductions. </w:t>
      </w:r>
      <w:r>
        <w:rPr>
          <w:rFonts w:ascii="Times New Roman" w:hAnsi="Times New Roman"/>
          <w:b w:val="false"/>
          <w:i w:val="false"/>
          <w:color w:val="000000"/>
          <w:sz w:val="22"/>
        </w:rPr>
        <w:t xml:space="preserve">Whether and to what extent deductions shall be allowed depends upon specific legislative Acts, and only where there is a clear provision can any particular deduction be allowed. Therefore, a deduction will be allowed only if the taxpayer can establish the validity and correctness of such a deduction. </w:t>
      </w:r>
      <w:r>
        <w:rPr>
          <w:rFonts w:ascii="Times New Roman" w:hAnsi="Times New Roman"/>
          <w:b w:val="false"/>
          <w:i/>
          <w:color w:val="000000"/>
          <w:sz w:val="22"/>
        </w:rPr>
        <w:t>71 Am.</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Jur.</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2d State and Local Taxation, subsection 518 (1973).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701—600.5</w:t>
      </w:r>
      <w:r>
        <w:rPr>
          <w:rFonts w:ascii="Times New Roman" w:hAnsi="Times New Roman"/>
          <w:b/>
          <w:i w:val="false"/>
          <w:color w:val="000000"/>
          <w:sz w:val="22"/>
        </w:rPr>
        <w:t xml:space="preserve">(422) </w:t>
      </w:r>
      <w:r>
        <w:rPr>
          <w:rFonts w:ascii="Times New Roman" w:hAnsi="Times New Roman"/>
          <w:b/>
          <w:i w:val="false"/>
          <w:color w:val="000000"/>
          <w:sz w:val="22"/>
        </w:rPr>
        <w:t xml:space="preserve">Jeopardy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600.5(1)</w:t>
      </w:r>
      <w:r>
        <w:rPr>
          <w:rFonts w:ascii="Times New Roman" w:hAnsi="Times New Roman"/>
          <w:b w:val="false"/>
          <w:i w:val="false"/>
          <w:color w:val="000000"/>
          <w:sz w:val="22"/>
        </w:rPr>
        <w:t> </w:t>
      </w:r>
      <w:r>
        <w:rPr>
          <w:rFonts w:ascii="Times New Roman" w:hAnsi="Times New Roman"/>
          <w:b w:val="false"/>
          <w:i w:val="false"/>
          <w:color w:val="000000"/>
          <w:sz w:val="22"/>
        </w:rPr>
        <w:t>A jeopardy assessment may be made where a return has been filed and the director believes for any reason that collection of the tax will be jeopardized by delay, or where a taxpayer fails to file a return, whether or not formally called upon to file a return. The department is authorized to estimate the income of the taxpayer upon the basis of available information, add penalty and interest, and demand immediate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600.5(2)</w:t>
      </w:r>
      <w:r>
        <w:rPr>
          <w:rFonts w:ascii="Times New Roman" w:hAnsi="Times New Roman"/>
          <w:b w:val="false"/>
          <w:i w:val="false"/>
          <w:color w:val="000000"/>
          <w:sz w:val="22"/>
        </w:rPr>
        <w:t> </w:t>
      </w:r>
      <w:r>
        <w:rPr>
          <w:rFonts w:ascii="Times New Roman" w:hAnsi="Times New Roman"/>
          <w:b w:val="false"/>
          <w:i w:val="false"/>
          <w:color w:val="000000"/>
          <w:sz w:val="22"/>
        </w:rPr>
        <w:t>A jeopardy assessment is due and payable when the notice of the assessment is served upon the taxpayer. Proceedings to enforce the payment of the assessment by seizure or sale of any property of the taxpayer may be instituted immediately.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422.66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701—600.6</w:t>
      </w:r>
      <w:r>
        <w:rPr>
          <w:rFonts w:ascii="Times New Roman" w:hAnsi="Times New Roman"/>
          <w:b/>
          <w:i w:val="false"/>
          <w:color w:val="000000"/>
          <w:sz w:val="22"/>
        </w:rPr>
        <w:t xml:space="preserve">(422) </w:t>
      </w:r>
      <w:r>
        <w:rPr>
          <w:rFonts w:ascii="Times New Roman" w:hAnsi="Times New Roman"/>
          <w:b/>
          <w:i w:val="false"/>
          <w:color w:val="000000"/>
          <w:sz w:val="22"/>
        </w:rPr>
        <w:t xml:space="preserve">Information deemed confidential. </w:t>
      </w:r>
      <w:r>
        <w:rPr>
          <w:rFonts w:ascii="Times New Roman" w:hAnsi="Times New Roman"/>
          <w:b w:val="false"/>
          <w:i w:val="false"/>
          <w:color w:val="000000"/>
          <w:sz w:val="22"/>
        </w:rPr>
        <w:t xml:space="preserve">Iowa Code section </w:t>
      </w:r>
      <w:hyperlink r:id="rId25">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applies generally to the director, deputies, auditors, examiners, agents, present or former officers and employees of the department. Disclosure of information from a taxpayer’s filed return or report or other confidential state information by department of revenue personnel to a third person is prohibited under Iowa Code section </w:t>
      </w:r>
      <w:hyperlink r:id="rId26">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See </w:t>
      </w:r>
      <w:hyperlink r:id="rId27">
        <w:r>
          <w:rPr>
            <w:rStyle w:val="Hyperlink"/>
            <w:rFonts w:ascii="Times New Roman" w:hAnsi="Times New Roman"/>
            <w:b w:val="false"/>
            <w:i w:val="false"/>
            <w:color w:val="000000"/>
            <w:sz w:val="22"/>
          </w:rPr>
          <w:t>701—subrule 5.8(3)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422.66</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701—600.7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701—600.8</w:t>
      </w:r>
      <w:r>
        <w:rPr>
          <w:rFonts w:ascii="Times New Roman" w:hAnsi="Times New Roman"/>
          <w:b/>
          <w:i w:val="false"/>
          <w:color w:val="000000"/>
          <w:sz w:val="22"/>
        </w:rPr>
        <w:t xml:space="preserve">(422) </w:t>
      </w:r>
      <w:r>
        <w:rPr>
          <w:rFonts w:ascii="Times New Roman" w:hAnsi="Times New Roman"/>
          <w:b/>
          <w:i w:val="false"/>
          <w:color w:val="000000"/>
          <w:sz w:val="22"/>
        </w:rPr>
        <w:t xml:space="preserve">Delegation to audit and examine. </w:t>
      </w:r>
      <w:r>
        <w:rPr>
          <w:rFonts w:ascii="Times New Roman" w:hAnsi="Times New Roman"/>
          <w:b w:val="false"/>
          <w:i w:val="false"/>
          <w:color w:val="000000"/>
          <w:sz w:val="22"/>
        </w:rPr>
        <w:t>Pursuant to statutory authority the director delegates to the authorized assistants and employees the power to examine returns and make audits, and to determine the correct amount of tax due, subject to review by or appeal to the director.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422.66</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4/28/78, Notice 3/22/78—published 5/17/78, effective 6/22/78]</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5/8/81, Notice 4/1/81—published 5/27/81, effective 7/1/81]</w:t>
      </w:r>
    </w:p>
    <w:p>
      <w:pPr>
        <w:spacing w:before="0" w:after="0"/>
        <w:ind w:left="120"/>
        <w:jc w:val="center"/>
      </w:pPr>
      <w:r>
        <w:rPr>
          <w:rFonts w:ascii="Times New Roman" w:hAnsi="Times New Roman"/>
          <w:b w:val="false"/>
          <w:i w:val="false"/>
          <w:color w:val="000000"/>
          <w:sz w:val="21"/>
        </w:rPr>
        <w:t>[Filed 5/7/82, Notice 3/31/82—published 5/26/82, effective 6/30/82]</w:t>
      </w:r>
    </w:p>
    <w:p>
      <w:pPr>
        <w:spacing w:before="0" w:after="0"/>
        <w:ind w:left="120"/>
        <w:jc w:val="center"/>
      </w:pPr>
      <w:r>
        <w:rPr>
          <w:rFonts w:ascii="Times New Roman" w:hAnsi="Times New Roman"/>
          <w:b w:val="false"/>
          <w:i w:val="false"/>
          <w:color w:val="000000"/>
          <w:sz w:val="21"/>
        </w:rPr>
        <w:t>[Filed 7/16/82, Notice 6/9/82—published 8/4/82, effective 9/8/82]</w:t>
      </w:r>
    </w:p>
    <w:p>
      <w:pPr>
        <w:spacing w:before="0" w:after="0"/>
        <w:ind w:left="120"/>
        <w:jc w:val="center"/>
      </w:pPr>
      <w:r>
        <w:rPr>
          <w:rFonts w:ascii="Times New Roman" w:hAnsi="Times New Roman"/>
          <w:b w:val="false"/>
          <w:i w:val="false"/>
          <w:color w:val="000000"/>
          <w:sz w:val="21"/>
        </w:rPr>
        <w:t>[Filed 2/22/85, Notice 1/16/85—published 3/13/85, effective 4/17/85]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4/13/88, Notice 3/9/88—published 5/4/88, effective 6/8/88]</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1/12/96, Notice 12/6/95—published 1/31/96, effective 3/6/96]</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ARC 9104B</w:t>
      </w:r>
      <w:r>
        <w:rPr>
          <w:rFonts w:ascii="Times New Roman" w:hAnsi="Times New Roman"/>
          <w:b w:val="false"/>
          <w:i w:val="false"/>
          <w:color w:val="000000"/>
          <w:sz w:val="21"/>
        </w:rPr>
        <w:t xml:space="preserve"> (Notice ARC 8954B,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0337C</w:t>
      </w:r>
      <w:r>
        <w:rPr>
          <w:rFonts w:ascii="Times New Roman" w:hAnsi="Times New Roman"/>
          <w:b w:val="false"/>
          <w:i w:val="false"/>
          <w:color w:val="000000"/>
          <w:sz w:val="21"/>
        </w:rPr>
        <w:t xml:space="preserve"> (Notice ARC 0232C,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5940C</w:t>
      </w:r>
      <w:r>
        <w:rPr>
          <w:rFonts w:ascii="Times New Roman" w:hAnsi="Times New Roman"/>
          <w:b w:val="false"/>
          <w:i w:val="false"/>
          <w:color w:val="000000"/>
          <w:sz w:val="21"/>
        </w:rPr>
        <w:t xml:space="preserve"> (Notice ARC 5849C,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pdf" Type="http://schemas.openxmlformats.org/officeDocument/2006/relationships/hyperlink" Id="rId5"/>
    <Relationship TargetMode="External" Target="https://www.legis.iowa.gov/docs/iac/chapter/701.600-604.pdf" Type="http://schemas.openxmlformats.org/officeDocument/2006/relationships/hyperlink" Id="rId6"/>
    <Relationship TargetMode="External" Target="https://www.legis.iowa.gov/docs/ico/chapter/534.pdf" Type="http://schemas.openxmlformats.org/officeDocument/2006/relationships/hyperlink" Id="rId7"/>
    <Relationship TargetMode="External" Target="https://www.legis.iowa.gov/docs/ico/chapter/422.pdf" Type="http://schemas.openxmlformats.org/officeDocument/2006/relationships/hyperlink" Id="rId8"/>
    <Relationship TargetMode="External" Target="https://www.legis.iowa.gov/docs/iac/chapter/701.600-604.pdf" Type="http://schemas.openxmlformats.org/officeDocument/2006/relationships/hyperlink" Id="rId9"/>
    <Relationship TargetMode="External" Target="https://www.legis.iowa.gov/docs/ico/chapter/422.61.pdf" Type="http://schemas.openxmlformats.org/officeDocument/2006/relationships/hyperlink" Id="rId10"/>
    <Relationship TargetMode="External" Target="https://www.legis.iowa.gov/docs/ico/chapter/422.25.pdf" Type="http://schemas.openxmlformats.org/officeDocument/2006/relationships/hyperlink" Id="rId11"/>
    <Relationship TargetMode="External" Target="https://www.legis.iowa.gov/docs/iac/rule/701.7.9.pdf" Type="http://schemas.openxmlformats.org/officeDocument/2006/relationships/hyperlink" Id="rId12"/>
    <Relationship TargetMode="External" Target="https://www.legis.iowa.gov/docs/ico/chapter/422.25.pdf" Type="http://schemas.openxmlformats.org/officeDocument/2006/relationships/hyperlink" Id="rId13"/>
    <Relationship TargetMode="External" Target="https://www.legis.iowa.gov/docs/ico/chapter/422.66.pdf" Type="http://schemas.openxmlformats.org/officeDocument/2006/relationships/hyperlink" Id="rId14"/>
    <Relationship TargetMode="External" Target="https://www.legis.iowa.gov/docs/ico/chapter/422.60.pdf" Type="http://schemas.openxmlformats.org/officeDocument/2006/relationships/hyperlink" Id="rId15"/>
    <Relationship TargetMode="External" Target="https://www.legis.iowa.gov/docs/iac/rule/701.601.3.pdf" Type="http://schemas.openxmlformats.org/officeDocument/2006/relationships/hyperlink" Id="rId16"/>
    <Relationship TargetMode="External" Target="https://www.legis.iowa.gov/docs/iac/rule/701.11.4.pdf" Type="http://schemas.openxmlformats.org/officeDocument/2006/relationships/hyperlink" Id="rId17"/>
    <Relationship TargetMode="External" Target="https://www.legis.iowa.gov/docs/ico/chapter/422.25.pdf" Type="http://schemas.openxmlformats.org/officeDocument/2006/relationships/hyperlink" Id="rId18"/>
    <Relationship TargetMode="External" Target="https://www.legis.iowa.gov/docs/ico/chapter/422.25.pdf" Type="http://schemas.openxmlformats.org/officeDocument/2006/relationships/hyperlink" Id="rId19"/>
    <Relationship TargetMode="External" Target="https://www.legis.iowa.gov/docs/ico/chapter/422.70.pdf" Type="http://schemas.openxmlformats.org/officeDocument/2006/relationships/hyperlink" Id="rId20"/>
    <Relationship TargetMode="External" Target="https://www.legis.iowa.gov/docs/ico/chapter/422.35.pdf" Type="http://schemas.openxmlformats.org/officeDocument/2006/relationships/hyperlink" Id="rId21"/>
    <Relationship TargetMode="External" Target="https://www.legis.iowa.gov/docs/ico/chapter/422.61.pdf" Type="http://schemas.openxmlformats.org/officeDocument/2006/relationships/hyperlink" Id="rId22"/>
    <Relationship TargetMode="External" Target="https://www.legis.iowa.gov/docs/ico/chapter/422.30.pdf" Type="http://schemas.openxmlformats.org/officeDocument/2006/relationships/hyperlink" Id="rId23"/>
    <Relationship TargetMode="External" Target="https://www.legis.iowa.gov/docs/ico/chapter/422.66.pdf" Type="http://schemas.openxmlformats.org/officeDocument/2006/relationships/hyperlink" Id="rId24"/>
    <Relationship TargetMode="External" Target="https://www.legis.iowa.gov/docs/ico/chapter/422.72.pdf" Type="http://schemas.openxmlformats.org/officeDocument/2006/relationships/hyperlink" Id="rId25"/>
    <Relationship TargetMode="External" Target="https://www.legis.iowa.gov/docs/ico/chapter/422.72.pdf" Type="http://schemas.openxmlformats.org/officeDocument/2006/relationships/hyperlink" Id="rId26"/>
    <Relationship TargetMode="External" Target="https://www.legis.iowa.gov/docs/iac/rule/701.5.8.pdf" Type="http://schemas.openxmlformats.org/officeDocument/2006/relationships/hyperlink" Id="rId27"/>
    <Relationship TargetMode="External" Target="https://www.legis.iowa.gov/docs/ico/chapter/422.66.pdf" Type="http://schemas.openxmlformats.org/officeDocument/2006/relationships/hyperlink" Id="rId28"/>
    <Relationship TargetMode="External" Target="https://www.legis.iowa.gov/docs/ico/chapter/422.72.pdf" Type="http://schemas.openxmlformats.org/officeDocument/2006/relationships/hyperlink" Id="rId29"/>
    <Relationship TargetMode="External" Target="https://www.legis.iowa.gov/docs/ico/chapter/422.66.pdf" Type="http://schemas.openxmlformats.org/officeDocument/2006/relationships/hyperlink" Id="rId30"/>
    <Relationship TargetMode="External" Target="https://www.legis.iowa.gov/docs/ico/chapter/422.70.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