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504</w:t>
      </w:r>
    </w:p>
    <w:p>
      <w:pPr>
        <w:spacing w:before="0" w:after="0"/>
        <w:ind w:left="120"/>
        <w:jc w:val="center"/>
      </w:pPr>
      <w:r>
        <w:rPr>
          <w:rFonts w:ascii="Times New Roman" w:hAnsi="Times New Roman"/>
          <w:b w:val="false"/>
          <w:i w:val="false"/>
          <w:color w:val="000000"/>
          <w:sz w:val="21"/>
        </w:rPr>
        <w:t>ASSESSMENTS, REFUNDS, APPEALS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701—504.1</w:t>
      </w:r>
      <w:r>
        <w:rPr>
          <w:rFonts w:ascii="Times New Roman" w:hAnsi="Times New Roman"/>
          <w:b/>
          <w:i w:val="false"/>
          <w:color w:val="000000"/>
          <w:sz w:val="22"/>
        </w:rPr>
        <w:t xml:space="preserve">(422) </w:t>
      </w:r>
      <w:r>
        <w:rPr>
          <w:rFonts w:ascii="Times New Roman" w:hAnsi="Times New Roman"/>
          <w:b/>
          <w:i w:val="false"/>
          <w:color w:val="000000"/>
          <w:sz w:val="22"/>
        </w:rPr>
        <w:t xml:space="preserve">Notice of discrepancies.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 </w:t>
      </w:r>
      <w:r>
        <w:rPr>
          <w:rFonts w:ascii="Times New Roman" w:hAnsi="Times New Roman"/>
          <w:b w:val="false"/>
          <w:i w:val="false"/>
          <w:color w:val="000000"/>
          <w:sz w:val="22"/>
        </w:rPr>
        <w:t>An employee of the department, designated by the director to examine returns and make audits, who discovers discrepancies in returns or learns that the income of the taxpayer may not have been listed, in whole or in part, or that no return was filed when one was due, is authorized to notify the taxpayer of the discovery by ordinary mail. The notice shall not be termed an assessment, and it may inform the taxpayer of the amount due if the information discovered is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504.1(2)</w:t>
      </w:r>
      <w:r>
        <w:rPr>
          <w:rFonts w:ascii="Times New Roman" w:hAnsi="Times New Roman"/>
          <w:b w:val="false"/>
          <w:i w:val="false"/>
          <w:color w:val="000000"/>
          <w:sz w:val="22"/>
        </w:rPr>
        <w:t> </w:t>
      </w:r>
      <w:r>
        <w:rPr>
          <w:rFonts w:ascii="Times New Roman" w:hAnsi="Times New Roman"/>
          <w:b w:val="false"/>
          <w:i/>
          <w:color w:val="000000"/>
          <w:sz w:val="22"/>
        </w:rPr>
        <w:t xml:space="preserve">Right of taxpayer upon receipt of notice of adjustment. </w:t>
      </w:r>
      <w:r>
        <w:rPr>
          <w:rFonts w:ascii="Times New Roman" w:hAnsi="Times New Roman"/>
          <w:b w:val="false"/>
          <w:i w:val="false"/>
          <w:color w:val="000000"/>
          <w:sz w:val="22"/>
        </w:rPr>
        <w:t>A taxpayer who has received notice of an adjustment in connection with a return may pay the additional amount stated to be due. If payment is made, and the taxpayer wishes to contest the matter, the taxpayer should then file claim for refund. However, payment will not be required until assessment has been made (although interest will continue to accrue if payment is not made). If no payment is made, the taxpayer may discuss with the employee who notified the taxpayer of the discrepancy, either in person or through correspondence, all matters of fact and law which the taxpayer considers relevant to the situation. Documents and records supporting the taxpayer’s position may be required.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701—504.2</w:t>
      </w:r>
      <w:r>
        <w:rPr>
          <w:rFonts w:ascii="Times New Roman" w:hAnsi="Times New Roman"/>
          <w:b/>
          <w:i w:val="false"/>
          <w:color w:val="000000"/>
          <w:sz w:val="22"/>
        </w:rPr>
        <w:t xml:space="preserve">(422) </w:t>
      </w:r>
      <w:r>
        <w:rPr>
          <w:rFonts w:ascii="Times New Roman" w:hAnsi="Times New Roman"/>
          <w:b/>
          <w:i w:val="false"/>
          <w:color w:val="000000"/>
          <w:sz w:val="22"/>
        </w:rPr>
        <w:t xml:space="preserve">Notice of assessment. </w:t>
      </w:r>
      <w:r>
        <w:rPr>
          <w:rFonts w:ascii="Times New Roman" w:hAnsi="Times New Roman"/>
          <w:b w:val="false"/>
          <w:i w:val="false"/>
          <w:color w:val="000000"/>
          <w:sz w:val="22"/>
        </w:rPr>
        <w:t xml:space="preserve">If after following the procedure outlined in </w:t>
      </w:r>
      <w:hyperlink r:id="rId6">
        <w:r>
          <w:rPr>
            <w:rStyle w:val="Hyperlink"/>
            <w:rFonts w:ascii="Times New Roman" w:hAnsi="Times New Roman"/>
            <w:b w:val="false"/>
            <w:i w:val="false"/>
            <w:color w:val="000000"/>
            <w:sz w:val="22"/>
          </w:rPr>
          <w:t>504.1(2)</w:t>
        </w:r>
      </w:hyperlink>
      <w:r>
        <w:rPr>
          <w:rFonts w:ascii="Times New Roman" w:hAnsi="Times New Roman"/>
          <w:b w:val="false"/>
          <w:i w:val="false"/>
          <w:color w:val="000000"/>
          <w:sz w:val="22"/>
        </w:rPr>
        <w:t xml:space="preserve"> no agreement is reached, and the taxpayer does not pay the amount determined to be correct, a notice of assessment shall be sent to the taxpayer by mail. If the period in which the correct amount of tax can be determined is nearly at an end, either a notice of assessment, without compliance with </w:t>
      </w:r>
      <w:hyperlink r:id="rId7">
        <w:r>
          <w:rPr>
            <w:rStyle w:val="Hyperlink"/>
            <w:rFonts w:ascii="Times New Roman" w:hAnsi="Times New Roman"/>
            <w:b w:val="false"/>
            <w:i w:val="false"/>
            <w:color w:val="000000"/>
            <w:sz w:val="22"/>
          </w:rPr>
          <w:t>504.1(1)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504.1(2)</w:t>
        </w:r>
      </w:hyperlink>
      <w:r>
        <w:rPr>
          <w:rFonts w:ascii="Times New Roman" w:hAnsi="Times New Roman"/>
          <w:b w:val="false"/>
          <w:i w:val="false"/>
          <w:color w:val="000000"/>
          <w:sz w:val="22"/>
        </w:rPr>
        <w:t>, or a jeopardy assessment may be issued. All notices of assessment shall contain the signature of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701—504.3</w:t>
      </w:r>
      <w:r>
        <w:rPr>
          <w:rFonts w:ascii="Times New Roman" w:hAnsi="Times New Roman"/>
          <w:b/>
          <w:i w:val="false"/>
          <w:color w:val="000000"/>
          <w:sz w:val="22"/>
        </w:rPr>
        <w:t xml:space="preserve">(422) </w:t>
      </w:r>
      <w:r>
        <w:rPr>
          <w:rFonts w:ascii="Times New Roman" w:hAnsi="Times New Roman"/>
          <w:b/>
          <w:i w:val="false"/>
          <w:color w:val="000000"/>
          <w:sz w:val="22"/>
        </w:rPr>
        <w:t xml:space="preserve">Refund of overpaid tax. </w:t>
      </w:r>
      <w:r>
        <w:rPr>
          <w:rFonts w:ascii="Times New Roman" w:hAnsi="Times New Roman"/>
          <w:b w:val="false"/>
          <w:i w:val="false"/>
          <w:color w:val="000000"/>
          <w:sz w:val="22"/>
        </w:rPr>
        <w:t>The following are provisions for refunding or crediting to the taxpayer deposits or payments for tax in excess of amounts legally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504.3(1)</w:t>
      </w:r>
      <w:r>
        <w:rPr>
          <w:rFonts w:ascii="Times New Roman" w:hAnsi="Times New Roman"/>
          <w:b w:val="false"/>
          <w:i w:val="false"/>
          <w:color w:val="000000"/>
          <w:sz w:val="22"/>
        </w:rPr>
        <w:t> </w:t>
      </w:r>
      <w:r>
        <w:rPr>
          <w:rFonts w:ascii="Times New Roman" w:hAnsi="Times New Roman"/>
          <w:b w:val="false"/>
          <w:i w:val="false"/>
          <w:color w:val="000000"/>
          <w:sz w:val="22"/>
        </w:rPr>
        <w:t>A claim for refund of corporation income tax may be made on a form obtainable from the department. Claims for refund should not be mailed in the same envelope or attached to the return. In the case of a claim filed by an agent of the taxpayer, a power of attorney must accompany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504.3(2)</w:t>
      </w:r>
      <w:r>
        <w:rPr>
          <w:rFonts w:ascii="Times New Roman" w:hAnsi="Times New Roman"/>
          <w:b w:val="false"/>
          <w:i w:val="false"/>
          <w:color w:val="000000"/>
          <w:sz w:val="22"/>
        </w:rPr>
        <w:t> </w:t>
      </w:r>
      <w:r>
        <w:rPr>
          <w:rFonts w:ascii="Times New Roman" w:hAnsi="Times New Roman"/>
          <w:b w:val="false"/>
          <w:i w:val="false"/>
          <w:color w:val="000000"/>
          <w:sz w:val="22"/>
        </w:rPr>
        <w:t>A corporate taxpayer shall not offset a refund or overpayment of tax for one year as a prior payment of tax of a subsequent year on the return of a subsequent year without authorization in writing by the department. The department may, however, apply an overpayment, or a refund otherwise due the taxpayer, to any tax due or to become due from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504.3(3)</w:t>
      </w:r>
      <w:r>
        <w:rPr>
          <w:rFonts w:ascii="Times New Roman" w:hAnsi="Times New Roman"/>
          <w:b w:val="false"/>
          <w:i w:val="false"/>
          <w:color w:val="000000"/>
          <w:sz w:val="22"/>
        </w:rPr>
        <w:t> </w:t>
      </w:r>
      <w:r>
        <w:rPr>
          <w:rFonts w:ascii="Times New Roman" w:hAnsi="Times New Roman"/>
          <w:b w:val="false"/>
          <w:i w:val="false"/>
          <w:color w:val="000000"/>
          <w:sz w:val="22"/>
        </w:rPr>
        <w:t>When an overpayment of estimated tax is indicated on the face of the return, the overpayment will ordinarily be refunded to the taxpayer by the department without the filing of a formal claim for refund. If a refund of the indicated overpayment is not received within a reasonable period of time, a claim for refund may be filed by the taxpayer on an official form obtainable from the Taxpayer Services Section, Iowa Department of Revenue, P.O. Box 10457, Des Moines, Iowa 50306.</w:t>
      </w:r>
    </w:p>
    <w:p>
      <w:pPr>
        <w:spacing w:before="0" w:after="0"/>
        <w:ind w:left="120"/>
        <w:jc w:val="both"/>
      </w:pPr>
      <w:r>
        <w:rPr>
          <w:rFonts w:ascii="Times New Roman" w:hAnsi="Times New Roman"/>
          <w:b w:val="false"/>
          <w:i w:val="false"/>
          <w:color w:val="000000"/>
          <w:sz w:val="22"/>
        </w:rPr>
        <w:t>If an overpayment of income tax is claimed as a credit against estimated tax for the succeeding taxable year, such amount shall be considered as a payment of the income tax for the succeeding taxable year and no claim for credit or refund shall be allowed.</w:t>
      </w:r>
    </w:p>
    <w:p>
      <w:pPr>
        <w:spacing w:before="0" w:after="0"/>
        <w:ind w:left="120"/>
        <w:jc w:val="both"/>
      </w:pPr>
      <w:r>
        <w:rPr>
          <w:rFonts w:ascii="Times New Roman" w:hAnsi="Times New Roman"/>
          <w:b w:val="false"/>
          <w:i w:val="false"/>
          <w:color w:val="000000"/>
          <w:sz w:val="22"/>
        </w:rPr>
        <w:t>When a taxpayer elects to have an overpayment credited to estimated tax for the succeeding year, interest may be properly assessed on a deficiency of income tax for the year in which the overpayment arose. If a taxpayer elects to have all or part of an overpayment shown on the return applied to the estimated income tax for the succeeding taxable year or refunded, the election is binding to the taxpayer.</w:t>
      </w:r>
    </w:p>
    <w:p>
      <w:pPr>
        <w:spacing w:before="0" w:after="0"/>
        <w:ind w:left="120"/>
        <w:jc w:val="both"/>
      </w:pPr>
      <w:r>
        <w:rPr>
          <w:rFonts w:ascii="Times New Roman" w:hAnsi="Times New Roman"/>
          <w:b w:val="false"/>
          <w:i w:val="false"/>
          <w:color w:val="000000"/>
          <w:sz w:val="22"/>
        </w:rPr>
        <w:t>An overpayment of tax may be used to offset any outstanding tax liability owed by the taxpayer, but once an elected amount is credited as a payment of estimated tax for the succeeding year, it loses its character as an overpayment for the year in which it arose and thereafter cannot offset any subsequently determined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504.3(5)</w:t>
      </w:r>
      <w:r>
        <w:rPr>
          <w:rFonts w:ascii="Times New Roman" w:hAnsi="Times New Roman"/>
          <w:b w:val="false"/>
          <w:i w:val="false"/>
          <w:color w:val="000000"/>
          <w:sz w:val="22"/>
        </w:rPr>
        <w:t> </w:t>
      </w:r>
      <w:r>
        <w:rPr>
          <w:rFonts w:ascii="Times New Roman" w:hAnsi="Times New Roman"/>
          <w:b w:val="false"/>
          <w:i w:val="false"/>
          <w:color w:val="000000"/>
          <w:sz w:val="22"/>
        </w:rPr>
        <w:t>Refunds—statute of limitations for tax years ending after January 1, 1979. The statute of limitations with respect to which refunds or credits may be claimed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years after the due date of payment upon which refund or credit is claimed;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year after which such payment was actually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Six months from the date of final disposition of any federal income tax matter with respect to the particular tax year. The taxpayer, however, must have notified the department of the matter within six months after the specified three-year period. The term “matter” includes, but is not limited to the execution of waivers and commencement of audits. The refund is limited to those matters between the taxpayer and the Internal Revenue Service which affect Iowa taxable income.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federal audits finalized on or after July 1, 1991, the taxpayer must claim a refund or credit within six months of final disposition of any federal income tax matter with respect to the particular tax year regardless when the tax year ended. It is not necessary for the taxpayer to have previously notified the department within the period of limitations specified in </w:t>
      </w:r>
      <w:hyperlink r:id="rId11">
        <w:r>
          <w:rPr>
            <w:rStyle w:val="Hyperlink"/>
            <w:rFonts w:ascii="Times New Roman" w:hAnsi="Times New Roman"/>
            <w:b w:val="false"/>
            <w:i w:val="false"/>
            <w:color w:val="000000"/>
            <w:sz w:val="22"/>
          </w:rPr>
          <w:t>504.3(5)</w:t>
        </w:r>
      </w:hyperlink>
      <w:r>
        <w:rPr>
          <w:rFonts w:ascii="Times New Roman" w:hAnsi="Times New Roman"/>
          <w:b w:val="false"/>
          <w:i/>
          <w:color w:val="000000"/>
          <w:sz w:val="22"/>
        </w:rPr>
        <w:t>“a”</w:t>
      </w:r>
      <w:r>
        <w:rPr>
          <w:rFonts w:ascii="Times New Roman" w:hAnsi="Times New Roman"/>
          <w:b w:val="false"/>
          <w:i w:val="false"/>
          <w:color w:val="000000"/>
          <w:sz w:val="22"/>
        </w:rPr>
        <w:t xml:space="preserve">(1) of a matter between the taxpayer and the Internal Revenue Service in order to receive a refund or credit. The term “matter” includes, but is not limited to, the execution of waivers and commencement of audits. The refund or credit is limited to those matters between the taxpayer and the Internal Revenue Service which affect Iowa taxable income.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Three years after the due date of the return for the year in which a net operating loss or capital loss occurs, which if carried back results in a reduction of tax in a prior period and an overpayment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504.3(7)</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Refunds—statute of limitations for taxpayers who paid 90 percent of the tax by the due date and filed the original return in the six-month extended period. If a taxpayer has paid 90 percent of the income tax required to be shown due by the original due date of the return and has filed the original income tax return sometime in the six-month extended period after the original due date, the taxpayer may file an amended return within three years of the extended due date of the return and shall be within the statute of limitations for refund. This position is supported by the Iowa Supreme Court in </w:t>
      </w:r>
      <w:r>
        <w:rPr>
          <w:rFonts w:ascii="Times New Roman" w:hAnsi="Times New Roman"/>
          <w:b w:val="false"/>
          <w:i/>
          <w:color w:val="000000"/>
          <w:sz w:val="22"/>
        </w:rPr>
        <w:t>Conoco,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xml:space="preserve">, 477 N.W.2d 377 (Iowa 1991). See also </w:t>
      </w:r>
      <w:hyperlink r:id="rId12">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 xml:space="preserve"> which pertains to the extended period for filing the Iowa income tax return when 90 percent of the tax is paid by the original due date of the Iowa income tax return.</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Corporation A had paid at least 90 percent of the tax shown due on its Iowa corporation income tax return for the year ending December 31, 1999, by the April 30 original due date and filed its original 1999 Iowa return on May 15, 2000. Corporation A determined that it was entitled to claim additional deductions on the original 1999 Iowa return, so Corporation A filed an amended 1999 return on October 31, 2003. The amended return was filed within the three-year statute of limitations for refund since it was filed within three years of the extended due date of the return, October 31, 2000. The six-month extended due date applied in this case because the original return was filed within the six-month extended period.</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Corporation B paid 90 percent of the tax shown due on its return for the period ending June 30, 2000, by the October 31 original due date and filed the original return on or before the October 31, 2000, original due date for this return. Corporation B determined that when it filed the original Iowa return for the period ending June 30, 2000, Corporation B failed to claim an Iowa credit for increasing research activities. Corporation B filed an amended Iowa return on November 15, 2003, to claim the Iowa credit for increasing research activities. This amended return was rejected by the department because it was not filed within three years of the due date of the return. Although Corporation B had paid 90 percent of the tax by the due date, the due date was not extended because the original return had been filed by the due date of October 31,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701—504.4</w:t>
      </w:r>
      <w:r>
        <w:rPr>
          <w:rFonts w:ascii="Times New Roman" w:hAnsi="Times New Roman"/>
          <w:b/>
          <w:i w:val="false"/>
          <w:color w:val="000000"/>
          <w:sz w:val="22"/>
        </w:rPr>
        <w:t xml:space="preserve">(421) </w:t>
      </w:r>
      <w:r>
        <w:rPr>
          <w:rFonts w:ascii="Times New Roman" w:hAnsi="Times New Roman"/>
          <w:b/>
          <w:i w:val="false"/>
          <w:color w:val="000000"/>
          <w:sz w:val="22"/>
        </w:rPr>
        <w:t xml:space="preserve">Abatement of tax.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210" w:after="0"/>
        <w:ind w:left="120"/>
        <w:jc w:val="both"/>
      </w:pPr>
      <w:r>
        <w:rPr>
          <w:rFonts w:ascii="Times New Roman" w:hAnsi="Times New Roman"/>
          <w:b/>
          <w:i w:val="false"/>
          <w:color w:val="000000"/>
          <w:sz w:val="22"/>
        </w:rPr>
        <w:t>701—504.5</w:t>
      </w:r>
      <w:r>
        <w:rPr>
          <w:rFonts w:ascii="Times New Roman" w:hAnsi="Times New Roman"/>
          <w:b/>
          <w:i w:val="false"/>
          <w:color w:val="000000"/>
          <w:sz w:val="22"/>
        </w:rPr>
        <w:t xml:space="preserve">(422) </w:t>
      </w:r>
      <w:r>
        <w:rPr>
          <w:rFonts w:ascii="Times New Roman" w:hAnsi="Times New Roman"/>
          <w:b/>
          <w:i w:val="false"/>
          <w:color w:val="000000"/>
          <w:sz w:val="22"/>
        </w:rPr>
        <w:t xml:space="preserve">Protests.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2/10/84, Notice 1/4/84—published 2/29/84, effective 4/5/84]</w:t>
      </w:r>
    </w:p>
    <w:p>
      <w:pPr>
        <w:spacing w:before="0" w:after="0"/>
        <w:ind w:left="120"/>
        <w:jc w:val="center"/>
      </w:pPr>
      <w:r>
        <w:rPr>
          <w:rFonts w:ascii="Times New Roman" w:hAnsi="Times New Roman"/>
          <w:b w:val="false"/>
          <w:i w:val="false"/>
          <w:color w:val="000000"/>
          <w:sz w:val="21"/>
        </w:rPr>
        <w:t>[Filed 7/27/84, Notice 6/20/84—published 8/15/85, effective 9/19/84]</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8/5/98, Notice 7/1/98—published 8/26/98, effective 9/30/98]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25.pdf" Type="http://schemas.openxmlformats.org/officeDocument/2006/relationships/hyperlink" Id="rId5"/>
    <Relationship TargetMode="External" Target="https://www.legis.iowa.gov/docs/iac/rule/701.504.1.pdf" Type="http://schemas.openxmlformats.org/officeDocument/2006/relationships/hyperlink" Id="rId6"/>
    <Relationship TargetMode="External" Target="https://www.legis.iowa.gov/docs/iac/rule/701.504.1.pdf" Type="http://schemas.openxmlformats.org/officeDocument/2006/relationships/hyperlink" Id="rId7"/>
    <Relationship TargetMode="External" Target="https://www.legis.iowa.gov/docs/iac/rule/701.504.1.pdf" Type="http://schemas.openxmlformats.org/officeDocument/2006/relationships/hyperlink" Id="rId8"/>
    <Relationship TargetMode="External" Target="https://www.legis.iowa.gov/docs/ico/chapter/422.25.pdf" Type="http://schemas.openxmlformats.org/officeDocument/2006/relationships/hyperlink" Id="rId9"/>
    <Relationship TargetMode="External" Target="https://www.legis.iowa.gov/docs/ico/chapter/422.28.pdf" Type="http://schemas.openxmlformats.org/officeDocument/2006/relationships/hyperlink" Id="rId10"/>
    <Relationship TargetMode="External" Target="https://www.legis.iowa.gov/docs/iac/rule/701.504.3.pdf" Type="http://schemas.openxmlformats.org/officeDocument/2006/relationships/hyperlink" Id="rId11"/>
    <Relationship TargetMode="External" Target="https://www.legis.iowa.gov/docs/iac/rule/701.301.2.pdf" Type="http://schemas.openxmlformats.org/officeDocument/2006/relationships/hyperlink" Id="rId12"/>
    <Relationship TargetMode="External" Target="https://www.legis.iowa.gov/docs/ico/chapter/422.7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