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502</w:t>
      </w:r>
    </w:p>
    <w:p>
      <w:pPr>
        <w:spacing w:before="0" w:after="0"/>
        <w:ind w:left="120"/>
        <w:jc w:val="center"/>
      </w:pPr>
      <w:r>
        <w:rPr>
          <w:rFonts w:ascii="Times New Roman" w:hAnsi="Times New Roman"/>
          <w:b w:val="false"/>
          <w:i w:val="false"/>
          <w:color w:val="000000"/>
          <w:sz w:val="21"/>
        </w:rPr>
        <w:t>DETERMINATION OF NET INCOME</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701—502.1</w:t>
      </w:r>
      <w:r>
        <w:rPr>
          <w:rFonts w:ascii="Times New Roman" w:hAnsi="Times New Roman"/>
          <w:b/>
          <w:i w:val="false"/>
          <w:color w:val="000000"/>
          <w:sz w:val="22"/>
        </w:rPr>
        <w:t xml:space="preserve">(422) </w:t>
      </w:r>
      <w:r>
        <w:rPr>
          <w:rFonts w:ascii="Times New Roman" w:hAnsi="Times New Roman"/>
          <w:b/>
          <w:i w:val="false"/>
          <w:color w:val="000000"/>
          <w:sz w:val="22"/>
        </w:rPr>
        <w:t xml:space="preserve">Computation of net income for corporations. </w:t>
      </w:r>
      <w:r>
        <w:rPr>
          <w:rFonts w:ascii="Times New Roman" w:hAnsi="Times New Roman"/>
          <w:b w:val="false"/>
          <w:i w:val="false"/>
          <w:color w:val="000000"/>
          <w:sz w:val="22"/>
        </w:rPr>
        <w:t xml:space="preserve">Net income for state purposes shall mean federal taxable income, before deduction for net operating losses, as properly computed under the Internal Revenue Code, and shall include the adjustments in </w:t>
      </w:r>
      <w:hyperlink r:id="rId5">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 xml:space="preserve">(422) to </w:t>
      </w:r>
      <w:hyperlink r:id="rId6">
        <w:r>
          <w:rPr>
            <w:rStyle w:val="Hyperlink"/>
            <w:rFonts w:ascii="Times New Roman" w:hAnsi="Times New Roman"/>
            <w:b w:val="false"/>
            <w:i w:val="false"/>
            <w:color w:val="000000"/>
            <w:sz w:val="22"/>
          </w:rPr>
          <w:t>701—502.13</w:t>
        </w:r>
      </w:hyperlink>
      <w:r>
        <w:rPr>
          <w:rFonts w:ascii="Times New Roman" w:hAnsi="Times New Roman"/>
          <w:b w:val="false"/>
          <w:i w:val="false"/>
          <w:color w:val="000000"/>
          <w:sz w:val="22"/>
        </w:rPr>
        <w:t xml:space="preserve">(422) and </w:t>
      </w:r>
      <w:hyperlink r:id="rId7">
        <w:r>
          <w:rPr>
            <w:rStyle w:val="Hyperlink"/>
            <w:rFonts w:ascii="Times New Roman" w:hAnsi="Times New Roman"/>
            <w:b w:val="false"/>
            <w:i w:val="false"/>
            <w:color w:val="000000"/>
            <w:sz w:val="22"/>
          </w:rPr>
          <w:t>701—502.17</w:t>
        </w:r>
      </w:hyperlink>
      <w:r>
        <w:rPr>
          <w:rFonts w:ascii="Times New Roman" w:hAnsi="Times New Roman"/>
          <w:b w:val="false"/>
          <w:i w:val="false"/>
          <w:color w:val="000000"/>
          <w:sz w:val="22"/>
        </w:rPr>
        <w:t xml:space="preserve">(422) to </w:t>
      </w:r>
      <w:hyperlink r:id="rId8">
        <w:r>
          <w:rPr>
            <w:rStyle w:val="Hyperlink"/>
            <w:rFonts w:ascii="Times New Roman" w:hAnsi="Times New Roman"/>
            <w:b w:val="false"/>
            <w:i w:val="false"/>
            <w:color w:val="000000"/>
            <w:sz w:val="22"/>
          </w:rPr>
          <w:t>701—502.26</w:t>
        </w:r>
      </w:hyperlink>
      <w:r>
        <w:rPr>
          <w:rFonts w:ascii="Times New Roman" w:hAnsi="Times New Roman"/>
          <w:b w:val="false"/>
          <w:i w:val="false"/>
          <w:color w:val="000000"/>
          <w:sz w:val="22"/>
        </w:rPr>
        <w:t xml:space="preserve">(422). The remaining provisions of this rule and </w:t>
      </w:r>
      <w:hyperlink r:id="rId9">
        <w:r>
          <w:rPr>
            <w:rStyle w:val="Hyperlink"/>
            <w:rFonts w:ascii="Times New Roman" w:hAnsi="Times New Roman"/>
            <w:b w:val="false"/>
            <w:i w:val="false"/>
            <w:color w:val="000000"/>
            <w:sz w:val="22"/>
          </w:rPr>
          <w:t>701—502.14</w:t>
        </w:r>
      </w:hyperlink>
      <w:r>
        <w:rPr>
          <w:rFonts w:ascii="Times New Roman" w:hAnsi="Times New Roman"/>
          <w:b w:val="false"/>
          <w:i w:val="false"/>
          <w:color w:val="000000"/>
          <w:sz w:val="22"/>
        </w:rPr>
        <w:t xml:space="preserve">(422) to </w:t>
      </w:r>
      <w:hyperlink r:id="rId10">
        <w:r>
          <w:rPr>
            <w:rStyle w:val="Hyperlink"/>
            <w:rFonts w:ascii="Times New Roman" w:hAnsi="Times New Roman"/>
            <w:b w:val="false"/>
            <w:i w:val="false"/>
            <w:color w:val="000000"/>
            <w:sz w:val="22"/>
          </w:rPr>
          <w:t>701—502.16</w:t>
        </w:r>
      </w:hyperlink>
      <w:r>
        <w:rPr>
          <w:rFonts w:ascii="Times New Roman" w:hAnsi="Times New Roman"/>
          <w:b w:val="false"/>
          <w:i w:val="false"/>
          <w:color w:val="000000"/>
          <w:sz w:val="22"/>
        </w:rPr>
        <w:t>(422) shall also be applicable in determining net income.</w:t>
      </w:r>
    </w:p>
    <w:p>
      <w:pPr>
        <w:spacing w:before="0" w:after="0"/>
        <w:ind w:left="120"/>
        <w:jc w:val="both"/>
      </w:pPr>
      <w:r>
        <w:rPr>
          <w:rFonts w:ascii="Times New Roman" w:hAnsi="Times New Roman"/>
          <w:b w:val="false"/>
          <w:i w:val="false"/>
          <w:color w:val="000000"/>
          <w:sz w:val="22"/>
        </w:rPr>
        <w:t>In the case of a corporation which is a member of an affiliated group of corporations filing a consolidated income tax return for the taxable year for federal income tax purposes, but files a separate return for state purposes, taxable income as properly computed for federal purposes is determined as if the corporation had filed a separate return for federal income tax purposes for the taxable year and each preceding taxable year for which it was a member of an affiliated group. For purposes of this paragraph, the taxpayer’s separate taxable income shall be determined as if the election provided by Section 243(b)(2) of the Internal Revenue Code had been in effect for all those years.</w:t>
      </w:r>
    </w:p>
    <w:p>
      <w:pPr>
        <w:spacing w:before="0" w:after="0"/>
        <w:ind w:left="120"/>
        <w:jc w:val="both"/>
      </w:pPr>
      <w:r>
        <w:rPr>
          <w:rFonts w:ascii="Times New Roman" w:hAnsi="Times New Roman"/>
          <w:b w:val="false"/>
          <w:i w:val="false"/>
          <w:color w:val="000000"/>
          <w:sz w:val="22"/>
        </w:rPr>
        <w:t>When a federal short period return is filed and the federal taxable income is required to be adjusted to an annual basis, the Iowa taxable income shall also be adjusted to an annual basis. The tax liability for a short period is computed by multiplying the taxable income for the short period by 12 and dividing the result by the number of months in the short period. The tax is determined on the resulting total as if it were the taxable income, and the tax computed is divided by 12 and multiplied by the number of months in the short period. This adjustment shall apply only to income attributable to business carried on within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loss carrybacks and carryovers. </w:t>
      </w:r>
      <w:r>
        <w:rPr>
          <w:rFonts w:ascii="Times New Roman" w:hAnsi="Times New Roman"/>
          <w:b w:val="false"/>
          <w:i w:val="false"/>
          <w:color w:val="000000"/>
          <w:sz w:val="22"/>
        </w:rPr>
        <w:t>In years beginning after December 31, 1954, net operating losses shall be allowed or allowable for Iowa corporation income tax purposes to the same extent they are allowed or allowable for federal corporation income tax purposes for the same period, provided the following adjustments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color w:val="000000"/>
          <w:sz w:val="22"/>
        </w:rPr>
        <w:t xml:space="preserve">Additions to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Refunds of federal income taxes due to net operating loss and credit carrybacks shall be reflected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Accrual basis taxpayers shall accrue refunds of federal income taxes to the year in which the net operating loss or excess credit occurs. The federal refund shall still accrue for tax periods beginning on or after January 1, 2009, even though the Iowa net operating loss carryback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Cash basis taxpayers shall reflect refunds of federal income taxes in the return for the year in which the refunds are received. The federal refund due to any net operating loss carryback for federal income tax purposes for tax years beginning on or after January 1, 2009, must still be reflected even though the Iowa net operating loss carryback is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income tax deducted on the federal return for the loss year shall be reflected as an addition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received in the year of the loss on federally tax-exempt securities shall be reflected as additions to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color w:val="000000"/>
          <w:sz w:val="22"/>
        </w:rPr>
        <w:t xml:space="preserve">Reductions of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income tax paid or accrued during the year of the net operating loss shall be reflected to the extent allowed by law as an additional deduction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income tax refunds reported as income for federal return purposes in the loss year shall be reflected as reductions of income in the year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received from federal securities during the loss year shall be reflected in the year of the loss as a reduction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corporation does business both within and without Iowa, it shall make adjustments reflecting the apportionment and allocation of its operating loss on the basis of business done within and without the state of Iowa after completing the provisions of subrules </w:t>
      </w:r>
      <w:hyperlink r:id="rId12">
        <w:r>
          <w:rPr>
            <w:rStyle w:val="Hyperlink"/>
            <w:rFonts w:ascii="Times New Roman" w:hAnsi="Times New Roman"/>
            <w:b w:val="false"/>
            <w:i w:val="false"/>
            <w:color w:val="000000"/>
            <w:sz w:val="22"/>
          </w:rPr>
          <w:t>502.2(1)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502.2(2)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making the adjustments to federal taxable income as provided in </w:t>
      </w:r>
      <w:hyperlink r:id="rId14">
        <w:r>
          <w:rPr>
            <w:rStyle w:val="Hyperlink"/>
            <w:rFonts w:ascii="Times New Roman" w:hAnsi="Times New Roman"/>
            <w:b w:val="false"/>
            <w:i w:val="false"/>
            <w:color w:val="000000"/>
            <w:sz w:val="22"/>
          </w:rPr>
          <w:t>502.2(1)</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502.2(2)</w:t>
        </w:r>
      </w:hyperlink>
      <w:r>
        <w:rPr>
          <w:rFonts w:ascii="Times New Roman" w:hAnsi="Times New Roman"/>
          <w:b w:val="false"/>
          <w:i w:val="false"/>
          <w:color w:val="000000"/>
          <w:sz w:val="22"/>
        </w:rPr>
        <w:t xml:space="preserve">, the total net allocable income or loss shall be added to or deducted from, as the case may be, the net federal income or loss as adjusted for Iowa tax purposes. The resulting income or loss so determined shall be subject to apportionment as provided in rules </w:t>
      </w:r>
      <w:hyperlink r:id="rId16">
        <w:r>
          <w:rPr>
            <w:rStyle w:val="Hyperlink"/>
            <w:rFonts w:ascii="Times New Roman" w:hAnsi="Times New Roman"/>
            <w:b w:val="false"/>
            <w:i w:val="false"/>
            <w:color w:val="000000"/>
            <w:sz w:val="22"/>
          </w:rPr>
          <w:t>701—503.5</w:t>
        </w:r>
      </w:hyperlink>
      <w:r>
        <w:rPr>
          <w:rFonts w:ascii="Times New Roman" w:hAnsi="Times New Roman"/>
          <w:b w:val="false"/>
          <w:i w:val="false"/>
          <w:color w:val="000000"/>
          <w:sz w:val="22"/>
        </w:rPr>
        <w:t xml:space="preserve">(422), </w:t>
      </w:r>
      <w:hyperlink r:id="rId17">
        <w:r>
          <w:rPr>
            <w:rStyle w:val="Hyperlink"/>
            <w:rFonts w:ascii="Times New Roman" w:hAnsi="Times New Roman"/>
            <w:b w:val="false"/>
            <w:i w:val="false"/>
            <w:color w:val="000000"/>
            <w:sz w:val="22"/>
          </w:rPr>
          <w:t>701—503.6</w:t>
        </w:r>
      </w:hyperlink>
      <w:r>
        <w:rPr>
          <w:rFonts w:ascii="Times New Roman" w:hAnsi="Times New Roman"/>
          <w:b w:val="false"/>
          <w:i w:val="false"/>
          <w:color w:val="000000"/>
          <w:sz w:val="22"/>
        </w:rPr>
        <w:t xml:space="preserve">(422) and </w:t>
      </w:r>
      <w:hyperlink r:id="rId18">
        <w:r>
          <w:rPr>
            <w:rStyle w:val="Hyperlink"/>
            <w:rFonts w:ascii="Times New Roman" w:hAnsi="Times New Roman"/>
            <w:b w:val="false"/>
            <w:i w:val="false"/>
            <w:color w:val="000000"/>
            <w:sz w:val="22"/>
          </w:rPr>
          <w:t>701—503.7</w:t>
        </w:r>
      </w:hyperlink>
      <w:r>
        <w:rPr>
          <w:rFonts w:ascii="Times New Roman" w:hAnsi="Times New Roman"/>
          <w:b w:val="false"/>
          <w:i w:val="false"/>
          <w:color w:val="000000"/>
          <w:sz w:val="22"/>
        </w:rPr>
        <w:t>(422). The apportioned income or loss shall be added or deducted, as the case may be, to the amount of net allocable income or loss properly attributable to Iowa. This amount is the taxable income or net operating loss attributable to Iowa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net operating loss attributable to Iowa, as determined in rule </w:t>
      </w:r>
      <w:hyperlink r:id="rId19">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shall be subject to a 3-year carryback and a 15-year carryover provision for tax years beginning prior to August 6, 1997.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15 taxable years. A copy of the federal election made under Section 172(b)(3) of the Internal Revenue Code must be attached to the Iowa corporation income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after August 5, 1997, but before January 1, 2009, a net operating loss attributable to Iowa, as determined in rule </w:t>
      </w:r>
      <w:hyperlink r:id="rId20">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(422), incurred in a presidentially declared disaster area by a corporation engaged in a small business or in the trade or business of farming must be carried back 3 taxable years and carried forward 20 taxable years. All other net operating losses attributable to Iowa must be carried back 2 taxable years and carried forward 20 taxable years. This loss shall be carried back or over to the applicable year as a reduction or part of a reduction of the net income attributable to Iowa for that year. However, an Iowa net operating loss shall not be carried back to a year in which the taxpayer was not doing business in Iowa. If the election under Section 172(b)(3) of the Internal Revenue Code is made, the Iowa net operating loss shall be carried forward 20 taxable years. A copy of the federal election made under Section 172(b)(3) of the Internal Revenue Code must be attached to the Iowa corporation income tax return filed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1998, but before January 1, 2009, for a taxpayer who is engaged in the trade or business of farming as defined in Section 263A(e)(4) of the Internal Revenue Code and has a loss from farming as defined in Section 172(b)(1)(F) of the Internal Revenue Code including modifications prescribed by rule by the director, the Iowa loss from the trade or business of farming is a net operating loss which may be carried back five taxable years prior to the taxable year of the loss. However, if a taxpayer has a net operating loss from the trade or business of farming for a taxable year beginning in 1998 or for a taxable year after 1998 and makes a valid election for federal income tax purposes to carry back the net operating loss two years, or three years if the loss was in a presidentially declared disaster area or related to a casualty or theft loss, the net operating loss must be carried back two years or three years for Iowa income tax purposes. A copy of the federal election made under Section 172(i)(3) of the Internal Revenue Code for the two-year or three-year carryback in lieu of the five-year carryback must be attached to the Iowa return or the Form IA 1139 Application for Refund Due to the Carryback of Corporate Farming Losses, to show why the carryback was two years or three years instead of five years. However, an Iowa net operating loss shall not be carried back to a year in which the taxpayer was not doing business in Iowa.</w:t>
      </w:r>
    </w:p>
    <w:p>
      <w:pPr>
        <w:spacing w:before="0" w:after="0"/>
        <w:ind w:left="120"/>
        <w:jc w:val="both"/>
      </w:pPr>
      <w:r>
        <w:rPr>
          <w:rFonts w:ascii="Times New Roman" w:hAnsi="Times New Roman"/>
          <w:b w:val="false"/>
          <w:i w:val="false"/>
          <w:color w:val="000000"/>
          <w:sz w:val="22"/>
        </w:rPr>
        <w:t>When the taxpayer carries on more than one trade or business within a corporate shell or files a consolidated Iowa corporation income tax return, the income or loss from each trade or business must be combined to determine the amount of net operating loss that exists and whether it is a net operating loss from the trade or business of farming.</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The taxpayer carries on the trade or business of farming and also the trade or business of trucking for entities outside the corporate shell. For the tax year, the taxpayer had a net operating loss from farming of $25,000 and net income from trucking of $10,000 for a net operating loss for the year of $15,000 which is a net operating loss from the trade or business of farming which may be carried back 5 tax years and forward 20 tax years.</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The taxpayer carries on the trade or business of farming and the trade or business of construction. For the tax year, the taxpayer had income from farming of $12,000 and a net operating loss from construction of $45,000 for a net operating loss for the year of $33,000 which is a net operating loss from the trade or business of construction which may be carried back 2 tax years and forward 20 tax years.</w:t>
      </w:r>
    </w:p>
    <w:p>
      <w:pPr>
        <w:spacing w:before="0" w:after="0"/>
        <w:ind w:left="120"/>
        <w:jc w:val="both"/>
      </w:pPr>
      <w:r>
        <w:rPr>
          <w:rFonts w:ascii="Times New Roman" w:hAnsi="Times New Roman"/>
          <w:b w:val="false"/>
          <w:i w:val="false"/>
          <w:color w:val="000000"/>
          <w:sz w:val="22"/>
        </w:rPr>
        <w:t xml:space="preserve">EXAMPLE 3. </w:t>
      </w:r>
      <w:r>
        <w:rPr>
          <w:rFonts w:ascii="Times New Roman" w:hAnsi="Times New Roman"/>
          <w:b w:val="false"/>
          <w:i w:val="false"/>
          <w:color w:val="000000"/>
          <w:sz w:val="22"/>
        </w:rPr>
        <w:t>The taxpayer carries on the trade or business of farming and the trade or business of construction. During the tax year, the taxpayer had a net operating loss of $18,000 from farming and a net operating loss of $9,000 from construction for a total net operating loss of $27,000. Of this net operating loss, $18,000 is from farming and may be carried back 5 years and forward 20 years and $9,000 is from construction and may be carried back 2 years and forward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tax years beginning on or after January 1, 2009, a net operating loss attributable to Iowa, as determined in rule </w:t>
      </w:r>
      <w:hyperlink r:id="rId21">
        <w:r>
          <w:rPr>
            <w:rStyle w:val="Hyperlink"/>
            <w:rFonts w:ascii="Times New Roman" w:hAnsi="Times New Roman"/>
            <w:b w:val="false"/>
            <w:i w:val="false"/>
            <w:color w:val="000000"/>
            <w:sz w:val="22"/>
          </w:rPr>
          <w:t>701—502.2</w:t>
        </w:r>
      </w:hyperlink>
      <w:r>
        <w:rPr>
          <w:rFonts w:ascii="Times New Roman" w:hAnsi="Times New Roman"/>
          <w:b w:val="false"/>
          <w:i w:val="false"/>
          <w:color w:val="000000"/>
          <w:sz w:val="22"/>
        </w:rPr>
        <w:t xml:space="preserve">(422), shall be carried forward 20 taxable years. The net operating loss cannot be carried back to a previous tax year. The federal refund due to any carryback of a federal net operating loss must still be included in income as provided in </w:t>
      </w:r>
      <w:hyperlink r:id="rId22">
        <w:r>
          <w:rPr>
            <w:rStyle w:val="Hyperlink"/>
            <w:rFonts w:ascii="Times New Roman" w:hAnsi="Times New Roman"/>
            <w:b w:val="false"/>
            <w:i w:val="false"/>
            <w:color w:val="000000"/>
            <w:sz w:val="22"/>
          </w:rPr>
          <w:t>paragraph 502.2(1)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val="false"/>
          <w:color w:val="000000"/>
          <w:sz w:val="22"/>
        </w:rPr>
        <w:t>No part of a net operating loss for a year which the corporation was not subject to the imposition of Iowa corporation income tax shall be included in the Iowa net operating loss deduction applicable to any year prior to or subsequent to the year of the loss. To be deductible, a net operating loss must be sustained from that portion of the corporation’s trade or business carried 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val="false"/>
          <w:color w:val="000000"/>
          <w:sz w:val="22"/>
        </w:rPr>
        <w:t>No part of a net operating loss may be carried back or carried forward if the carryback or carryforward would be disallowed for federal income tax purposes under Sections 172(b)(1)(E) and 172(h) of the Internal Revenue Code. This provision is effective for tax years beginning on or after January 1, 1989.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val="false"/>
          <w:color w:val="000000"/>
          <w:sz w:val="22"/>
        </w:rPr>
        <w:t>The carryover of Iowa net operating losses after reorganizations or mergers is limited to the same extent as the carryover of a net operating loss is limited under the provisions of Sections 381 through 386 of the Internal Revenue Code and regulations thereunder or any other section of the Internal Revenue Code or regulations thereunder. Where the taxpayer files as a part of a consolidated income tax return for federal income tax purposes, but a separate return for Iowa income tax purposes, the limitation on an Iowa net operating loss carryover must be determined as though a separate income tax return was filed for federal income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701—502.3</w:t>
      </w:r>
      <w:r>
        <w:rPr>
          <w:rFonts w:ascii="Times New Roman" w:hAnsi="Times New Roman"/>
          <w:b/>
          <w:i w:val="false"/>
          <w:color w:val="000000"/>
          <w:sz w:val="22"/>
        </w:rPr>
        <w:t xml:space="preserve">(422) </w:t>
      </w:r>
      <w:r>
        <w:rPr>
          <w:rFonts w:ascii="Times New Roman" w:hAnsi="Times New Roman"/>
          <w:b/>
          <w:i w:val="false"/>
          <w:color w:val="000000"/>
          <w:sz w:val="22"/>
        </w:rPr>
        <w:t xml:space="preserve">Capital loss carryback.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502.3(1)</w:t>
      </w:r>
      <w:r>
        <w:rPr>
          <w:rFonts w:ascii="Times New Roman" w:hAnsi="Times New Roman"/>
          <w:b w:val="false"/>
          <w:i w:val="false"/>
          <w:color w:val="000000"/>
          <w:sz w:val="22"/>
        </w:rPr>
        <w:t> </w:t>
      </w:r>
      <w:r>
        <w:rPr>
          <w:rFonts w:ascii="Times New Roman" w:hAnsi="Times New Roman"/>
          <w:b w:val="false"/>
          <w:i w:val="false"/>
          <w:color w:val="000000"/>
          <w:sz w:val="22"/>
        </w:rPr>
        <w:t>Capital losses shall be allowed or allowable for Iowa corporation income tax purposes to the same extent they are allowed or allowable for federal corporation income tax purposes. Capital loss carrybacks shall be treated as an adjustment to federal taxable income to arrive at net allocable and apportionable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accrual-basis taxpayers the federal income tax refund shall not be accrued to the loss year but rather treated as a reduction in federal income tax paid in the carryback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Cash-basis taxpayers shall include the federal income tax refund in Iowa taxable income in the year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the taxpayer files a separate Iowa corporation income tax return but files as part of a federal consolidated income tax return, the portion of the federal refund due to a capital loss carryback attributable to the taxpayer shall be calculated by computing the federal tax deduction in the carryback year as follows:</w:t>
      </w:r>
    </w:p>
    <w:tbl>
      <w:tblPr>
        <w:tblW w:w="5000" w:type="pct"/>
        <w:tblCellSpacing w:w="0" w:type="auto"/>
        <w:tblBorders>
          <w:top w:val="none"/>
          <w:left w:val="none"/>
          <w:bottom w:val="none"/>
          <w:right w:val="none"/>
          <w:insideH w:val="none"/>
          <w:insideV w:val="none"/>
        </w:tblBorders>
        <w:tblLayout w:type="fixed"/>
      </w:tblPr>
      <w:tblGrid>
        <w:gridCol w:w="3509"/>
        <w:gridCol w:w="2416"/>
        <w:gridCol w:w="2016"/>
        <w:gridCol w:w="2416"/>
        <w:gridCol w:w="832"/>
      </w:tblGrid>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Separate Company Income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Separate Company Capital</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Consolidated</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350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Loss Carryback</w:t>
            </w:r>
          </w:p>
        </w:tc>
        <w:tc>
          <w:tcPr>
            <w:tcW w:w="24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w:t>
            </w:r>
          </w:p>
        </w:tc>
        <w:tc>
          <w:tcPr>
            <w:tcW w:w="241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832"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w:t>
            </w:r>
          </w:p>
        </w:tc>
      </w:tr>
      <w:tr>
        <w:trPr>
          <w:trHeight w:val="225"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Sum of the Incomes of Profit</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after Capital</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Companies - Sum of Separate</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Loss Carryback</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Company Capital Loss</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Carrybacks to Profit</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350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Companies</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0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4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502.3(2)</w:t>
      </w:r>
      <w:r>
        <w:rPr>
          <w:rFonts w:ascii="Times New Roman" w:hAnsi="Times New Roman"/>
          <w:b w:val="false"/>
          <w:i w:val="false"/>
          <w:color w:val="000000"/>
          <w:sz w:val="22"/>
        </w:rPr>
        <w:t> </w:t>
      </w:r>
      <w:r>
        <w:rPr>
          <w:rFonts w:ascii="Times New Roman" w:hAnsi="Times New Roman"/>
          <w:b w:val="false"/>
          <w:i w:val="false"/>
          <w:color w:val="000000"/>
          <w:sz w:val="22"/>
        </w:rPr>
        <w:t>When the carryback year has both allocable and apportionable capital gains, the capital loss carryback shall be applied pro rata on a percentage basis of the specific gain to the total gains.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Assume a taxpayer has a 1973 capital loss carryback available of $2000. The loss would be applied in the following manner:</w:t>
      </w:r>
    </w:p>
    <w:tbl>
      <w:tblPr>
        <w:tblW w:w="5000" w:type="pct"/>
        <w:tblCellSpacing w:w="0" w:type="auto"/>
        <w:tblBorders>
          <w:top w:val="none"/>
          <w:left w:val="none"/>
          <w:bottom w:val="none"/>
          <w:right w:val="none"/>
          <w:insideH w:val="none"/>
          <w:insideV w:val="none"/>
        </w:tblBorders>
        <w:tblLayout w:type="fixed"/>
      </w:tblPr>
      <w:tblGrid>
        <w:gridCol w:w="985"/>
        <w:gridCol w:w="2665"/>
        <w:gridCol w:w="2665"/>
        <w:gridCol w:w="1225"/>
        <w:gridCol w:w="2665"/>
        <w:gridCol w:w="985"/>
      </w:tblGrid>
      <w:tr>
        <w:trPr>
          <w:trHeight w:val="21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1970</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1970</w:t>
            </w:r>
          </w:p>
        </w:tc>
        <w:tc>
          <w:tcPr>
            <w:tcW w:w="1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1970</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Total Capital Gain</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Allocable Gain</w:t>
            </w:r>
          </w:p>
        </w:tc>
        <w:tc>
          <w:tcPr>
            <w:tcW w:w="1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Apportionable Gain</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$16,000</w:t>
            </w:r>
          </w:p>
        </w:tc>
        <w:tc>
          <w:tcPr>
            <w:tcW w:w="26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$4,000</w:t>
            </w:r>
          </w:p>
        </w:tc>
        <w:tc>
          <w:tcPr>
            <w:tcW w:w="1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$12,000</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Allocable gain</w:t>
            </w:r>
          </w:p>
        </w:tc>
        <w:tc>
          <w:tcPr>
            <w:tcW w:w="26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–$4,000</w:t>
            </w:r>
          </w:p>
        </w:tc>
        <w:tc>
          <w:tcPr>
            <w:tcW w:w="12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66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Total capital gain</w:t>
            </w:r>
          </w:p>
        </w:tc>
        <w:tc>
          <w:tcPr>
            <w:tcW w:w="266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–$16,000</w:t>
            </w:r>
          </w:p>
        </w:tc>
        <w:tc>
          <w:tcPr>
            <w:tcW w:w="122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266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¼ or 25% of carryback to allocable gain</w:t>
            </w:r>
          </w:p>
        </w:tc>
        <w:tc>
          <w:tcPr>
            <w:tcW w:w="9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1970 allocable capital gain after application of loss carryback:</w:t>
            </w:r>
          </w:p>
        </w:tc>
      </w:tr>
      <w:tr>
        <w:trPr>
          <w:trHeight w:val="210" w:hRule="atLeast"/>
        </w:trPr>
        <w:tc>
          <w:tcPr>
            <w:tcW w:w="0" w:type="auto"/>
            <w:gridSpan w:val="6"/>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$4,000 less ($2,000 × 25%) = $3,500 net allocable capital gain.</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701—502.4</w:t>
      </w:r>
      <w:r>
        <w:rPr>
          <w:rFonts w:ascii="Times New Roman" w:hAnsi="Times New Roman"/>
          <w:b/>
          <w:i w:val="false"/>
          <w:color w:val="000000"/>
          <w:sz w:val="22"/>
        </w:rPr>
        <w:t xml:space="preserve">(422) </w:t>
      </w:r>
      <w:r>
        <w:rPr>
          <w:rFonts w:ascii="Times New Roman" w:hAnsi="Times New Roman"/>
          <w:b/>
          <w:i w:val="false"/>
          <w:color w:val="000000"/>
          <w:sz w:val="22"/>
        </w:rPr>
        <w:t xml:space="preserve">Net operating and capital loss carrybacks and carryovers. </w:t>
      </w:r>
      <w:r>
        <w:rPr>
          <w:rFonts w:ascii="Times New Roman" w:hAnsi="Times New Roman"/>
          <w:b w:val="false"/>
          <w:i w:val="false"/>
          <w:color w:val="000000"/>
          <w:sz w:val="22"/>
        </w:rPr>
        <w:t>If the taxpayer, for tax periods beginning prior to January 1, 2009, has both a net operating loss and a capital loss carryback to a prior tax year, the capital loss shall be carried back first and then the new operating loss offset against any remaining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701—502.5</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federal securities. </w:t>
      </w:r>
      <w:r>
        <w:rPr>
          <w:rFonts w:ascii="Times New Roman" w:hAnsi="Times New Roman"/>
          <w:b w:val="false"/>
          <w:i w:val="false"/>
          <w:color w:val="000000"/>
          <w:sz w:val="22"/>
        </w:rPr>
        <w:t xml:space="preserve">See rule </w:t>
      </w:r>
      <w:hyperlink r:id="rId27">
        <w:r>
          <w:rPr>
            <w:rStyle w:val="Hyperlink"/>
            <w:rFonts w:ascii="Times New Roman" w:hAnsi="Times New Roman"/>
            <w:b w:val="false"/>
            <w:i w:val="false"/>
            <w:color w:val="000000"/>
            <w:sz w:val="22"/>
          </w:rPr>
          <w:t>701—302.2</w:t>
        </w:r>
      </w:hyperlink>
      <w:r>
        <w:rPr>
          <w:rFonts w:ascii="Times New Roman" w:hAnsi="Times New Roman"/>
          <w:b w:val="false"/>
          <w:i w:val="false"/>
          <w:color w:val="000000"/>
          <w:sz w:val="22"/>
        </w:rPr>
        <w:t>(422) for a discussion of the exempt status of interest and dividends from federal securities.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701—502.6</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and dividends from foreign securities, and securities of state and their political subdivisions. </w:t>
      </w:r>
      <w:r>
        <w:rPr>
          <w:rFonts w:ascii="Times New Roman" w:hAnsi="Times New Roman"/>
          <w:b w:val="false"/>
          <w:i w:val="false"/>
          <w:color w:val="000000"/>
          <w:sz w:val="22"/>
        </w:rPr>
        <w:t xml:space="preserve">Interest and dividends from foreign securities and from securities of state and their political subdivisions are to be included in Iowa taxable income. Certain types of interest and dividends, because of specific exemption, are not includable in income for federal tax purposes. To the extent such income has been excluded for federal income tax purposes, unless the item of income is specifically exempted from state taxation by the laws or constitution of Iowa or of the United States, it must be added to Iowa taxable income. See rule </w:t>
      </w:r>
      <w:hyperlink r:id="rId29">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for a listing of obligations of the state of Iowa and its political subdivisions, the interest from which is exempt from Iowa corporation income tax. For the tax treatment of interest or dividends from regulated investment companies (mutual funds) that invest in obligations of the type discussed in rule </w:t>
      </w:r>
      <w:hyperlink r:id="rId30">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see rule </w:t>
      </w:r>
      <w:hyperlink r:id="rId31">
        <w:r>
          <w:rPr>
            <w:rStyle w:val="Hyperlink"/>
            <w:rFonts w:ascii="Times New Roman" w:hAnsi="Times New Roman"/>
            <w:b w:val="false"/>
            <w:i w:val="false"/>
            <w:color w:val="000000"/>
            <w:sz w:val="22"/>
          </w:rPr>
          <w:t>701—302.52</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For tax years beginning on or after January 1, 1987, add dividends received from regulated investment companies exempt from federal tax under Section 852(b)(5) of the Internal Revenue Code and subtract the loss on the sale or exchange of a share of a regulated investment company held for six months or less to the extent the loss was disallowed under Section 852(b)(4)(B) of the Internal Revenue Code.</w:t>
      </w:r>
    </w:p>
    <w:p>
      <w:pPr>
        <w:spacing w:before="0" w:after="0"/>
        <w:ind w:left="120"/>
        <w:jc w:val="both"/>
      </w:pPr>
      <w:r>
        <w:rPr>
          <w:rFonts w:ascii="Times New Roman" w:hAnsi="Times New Roman"/>
          <w:b w:val="false"/>
          <w:i w:val="false"/>
          <w:color w:val="000000"/>
          <w:sz w:val="22"/>
        </w:rPr>
        <w:t>For tax years beginning on or after January 1, 2001, add, to the extent not already included, income from the sale of obligations of the state of Iowa and its political subdivisions. Gains or losses from the sale or other disposition of bonds issued by the state of Iowa or its political subdivisions shall be included in Iowa taxable income unless the law authorizing these obligations specifically exempts the income from the sale or other disposition from Iowa corporation income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715</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701—502.7</w:t>
      </w:r>
      <w:r>
        <w:rPr>
          <w:rFonts w:ascii="Times New Roman" w:hAnsi="Times New Roman"/>
          <w:b/>
          <w:i w:val="false"/>
          <w:color w:val="000000"/>
          <w:sz w:val="22"/>
        </w:rPr>
        <w:t xml:space="preserve">(422) </w:t>
      </w:r>
      <w:r>
        <w:rPr>
          <w:rFonts w:ascii="Times New Roman" w:hAnsi="Times New Roman"/>
          <w:b/>
          <w:i w:val="false"/>
          <w:color w:val="000000"/>
          <w:sz w:val="22"/>
        </w:rPr>
        <w:t xml:space="preserve">Safe harbor leases. </w:t>
      </w:r>
      <w:r>
        <w:rPr>
          <w:rFonts w:ascii="Times New Roman" w:hAnsi="Times New Roman"/>
          <w:b w:val="false"/>
          <w:i w:val="false"/>
          <w:color w:val="000000"/>
          <w:sz w:val="22"/>
        </w:rPr>
        <w:t>For tax years ending after January 1, 1981, deductions in determining federal taxable income for sale-leaseback agreements taken as a result of the application of Section 168(f)(8) of the Internal Revenue Code shall be added in determining Iowa taxable income to the extent such deductions cannot be taken under provisions of Sections 162, 163 and 167 of the Internal Revenue Code. The lessor shall add depreciation and interest expense, and the lessee shall add rental expense. When the deduction for depreciation is not allowed under a previous provision of this rule, the lessee shall be allowed a deduction for depreciation on any property involved in a sale-leaseback agreement. This depreciation shall be computed in accordance with Section 168(a) of the Internal Revenue Code. Income received as a result of a sale-leaseback agreement shall be deducted in determining Iowa taxable income. The lessee shall deduct interest income and the lessor shall deduct rent income. Each lessor and lessee corporation shall include a copy of federal Form 6793 in its Iowa corporation income tax return for the year in which a safe harbor lease is entered into.</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701—502.8</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Additions to federal taxable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502.8(1)</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502.8(2)</w:t>
      </w:r>
      <w:r>
        <w:rPr>
          <w:rFonts w:ascii="Times New Roman" w:hAnsi="Times New Roman"/>
          <w:b w:val="false"/>
          <w:i w:val="false"/>
          <w:color w:val="000000"/>
          <w:sz w:val="22"/>
        </w:rPr>
        <w:t> </w:t>
      </w:r>
      <w:r>
        <w:rPr>
          <w:rFonts w:ascii="Times New Roman" w:hAnsi="Times New Roman"/>
          <w:b w:val="false"/>
          <w:i/>
          <w:color w:val="000000"/>
          <w:sz w:val="22"/>
        </w:rPr>
        <w:t xml:space="preserve">Percentage depletion. </w:t>
      </w:r>
      <w:r>
        <w:rPr>
          <w:rFonts w:ascii="Times New Roman" w:hAnsi="Times New Roman"/>
          <w:b w:val="false"/>
          <w:i w:val="false"/>
          <w:color w:val="000000"/>
          <w:sz w:val="22"/>
        </w:rPr>
        <w:t>For tax years beginning on or after January 1, 1986, add the amount that percentage depletion of an oil, gas, or geothermal well computed under Section 613 of the Internal Revenue Code is in excess of cost depletion computed under Section 611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502.8(3)</w:t>
      </w:r>
      <w:r>
        <w:rPr>
          <w:rFonts w:ascii="Times New Roman" w:hAnsi="Times New Roman"/>
          <w:b w:val="false"/>
          <w:i w:val="false"/>
          <w:color w:val="000000"/>
          <w:sz w:val="22"/>
        </w:rPr>
        <w:t> </w:t>
      </w:r>
      <w:r>
        <w:rPr>
          <w:rFonts w:ascii="Times New Roman" w:hAnsi="Times New Roman"/>
          <w:b w:val="false"/>
          <w:i/>
          <w:color w:val="000000"/>
          <w:sz w:val="22"/>
        </w:rPr>
        <w:t xml:space="preserve">Charitable contributions relating to the charitable conservation contribution tax credit. </w:t>
      </w:r>
      <w:r>
        <w:rPr>
          <w:rFonts w:ascii="Times New Roman" w:hAnsi="Times New Roman"/>
          <w:b w:val="false"/>
          <w:i w:val="false"/>
          <w:color w:val="000000"/>
          <w:sz w:val="22"/>
        </w:rPr>
        <w:t xml:space="preserve">For tax years beginning on or after January 1, 2008, a taxpayer who claims a charitable conservation contribution tax credit in accordance with rule </w:t>
      </w:r>
      <w:hyperlink r:id="rId34">
        <w:r>
          <w:rPr>
            <w:rStyle w:val="Hyperlink"/>
            <w:rFonts w:ascii="Times New Roman" w:hAnsi="Times New Roman"/>
            <w:b w:val="false"/>
            <w:i w:val="false"/>
            <w:color w:val="000000"/>
            <w:sz w:val="22"/>
          </w:rPr>
          <w:t>701—501.37</w:t>
        </w:r>
      </w:hyperlink>
      <w:r>
        <w:rPr>
          <w:rFonts w:ascii="Times New Roman" w:hAnsi="Times New Roman"/>
          <w:b w:val="false"/>
          <w:i w:val="false"/>
          <w:color w:val="000000"/>
          <w:sz w:val="22"/>
        </w:rPr>
        <w:t xml:space="preserve">(422) cannot claim a deduction for charitable contributions under Section 170 of the Internal Revenue Code for the amount of the contribution for which the tax credit is claimed for Iowa tax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502.8(4)</w:t>
      </w:r>
      <w:r>
        <w:rPr>
          <w:rFonts w:ascii="Times New Roman" w:hAnsi="Times New Roman"/>
          <w:b w:val="false"/>
          <w:i w:val="false"/>
          <w:color w:val="000000"/>
          <w:sz w:val="22"/>
        </w:rPr>
        <w:t> </w:t>
      </w:r>
      <w:r>
        <w:rPr>
          <w:rFonts w:ascii="Times New Roman" w:hAnsi="Times New Roman"/>
          <w:b w:val="false"/>
          <w:i/>
          <w:color w:val="000000"/>
          <w:sz w:val="22"/>
        </w:rPr>
        <w:t xml:space="preserve">Charitable contributions relating to school tuition organizations. </w:t>
      </w:r>
      <w:r>
        <w:rPr>
          <w:rFonts w:ascii="Times New Roman" w:hAnsi="Times New Roman"/>
          <w:b w:val="false"/>
          <w:i w:val="false"/>
          <w:color w:val="000000"/>
          <w:sz w:val="22"/>
        </w:rPr>
        <w:t xml:space="preserve">For tax years beginning on or after July 1, 2009, a taxpayer who claims a school tuition organization tax credit in accordance with rule </w:t>
      </w:r>
      <w:hyperlink r:id="rId35">
        <w:r>
          <w:rPr>
            <w:rStyle w:val="Hyperlink"/>
            <w:rFonts w:ascii="Times New Roman" w:hAnsi="Times New Roman"/>
            <w:b w:val="false"/>
            <w:i w:val="false"/>
            <w:color w:val="000000"/>
            <w:sz w:val="22"/>
          </w:rPr>
          <w:t>701—501.38</w:t>
        </w:r>
      </w:hyperlink>
      <w:r>
        <w:rPr>
          <w:rFonts w:ascii="Times New Roman" w:hAnsi="Times New Roman"/>
          <w:b w:val="false"/>
          <w:i w:val="false"/>
          <w:color w:val="000000"/>
          <w:sz w:val="22"/>
        </w:rPr>
        <w:t>(422) cannot claim a deduction for charitable contributions under Section 170 of the Internal Revenue Code for the amount of the contribution to the school tuition organization for which the tax credit is claimed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502.8(5)</w:t>
      </w:r>
      <w:r>
        <w:rPr>
          <w:rFonts w:ascii="Times New Roman" w:hAnsi="Times New Roman"/>
          <w:b w:val="false"/>
          <w:i w:val="false"/>
          <w:color w:val="000000"/>
          <w:sz w:val="22"/>
        </w:rPr>
        <w:t> </w:t>
      </w:r>
      <w:r>
        <w:rPr>
          <w:rFonts w:ascii="Times New Roman" w:hAnsi="Times New Roman"/>
          <w:b w:val="false"/>
          <w:i/>
          <w:color w:val="000000"/>
          <w:sz w:val="22"/>
        </w:rPr>
        <w:t xml:space="preserve">Charitable contributions relating to the endow Iowa tax credit. </w:t>
      </w:r>
      <w:r>
        <w:rPr>
          <w:rFonts w:ascii="Times New Roman" w:hAnsi="Times New Roman"/>
          <w:b w:val="false"/>
          <w:i w:val="false"/>
          <w:color w:val="000000"/>
          <w:sz w:val="22"/>
        </w:rPr>
        <w:t xml:space="preserve">For tax years beginning on or after January 1, 2010, a taxpayer who claims an endow Iowa tax credit in accordance with rule </w:t>
      </w:r>
      <w:hyperlink r:id="rId36">
        <w:r>
          <w:rPr>
            <w:rStyle w:val="Hyperlink"/>
            <w:rFonts w:ascii="Times New Roman" w:hAnsi="Times New Roman"/>
            <w:b w:val="false"/>
            <w:i w:val="false"/>
            <w:color w:val="000000"/>
            <w:sz w:val="22"/>
          </w:rPr>
          <w:t>701—501.23</w:t>
        </w:r>
      </w:hyperlink>
      <w:r>
        <w:rPr>
          <w:rFonts w:ascii="Times New Roman" w:hAnsi="Times New Roman"/>
          <w:b w:val="false"/>
          <w:i w:val="false"/>
          <w:color w:val="000000"/>
          <w:sz w:val="22"/>
        </w:rPr>
        <w:t>(15E,422) cannot claim a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502.8(6)</w:t>
      </w:r>
      <w:r>
        <w:rPr>
          <w:rFonts w:ascii="Times New Roman" w:hAnsi="Times New Roman"/>
          <w:b w:val="false"/>
          <w:i w:val="false"/>
          <w:color w:val="000000"/>
          <w:sz w:val="22"/>
        </w:rPr>
        <w:t> </w:t>
      </w:r>
      <w:r>
        <w:rPr>
          <w:rFonts w:ascii="Times New Roman" w:hAnsi="Times New Roman"/>
          <w:b w:val="false"/>
          <w:i/>
          <w:color w:val="000000"/>
          <w:sz w:val="22"/>
        </w:rPr>
        <w:t xml:space="preserve">Charitable contributions related to the from farm to food donation tax credit. </w:t>
      </w:r>
      <w:r>
        <w:rPr>
          <w:rFonts w:ascii="Times New Roman" w:hAnsi="Times New Roman"/>
          <w:b w:val="false"/>
          <w:i w:val="false"/>
          <w:color w:val="000000"/>
          <w:sz w:val="22"/>
        </w:rPr>
        <w:t xml:space="preserve">For tax years beginning on or after January 1, 2014, a taxpayer who claims a from farm to food donation tax credit in accordance with rule </w:t>
      </w:r>
      <w:hyperlink r:id="rId37">
        <w:r>
          <w:rPr>
            <w:rStyle w:val="Hyperlink"/>
            <w:rFonts w:ascii="Times New Roman" w:hAnsi="Times New Roman"/>
            <w:b w:val="false"/>
            <w:i w:val="false"/>
            <w:color w:val="000000"/>
            <w:sz w:val="22"/>
          </w:rPr>
          <w:t>701—501.45</w:t>
        </w:r>
      </w:hyperlink>
      <w:r>
        <w:rPr>
          <w:rFonts w:ascii="Times New Roman" w:hAnsi="Times New Roman"/>
          <w:b w:val="false"/>
          <w:i w:val="false"/>
          <w:color w:val="000000"/>
          <w:sz w:val="22"/>
        </w:rPr>
        <w:t>(422,85GA,SF452) cannot claim a deduction for charitable contributions under Section 170 of the Internal Revenue Code for the amount of the contribution for which the tax credit is claimed for Iowa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Senate File 452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1303C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701—502.9</w:t>
      </w:r>
      <w:r>
        <w:rPr>
          <w:rFonts w:ascii="Times New Roman" w:hAnsi="Times New Roman"/>
          <w:b/>
          <w:i w:val="false"/>
          <w:color w:val="000000"/>
          <w:sz w:val="22"/>
        </w:rPr>
        <w:t xml:space="preserve">(422) </w:t>
      </w:r>
      <w:r>
        <w:rPr>
          <w:rFonts w:ascii="Times New Roman" w:hAnsi="Times New Roman"/>
          <w:b/>
          <w:i w:val="false"/>
          <w:color w:val="000000"/>
          <w:sz w:val="22"/>
        </w:rPr>
        <w:t xml:space="preserve">Gains and losses on property acquired before January 1, 1934. </w:t>
      </w:r>
      <w:r>
        <w:rPr>
          <w:rFonts w:ascii="Times New Roman" w:hAnsi="Times New Roman"/>
          <w:b w:val="false"/>
          <w:i w:val="false"/>
          <w:color w:val="000000"/>
          <w:sz w:val="22"/>
        </w:rPr>
        <w:t xml:space="preserve">Where property was acquired prior to January 1, 1934, the basis as of January 1, 1934, for determining capital or other gains or losses is the higher of cost, adjusted for depreciation allowed or allowable to January 1, 1934, or fair market value as of that date. </w:t>
      </w:r>
      <w:r>
        <w:rPr>
          <w:rFonts w:ascii="Times New Roman" w:hAnsi="Times New Roman"/>
          <w:b w:val="false"/>
          <w:i/>
          <w:color w:val="000000"/>
          <w:sz w:val="22"/>
        </w:rPr>
        <w:t>City National Bank of Clinton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Tax Commission,</w:t>
      </w:r>
      <w:r>
        <w:rPr>
          <w:rFonts w:ascii="Times New Roman" w:hAnsi="Times New Roman"/>
          <w:b w:val="false"/>
          <w:i w:val="false"/>
          <w:color w:val="000000"/>
          <w:sz w:val="22"/>
        </w:rPr>
        <w:t xml:space="preserve"> 251 Iowa 603, 102 N.W.2d 381 (1960).</w:t>
      </w:r>
    </w:p>
    <w:p>
      <w:pPr>
        <w:spacing w:before="0" w:after="0"/>
        <w:ind w:left="120"/>
        <w:jc w:val="both"/>
      </w:pPr>
      <w:r>
        <w:rPr>
          <w:rFonts w:ascii="Times New Roman" w:hAnsi="Times New Roman"/>
          <w:b w:val="false"/>
          <w:i w:val="false"/>
          <w:color w:val="000000"/>
          <w:sz w:val="22"/>
        </w:rPr>
        <w:t>If as a result of this provision a basis is to be used for purposes of Iowa corporation income tax which is different from the basis used for purposes of federal income tax, appropriate adjustment must be made and detailed schedules supplied in the computation of Iowa taxable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701—502.10</w:t>
      </w:r>
      <w:r>
        <w:rPr>
          <w:rFonts w:ascii="Times New Roman" w:hAnsi="Times New Roman"/>
          <w:b/>
          <w:i w:val="false"/>
          <w:color w:val="000000"/>
          <w:sz w:val="22"/>
        </w:rPr>
        <w:t xml:space="preserve">(422) </w:t>
      </w:r>
      <w:r>
        <w:rPr>
          <w:rFonts w:ascii="Times New Roman" w:hAnsi="Times New Roman"/>
          <w:b/>
          <w:i w:val="false"/>
          <w:color w:val="000000"/>
          <w:sz w:val="22"/>
        </w:rPr>
        <w:t xml:space="preserve">Work opportunity tax credit and alcohol and cellulosic biofuel fuels credit. </w:t>
      </w:r>
      <w:r>
        <w:rPr>
          <w:rFonts w:ascii="Times New Roman" w:hAnsi="Times New Roman"/>
          <w:b w:val="false"/>
          <w:i w:val="false"/>
          <w:color w:val="000000"/>
          <w:sz w:val="22"/>
        </w:rPr>
        <w:t>Where provided for in the Internal Revenue Code, as detailed below, a deduction shall be allowed for the amount of credit to the extent that the credit increased federal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502.10(1)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January 1, 1977, the amount of credit allowable for federal work opportunity tax credit as provided for in Section 51 of the Internal Revenue Code shall be a deduction from Iowa taxable income to the extent the credit increased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502.10(2)</w:t>
      </w:r>
      <w:r>
        <w:rPr>
          <w:rFonts w:ascii="Times New Roman" w:hAnsi="Times New Roman"/>
          <w:b w:val="false"/>
          <w:i w:val="false"/>
          <w:color w:val="000000"/>
          <w:sz w:val="22"/>
        </w:rPr>
        <w:t> </w:t>
      </w:r>
      <w:r>
        <w:rPr>
          <w:rFonts w:ascii="Times New Roman" w:hAnsi="Times New Roman"/>
          <w:b w:val="false"/>
          <w:i w:val="false"/>
          <w:color w:val="000000"/>
          <w:sz w:val="22"/>
        </w:rPr>
        <w:t>For tax periods beginning on or after January 1, 1980, the amount of credit allowable for the federal alcohol and cellulosic biofuel fuels credit as provided for in Section 40 of the Internal Revenue Code shall be a deduction from Iowa taxable income to the extent the credit increased income.</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40">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2328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701—502.11</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deduction for wages paid or accrued for work done in Iowa by certain individuals. </w:t>
      </w:r>
      <w:r>
        <w:rPr>
          <w:rFonts w:ascii="Times New Roman" w:hAnsi="Times New Roman"/>
          <w:b w:val="false"/>
          <w:i w:val="false"/>
          <w:color w:val="000000"/>
          <w:sz w:val="22"/>
        </w:rPr>
        <w:t xml:space="preserve">For tax years beginning on or after January 1, 1984, a taxpayer which is considered to be a small business corporation, as defined by subrule </w:t>
      </w:r>
      <w:hyperlink r:id="rId41">
        <w:r>
          <w:rPr>
            <w:rStyle w:val="Hyperlink"/>
            <w:rFonts w:ascii="Times New Roman" w:hAnsi="Times New Roman"/>
            <w:b w:val="false"/>
            <w:i w:val="false"/>
            <w:color w:val="000000"/>
            <w:sz w:val="22"/>
          </w:rPr>
          <w:t>502.11(2)</w:t>
        </w:r>
      </w:hyperlink>
      <w:r>
        <w:rPr>
          <w:rFonts w:ascii="Times New Roman" w:hAnsi="Times New Roman"/>
          <w:b w:val="false"/>
          <w:i w:val="false"/>
          <w:color w:val="000000"/>
          <w:sz w:val="22"/>
        </w:rPr>
        <w:t>, is allowed a deduction for 50 percent of the first 12 months of wages paid or accrued during the tax years for work done in Iowa for employees first hired on or after January 1, 1984.</w:t>
      </w:r>
    </w:p>
    <w:p>
      <w:pPr>
        <w:spacing w:before="0" w:after="0"/>
        <w:ind w:left="120"/>
        <w:jc w:val="both"/>
      </w:pPr>
      <w:r>
        <w:rPr>
          <w:rFonts w:ascii="Times New Roman" w:hAnsi="Times New Roman"/>
          <w:b w:val="false"/>
          <w:i w:val="false"/>
          <w:color w:val="000000"/>
          <w:sz w:val="22"/>
        </w:rPr>
        <w:t>A handicapped individual domiciled in this state at the time of hiring.</w:t>
      </w:r>
    </w:p>
    <w:p>
      <w:pPr>
        <w:spacing w:before="0" w:after="0"/>
        <w:ind w:left="120"/>
        <w:jc w:val="both"/>
      </w:pPr>
      <w:r>
        <w:rPr>
          <w:rFonts w:ascii="Times New Roman" w:hAnsi="Times New Roman"/>
          <w:b w:val="false"/>
          <w:i w:val="false"/>
          <w:color w:val="000000"/>
          <w:sz w:val="22"/>
        </w:rPr>
        <w:t>An individual domiciled in this state at the time of hiring who meets any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Is on parole pursuant to Iowa Code chapter </w:t>
      </w:r>
      <w:hyperlink r:id="rId42">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Is on probation pursuant to Iowa Code chapter </w:t>
      </w:r>
      <w:hyperlink r:id="rId43">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xml:space="preserve"> for an offense other than a simple misdemeanor.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Is in a work release program pursuant to Iowa Code chapter </w:t>
      </w:r>
      <w:hyperlink r:id="rId44">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chapter </w:t>
      </w:r>
      <w:hyperlink r:id="rId45">
        <w:r>
          <w:rPr>
            <w:rStyle w:val="Hyperlink"/>
            <w:rFonts w:ascii="Times New Roman" w:hAnsi="Times New Roman"/>
            <w:b w:val="false"/>
            <w:i w:val="false"/>
            <w:color w:val="000000"/>
            <w:sz w:val="22"/>
          </w:rPr>
          <w:t>913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xml:space="preserve">For tax years beginning on or after January 1, 1989, a taxpayer which is considered to be a small business corporation, as defined by subrule </w:t>
      </w:r>
      <w:hyperlink r:id="rId46">
        <w:r>
          <w:rPr>
            <w:rStyle w:val="Hyperlink"/>
            <w:rFonts w:ascii="Times New Roman" w:hAnsi="Times New Roman"/>
            <w:b w:val="false"/>
            <w:i w:val="false"/>
            <w:color w:val="000000"/>
            <w:sz w:val="22"/>
          </w:rPr>
          <w:t>502.11(2)</w:t>
        </w:r>
      </w:hyperlink>
      <w:r>
        <w:rPr>
          <w:rFonts w:ascii="Times New Roman" w:hAnsi="Times New Roman"/>
          <w:b w:val="false"/>
          <w:i w:val="false"/>
          <w:color w:val="000000"/>
          <w:sz w:val="22"/>
        </w:rPr>
        <w:t xml:space="preserve"> is allowed a deduction for 65 percent not to exceed $20,000 of the first 12 months of wages paid or accrued during the tax year for work done in Iowa for employees first hired after January 1, 1989, who meet the above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502.11(1)</w:t>
      </w:r>
      <w:r>
        <w:rPr>
          <w:rFonts w:ascii="Times New Roman" w:hAnsi="Times New Roman"/>
          <w:b w:val="false"/>
          <w:i w:val="false"/>
          <w:color w:val="000000"/>
          <w:sz w:val="22"/>
        </w:rPr>
        <w:t> </w:t>
      </w:r>
      <w:r>
        <w:rPr>
          <w:rFonts w:ascii="Times New Roman" w:hAnsi="Times New Roman"/>
          <w:b w:val="false"/>
          <w:i w:val="false"/>
          <w:color w:val="000000"/>
          <w:sz w:val="22"/>
        </w:rPr>
        <w:t>The additional deduction shall not be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shall be allowed.</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502.11(2)</w:t>
      </w:r>
      <w:r>
        <w:rPr>
          <w:rFonts w:ascii="Times New Roman" w:hAnsi="Times New Roman"/>
          <w:b w:val="false"/>
          <w:i w:val="false"/>
          <w:color w:val="000000"/>
          <w:sz w:val="22"/>
        </w:rPr>
        <w:t> </w:t>
      </w:r>
      <w:r>
        <w:rPr>
          <w:rFonts w:ascii="Times New Roman" w:hAnsi="Times New Roman"/>
          <w:b w:val="false"/>
          <w:i w:val="false"/>
          <w:color w:val="000000"/>
          <w:sz w:val="22"/>
        </w:rPr>
        <w:t>The term “small business corporation” includes the operation of a farm but does not include the practice of a profession. The following conditions apply for the purpose of determining what constitutes a small business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had more than 20 full-time equivalent positions during each of the 26 consecutive weeks within the 52-week period immediately preceding the date on which the individual for whom an additional deduction for wages is taken was hired. Full-time equivalent position 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employment position requiring an average work week of 40 or more hours;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employment position for which compensation is paid on a salaried full-time basis without regard to hours worked;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aggregation of any number of part-time positions which equal one full-time position. For purposes of this subrule each part-time position shall be categorized with regard to the average number of hours worked each week as a one-quarter, half, three-quarter, or full-time position, as set forth in the following table:</w:t>
      </w:r>
    </w:p>
    <w:tbl>
      <w:tblPr>
        <w:tblW w:w="5000" w:type="pct"/>
        <w:tblCellSpacing w:w="0" w:type="auto"/>
        <w:tblBorders>
          <w:top w:val="none"/>
          <w:left w:val="none"/>
          <w:bottom w:val="none"/>
          <w:right w:val="none"/>
          <w:insideH w:val="none"/>
          <w:insideV w:val="none"/>
        </w:tblBorders>
        <w:tblLayout w:type="fixed"/>
      </w:tblPr>
      <w:tblGrid>
        <w:gridCol w:w="1838"/>
        <w:gridCol w:w="4718"/>
        <w:gridCol w:w="2797"/>
        <w:gridCol w:w="1837"/>
      </w:tblGrid>
      <w:tr>
        <w:trPr>
          <w:trHeight w:val="210" w:hRule="atLeast"/>
        </w:trPr>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Average Number of Weekly Hours</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Category</w:t>
            </w:r>
          </w:p>
        </w:tc>
        <w:tc>
          <w:tcPr>
            <w:tcW w:w="18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More than 0 but less than 15</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¼</w:t>
            </w:r>
          </w:p>
        </w:tc>
        <w:tc>
          <w:tcPr>
            <w:tcW w:w="18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 or more but less than 25</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½</w:t>
            </w:r>
          </w:p>
        </w:tc>
        <w:tc>
          <w:tcPr>
            <w:tcW w:w="18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or more but less than 35</w:t>
            </w:r>
          </w:p>
        </w:tc>
        <w:tc>
          <w:tcPr>
            <w:tcW w:w="279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¾</w:t>
            </w:r>
          </w:p>
        </w:tc>
        <w:tc>
          <w:tcPr>
            <w:tcW w:w="18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8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7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35 or more</w:t>
            </w:r>
          </w:p>
        </w:tc>
        <w:tc>
          <w:tcPr>
            <w:tcW w:w="2797"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 (full-time)</w:t>
            </w:r>
          </w:p>
        </w:tc>
        <w:tc>
          <w:tcPr>
            <w:tcW w:w="18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have more than $1 million in annual gross revenues or after July 1, 1984, $3 million in annual gross revenues or as the average of the three preceding tax years. “Annual gross revenues” means total sales, before deducting returns and allowances but after deducting corrections and trade discounts, sales taxes and excise taxes based on sales, as determined in accordance with generally accepted accounting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small business corporation shall not be an affiliate or subsidiary of a business which is dominant in its field of operation. “Dominant in its field of operation” means having more than 20 full-time equivalent employees and more than $1 million of annual gross revenues or after July 1, 1984, $3 million of annual gross revenues or as the average of the three preceding tax years. “Affiliate or subsidiary of a business dominant in its field of operations” means a business which is at least 20 percent owned by a business dominant in its field of operation, or by partners, officers, directors, majority stockholders, or their equivalent, of a business dominant in that field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“Operation of a farm” means the cultivation of land for the production of agricultural crops, the raising of poultry, the production of eggs, the production of milk, the production of fruit or other horticultural crops, grazing or the production of livestock. Operation of a farm shall not include the production of timber, forest products, nursery products, or sod and operation of a farm shall not include a contract where a processor or distributor of farm products or supplies provides spraying, harvesting or other farm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practice of a profession” means a vocation requiring specialized knowledge and preparation including but not limited to the following: medicine and surgery, podiatry, osteopathy, osteopathic medicine and surgery, psychology, psychiatry, chiropractic, nursing, dentistry, dental hygiene, optometry, speech pathology, audiology, pharmacy, physical therapy, occupational therapy, mortuary science, law, architecture, engineering and surveying, and accounting.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502.11(3)</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“handicapped person”</w:t>
      </w:r>
      <w:r>
        <w:rPr>
          <w:rFonts w:ascii="Times New Roman" w:hAnsi="Times New Roman"/>
          <w:b w:val="false"/>
          <w:i w:val="false"/>
          <w:color w:val="000000"/>
          <w:sz w:val="22"/>
        </w:rPr>
        <w:t xml:space="preserve"> means any person who has a physical or mental impairment which substantially limits one or more major life activities, has a record of such impairment, or is regarded as having such an impairment.</w:t>
      </w:r>
    </w:p>
    <w:p>
      <w:pPr>
        <w:spacing w:before="0" w:after="0"/>
        <w:ind w:left="120"/>
        <w:jc w:val="both"/>
      </w:pPr>
      <w:r>
        <w:rPr>
          <w:rFonts w:ascii="Times New Roman" w:hAnsi="Times New Roman"/>
          <w:b w:val="false"/>
          <w:i w:val="false"/>
          <w:color w:val="000000"/>
          <w:sz w:val="22"/>
        </w:rPr>
        <w:t>The term handicapped does not include any person who is an alcoholic or drug abuser whose current use of alcohol or drugs prevents the person from performing the duties of employment or whose employment, by reason of current use of alcohol or drugs, would constitute a direct threat to the property or the safety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“physical or mental impairment”</w:t>
      </w:r>
      <w:r>
        <w:rPr>
          <w:rFonts w:ascii="Times New Roman" w:hAnsi="Times New Roman"/>
          <w:b w:val="false"/>
          <w:i w:val="false"/>
          <w:color w:val="000000"/>
          <w:sz w:val="22"/>
        </w:rPr>
        <w:t xml:space="preserve"> means any physiological disorder or condition, cosmetic disfigurement, or anatomical loss affecting one or more of the following body systems: neurological; musculoskeletal; special sense organs; respiratory, including speech organs; cardiovascular; reproductive; digestive; genitourinary; hemic and lymphatic; skin and endocrine; or any mental or psychological disorder, such as intellectual disability, organic brain syndrome, emotional or mental illness, and specific learning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“major life activities”</w:t>
      </w:r>
      <w:r>
        <w:rPr>
          <w:rFonts w:ascii="Times New Roman" w:hAnsi="Times New Roman"/>
          <w:b w:val="false"/>
          <w:i w:val="false"/>
          <w:color w:val="000000"/>
          <w:sz w:val="22"/>
        </w:rPr>
        <w:t xml:space="preserve"> means functions such as caring for one’s self, performing manual tasks, walking, seeing, hearing, speaking, breathing, learning, and working.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“has a record of such impairment”</w:t>
      </w:r>
      <w:r>
        <w:rPr>
          <w:rFonts w:ascii="Times New Roman" w:hAnsi="Times New Roman"/>
          <w:b w:val="false"/>
          <w:i w:val="false"/>
          <w:color w:val="000000"/>
          <w:sz w:val="22"/>
        </w:rPr>
        <w:t xml:space="preserve"> means has a history of, or has been misclassified as having, a mental or physical impairment that substantially limits one or more major life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“is regarded as having such an impairment”</w:t>
      </w:r>
      <w:r>
        <w:rPr>
          <w:rFonts w:ascii="Times New Roman" w:hAnsi="Times New Roman"/>
          <w:b w:val="false"/>
          <w:i w:val="false"/>
          <w:color w:val="000000"/>
          <w:sz w:val="22"/>
        </w:rPr>
        <w:t xml:space="preserve"> 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a physical or mental impairment that does not substantially limit major life activities but that is perceived as constituting such a limitation;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a physical or mental impairment that substantially limits major life activities only as a result of the attitudes of others toward such impairment;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Has none of the impairments defined as physical or mental impairments, but is perceived as having such an impairment.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“successfully completing a probationary period”</w:t>
      </w:r>
      <w:r>
        <w:rPr>
          <w:rFonts w:ascii="Times New Roman" w:hAnsi="Times New Roman"/>
          <w:b w:val="false"/>
          <w:i w:val="false"/>
          <w:color w:val="000000"/>
          <w:sz w:val="22"/>
        </w:rPr>
        <w:t xml:space="preserve"> includes those instances where the employee quits without good cause attributable to the employer during the probationary period or was discharged for misconduct during the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w:t>
      </w:r>
      <w:r>
        <w:rPr>
          <w:rFonts w:ascii="Times New Roman" w:hAnsi="Times New Roman"/>
          <w:b w:val="false"/>
          <w:i/>
          <w:color w:val="000000"/>
          <w:sz w:val="22"/>
        </w:rPr>
        <w:t>“probationary period”</w:t>
      </w:r>
      <w:r>
        <w:rPr>
          <w:rFonts w:ascii="Times New Roman" w:hAnsi="Times New Roman"/>
          <w:b w:val="false"/>
          <w:i w:val="false"/>
          <w:color w:val="000000"/>
          <w:sz w:val="22"/>
        </w:rPr>
        <w:t xml:space="preserve"> means the period of probation for newly hired employees, if the employer has a written probationary policy. If the employer has no written probationary policy for newly hired employees, the probationary period shall be considered to be six months from the date of hire.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502.11(4)</w:t>
      </w:r>
      <w:r>
        <w:rPr>
          <w:rFonts w:ascii="Times New Roman" w:hAnsi="Times New Roman"/>
          <w:b w:val="false"/>
          <w:i w:val="false"/>
          <w:color w:val="000000"/>
          <w:sz w:val="22"/>
        </w:rPr>
        <w:t> </w:t>
      </w:r>
      <w:r>
        <w:rPr>
          <w:rFonts w:ascii="Times New Roman" w:hAnsi="Times New Roman"/>
          <w:b w:val="false"/>
          <w:i w:val="false"/>
          <w:color w:val="000000"/>
          <w:sz w:val="22"/>
        </w:rPr>
        <w:t>If a newly hired employee has been certified as either a vocational rehabilitation referral or an economically disadvantaged ex-convict for purposes of qualification for the work opportunity tax credit under Section 51 of the Internal Revenue Code, that employee shall be considered to have met the qualifications for the additional wage deduction.</w:t>
      </w:r>
    </w:p>
    <w:p>
      <w:pPr>
        <w:spacing w:before="0" w:after="0"/>
        <w:ind w:left="120"/>
        <w:jc w:val="both"/>
      </w:pPr>
      <w:r>
        <w:rPr>
          <w:rFonts w:ascii="Times New Roman" w:hAnsi="Times New Roman"/>
          <w:b w:val="false"/>
          <w:i w:val="false"/>
          <w:color w:val="000000"/>
          <w:sz w:val="22"/>
        </w:rPr>
        <w:t>A vocational rehabilitation referral is any individual certified by a state employment agency as having a physical or mental disability which, for the individual, constitutes or results in a substantial handicap to employment. In addition, the individual must have been referred to the employer after completion or while receiving rehabilitation services pursuant to either a state or federal approved vocational rehabilitation program.</w:t>
      </w:r>
    </w:p>
    <w:p>
      <w:pPr>
        <w:spacing w:before="0" w:after="0"/>
        <w:ind w:left="120"/>
        <w:jc w:val="both"/>
      </w:pPr>
      <w:r>
        <w:rPr>
          <w:rFonts w:ascii="Times New Roman" w:hAnsi="Times New Roman"/>
          <w:b w:val="false"/>
          <w:i w:val="false"/>
          <w:color w:val="000000"/>
          <w:sz w:val="22"/>
        </w:rPr>
        <w:t>For all other newly hired employees, the employer has the burden of proof to show that the employees meet the qualifications for the additional wage deduction.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502.11(5)</w:t>
      </w:r>
      <w:r>
        <w:rPr>
          <w:rFonts w:ascii="Times New Roman" w:hAnsi="Times New Roman"/>
          <w:b w:val="false"/>
          <w:i w:val="false"/>
          <w:color w:val="000000"/>
          <w:sz w:val="22"/>
        </w:rPr>
        <w:t> </w:t>
      </w:r>
      <w:r>
        <w:rPr>
          <w:rFonts w:ascii="Times New Roman" w:hAnsi="Times New Roman"/>
          <w:b w:val="false"/>
          <w:i w:val="false"/>
          <w:color w:val="000000"/>
          <w:sz w:val="22"/>
        </w:rPr>
        <w:t>The taxpayer shall include a schedule with the filing of its tax return showing the name, address, social security number, date of hiring and wages paid of each employee for which the taxpayer claims the additional deduction for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502.11(6)</w:t>
      </w:r>
      <w:r>
        <w:rPr>
          <w:rFonts w:ascii="Times New Roman" w:hAnsi="Times New Roman"/>
          <w:b w:val="false"/>
          <w:i w:val="false"/>
          <w:color w:val="000000"/>
          <w:sz w:val="22"/>
        </w:rPr>
        <w:t> </w:t>
      </w:r>
      <w:r>
        <w:rPr>
          <w:rFonts w:ascii="Times New Roman" w:hAnsi="Times New Roman"/>
          <w:b w:val="false"/>
          <w:i w:val="false"/>
          <w:color w:val="000000"/>
          <w:sz w:val="22"/>
        </w:rPr>
        <w:t>If the employee for which an additional deduction for wages was allowed fails to successfully complete a probationary period and the taxpayer has already filed an Iowa corporation income tax return taking the additional deduction for wages, the taxpayer shall file an amended return adding back the additional deduction for wages. The amended return shall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502.11(7)</w:t>
      </w:r>
      <w:r>
        <w:rPr>
          <w:rFonts w:ascii="Times New Roman" w:hAnsi="Times New Roman"/>
          <w:b w:val="false"/>
          <w:i w:val="false"/>
          <w:color w:val="000000"/>
          <w:sz w:val="22"/>
        </w:rPr>
        <w:t> </w:t>
      </w:r>
      <w:r>
        <w:rPr>
          <w:rFonts w:ascii="Times New Roman" w:hAnsi="Times New Roman"/>
          <w:b w:val="false"/>
          <w:i w:val="false"/>
          <w:color w:val="000000"/>
          <w:sz w:val="22"/>
        </w:rPr>
        <w:t>For tax years ending after July 1, 1990, a taxpayer who did not qualify for the additional deduction for wages paid or accrued for work done in Iowa by certain individuals set forth above is allowed an additional deduction of 65 percent not to exceed $20,000 of the first 12 months of wages paid or accrued for work done in Iowa for employees first hired on or after July 1, 1990, if the new employee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domiciled in this state at the time of the hiring who meets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felony in this or any other state or the District of Columbia.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parole pursuant to Iowa Code chapter </w:t>
      </w:r>
      <w:hyperlink r:id="rId47">
        <w:r>
          <w:rPr>
            <w:rStyle w:val="Hyperlink"/>
            <w:rFonts w:ascii="Times New Roman" w:hAnsi="Times New Roman"/>
            <w:b w:val="false"/>
            <w:i w:val="false"/>
            <w:color w:val="000000"/>
            <w:sz w:val="22"/>
          </w:rPr>
          <w:t>906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Is on probation pursuant to Iowa Code chapter </w:t>
      </w:r>
      <w:hyperlink r:id="rId48">
        <w:r>
          <w:rPr>
            <w:rStyle w:val="Hyperlink"/>
            <w:rFonts w:ascii="Times New Roman" w:hAnsi="Times New Roman"/>
            <w:b w:val="false"/>
            <w:i w:val="false"/>
            <w:color w:val="000000"/>
            <w:sz w:val="22"/>
          </w:rPr>
          <w:t>907</w:t>
        </w:r>
      </w:hyperlink>
      <w:r>
        <w:rPr>
          <w:rFonts w:ascii="Times New Roman" w:hAnsi="Times New Roman"/>
          <w:b w:val="false"/>
          <w:i w:val="false"/>
          <w:color w:val="000000"/>
          <w:sz w:val="22"/>
        </w:rPr>
        <w:t>, for an offense other than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Is in a work release program pursuant to Iowa Code chapter </w:t>
      </w:r>
      <w:hyperlink r:id="rId49">
        <w:r>
          <w:rPr>
            <w:rStyle w:val="Hyperlink"/>
            <w:rFonts w:ascii="Times New Roman" w:hAnsi="Times New Roman"/>
            <w:b w:val="false"/>
            <w:i w:val="false"/>
            <w:color w:val="000000"/>
            <w:sz w:val="22"/>
          </w:rPr>
          <w:t>904</w:t>
        </w:r>
      </w:hyperlink>
      <w:r>
        <w:rPr>
          <w:rFonts w:ascii="Times New Roman" w:hAnsi="Times New Roman"/>
          <w:b w:val="false"/>
          <w:i w:val="false"/>
          <w:color w:val="000000"/>
          <w:sz w:val="22"/>
        </w:rPr>
        <w:t>, division IX.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whether or not domiciled in this state at the time of the hiring, who is on parole or probation and to whom the interstate probation and parole compact under Iowa Code section </w:t>
      </w:r>
      <w:hyperlink r:id="rId50">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The additional deduction is not allowed for wages paid to an individual who was hired to replace an individual whose employment was terminated within the 12-month period preceding the date of first employment. However, if the individual being replaced left employment voluntarily without good cause attributable to the employer or if the individual was discharged for misconduct in connection with the individual’s employment as determined by the Iowa division of job service of the department of employment services, the additional deduction is allowed.</w:t>
      </w:r>
    </w:p>
    <w:p>
      <w:pPr>
        <w:spacing w:before="0" w:after="0"/>
        <w:ind w:left="120"/>
        <w:jc w:val="both"/>
      </w:pPr>
      <w:r>
        <w:rPr>
          <w:rFonts w:ascii="Times New Roman" w:hAnsi="Times New Roman"/>
          <w:b w:val="false"/>
          <w:i w:val="false"/>
          <w:color w:val="000000"/>
          <w:sz w:val="22"/>
        </w:rPr>
        <w:t>The determination of whether an individual left employment voluntarily without good cause attributable to the employer or if the individual was discharged for misconduct is a factual determination which must be made on a case-by-case basis.</w:t>
      </w:r>
    </w:p>
    <w:p>
      <w:pPr>
        <w:spacing w:before="0" w:after="0"/>
        <w:ind w:left="120"/>
        <w:jc w:val="both"/>
      </w:pPr>
      <w:r>
        <w:rPr>
          <w:rFonts w:ascii="Times New Roman" w:hAnsi="Times New Roman"/>
          <w:b w:val="false"/>
          <w:i w:val="false"/>
          <w:color w:val="000000"/>
          <w:sz w:val="22"/>
        </w:rPr>
        <w:t>The taxpayer must include a schedule with the filing of its tax return showing the name, address, social security number, date of hiring, and wages paid of each employee for whom the taxpayer claims the additional deduction for wages.</w:t>
      </w:r>
    </w:p>
    <w:p>
      <w:pPr>
        <w:spacing w:before="0" w:after="0"/>
        <w:ind w:left="120"/>
        <w:jc w:val="both"/>
      </w:pPr>
      <w:r>
        <w:rPr>
          <w:rFonts w:ascii="Times New Roman" w:hAnsi="Times New Roman"/>
          <w:b w:val="false"/>
          <w:i w:val="false"/>
          <w:color w:val="000000"/>
          <w:sz w:val="22"/>
        </w:rPr>
        <w:t>If the employee for whom an additional deduction for wages was allowed fails to successfully complete a probationary period and the taxpayer has already filed an Iowa corporation income tax return taking the additional deduction for wages, the taxpayer must file an amended return adding back the additional deduction for wages. The amended return must state the name and social security number of the employee who failed to successfully complete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additional deduction applies to any individual hired on or after July 1, 2001, whether or not domiciled in Iowa at the time of hiring, who is on parole or probation and to whom either the interstate probation and parole compact under Iowa Code section </w:t>
      </w:r>
      <w:hyperlink r:id="rId51">
        <w:r>
          <w:rPr>
            <w:rStyle w:val="Hyperlink"/>
            <w:rFonts w:ascii="Times New Roman" w:hAnsi="Times New Roman"/>
            <w:b w:val="false"/>
            <w:i w:val="false"/>
            <w:color w:val="000000"/>
            <w:sz w:val="22"/>
          </w:rPr>
          <w:t>907A.1</w:t>
        </w:r>
      </w:hyperlink>
      <w:r>
        <w:rPr>
          <w:rFonts w:ascii="Times New Roman" w:hAnsi="Times New Roman"/>
          <w:b w:val="false"/>
          <w:i w:val="false"/>
          <w:color w:val="000000"/>
          <w:sz w:val="22"/>
        </w:rPr>
        <w:t xml:space="preserve"> or the compact for adult offenders under Iowa Code chapter </w:t>
      </w:r>
      <w:hyperlink r:id="rId52">
        <w:r>
          <w:rPr>
            <w:rStyle w:val="Hyperlink"/>
            <w:rFonts w:ascii="Times New Roman" w:hAnsi="Times New Roman"/>
            <w:b w:val="false"/>
            <w:i w:val="false"/>
            <w:color w:val="000000"/>
            <w:sz w:val="22"/>
          </w:rPr>
          <w:t>907B</w:t>
        </w:r>
      </w:hyperlink>
      <w:r>
        <w:rPr>
          <w:rFonts w:ascii="Times New Roman" w:hAnsi="Times New Roman"/>
          <w:b w:val="false"/>
          <w:i w:val="false"/>
          <w:color w:val="000000"/>
          <w:sz w:val="22"/>
        </w:rPr>
        <w:t xml:space="preserve"> applies. The amount of additional deduction for hiring this individual is equal to 65 percent of the wages paid, but the additional deduction is not to exceed $20,000 for the first 12 months of wages paid for work done in Iowa. The conditions set out in the unnumbered paragraphs under paragraph </w:t>
      </w:r>
      <w:hyperlink r:id="rId53">
        <w:r>
          <w:rPr>
            <w:rStyle w:val="Hyperlink"/>
            <w:rFonts w:ascii="Times New Roman" w:hAnsi="Times New Roman"/>
            <w:b w:val="false"/>
            <w:i w:val="false"/>
            <w:color w:val="000000"/>
            <w:sz w:val="22"/>
          </w:rPr>
          <w:t>502.11(7)</w:t>
        </w:r>
      </w:hyperlink>
      <w:r>
        <w:rPr>
          <w:rFonts w:ascii="Times New Roman" w:hAnsi="Times New Roman"/>
          <w:b w:val="false"/>
          <w:i/>
          <w:color w:val="000000"/>
          <w:sz w:val="22"/>
        </w:rPr>
        <w:t>“b”</w:t>
      </w:r>
      <w:r>
        <w:rPr>
          <w:rFonts w:ascii="Times New Roman" w:hAnsi="Times New Roman"/>
          <w:b w:val="false"/>
          <w:i w:val="false"/>
          <w:color w:val="000000"/>
          <w:sz w:val="22"/>
        </w:rPr>
        <w:t xml:space="preserve"> also apply to the deduction for the hiring of certain individuals in this subrule.</w:t>
      </w:r>
    </w:p>
    <w:p>
      <w:pPr>
        <w:spacing w:before="0" w:after="0"/>
        <w:ind w:left="120"/>
        <w:jc w:val="both"/>
      </w:pPr>
      <w:r>
        <w:rPr>
          <w:rFonts w:ascii="Times New Roman" w:hAnsi="Times New Roman"/>
          <w:b w:val="false"/>
          <w:i w:val="false"/>
          <w:color w:val="000000"/>
          <w:sz w:val="22"/>
        </w:rPr>
        <w:t xml:space="preserve">This rule is intended to implement 2011 Iowa Code Supplement section </w:t>
      </w:r>
      <w:hyperlink r:id="rId54">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Senate File 2247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0337C</w:t>
      </w:r>
      <w:r>
        <w:rPr>
          <w:rFonts w:ascii="Times New Roman" w:hAnsi="Times New Roman"/>
          <w:b w:val="false"/>
          <w:i w:val="false"/>
          <w:color w:val="000000"/>
          <w:sz w:val="16"/>
        </w:rPr>
        <w:t>, IAB 9/19/12, effective 10/24/12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701—502.12</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income tax deduction. </w:t>
      </w:r>
      <w:r>
        <w:rPr>
          <w:rFonts w:ascii="Times New Roman" w:hAnsi="Times New Roman"/>
          <w:b w:val="false"/>
          <w:i w:val="false"/>
          <w:color w:val="000000"/>
          <w:sz w:val="22"/>
        </w:rPr>
        <w:t xml:space="preserve">“Federal income taxes” shall mean those income taxes paid or payable to the United States Government and shall not include taxes paid or payable or taxes deemed to have been paid to a foreign country. </w:t>
      </w:r>
      <w:r>
        <w:rPr>
          <w:rFonts w:ascii="Times New Roman" w:hAnsi="Times New Roman"/>
          <w:b w:val="false"/>
          <w:i/>
          <w:color w:val="000000"/>
          <w:sz w:val="22"/>
        </w:rPr>
        <w:t>Construction Products,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Briggs, State Board of Tax Review,</w:t>
      </w:r>
      <w:r>
        <w:rPr>
          <w:rFonts w:ascii="Times New Roman" w:hAnsi="Times New Roman"/>
          <w:b w:val="false"/>
          <w:i w:val="false"/>
          <w:color w:val="000000"/>
          <w:sz w:val="22"/>
        </w:rPr>
        <w:t xml:space="preserve"> Case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25, February 1, 1972. “Federal income taxes” includes the federal alternative minimum tax. For tax years beginning on or after January 1, 1990, and before January 1, 1996, “federal income taxes” includes the federal environmental tax. Because the federal environmental tax is deducted in computing federal taxable income and Iowa Code subsection </w:t>
      </w:r>
      <w:hyperlink r:id="rId55">
        <w:r>
          <w:rPr>
            <w:rStyle w:val="Hyperlink"/>
            <w:rFonts w:ascii="Times New Roman" w:hAnsi="Times New Roman"/>
            <w:b w:val="false"/>
            <w:i w:val="false"/>
            <w:color w:val="000000"/>
            <w:sz w:val="22"/>
          </w:rPr>
          <w:t>422.35(4)</w:t>
        </w:r>
      </w:hyperlink>
      <w:r>
        <w:rPr>
          <w:rFonts w:ascii="Times New Roman" w:hAnsi="Times New Roman"/>
          <w:b w:val="false"/>
          <w:i w:val="false"/>
          <w:color w:val="000000"/>
          <w:sz w:val="22"/>
        </w:rPr>
        <w:t xml:space="preserve"> only allows a deduction for 50 percent of the federal income tax paid or accrued, the federal environmental tax deducted in computing federal taxable income must be added to federal taxable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502.12(1)</w:t>
      </w:r>
      <w:r>
        <w:rPr>
          <w:rFonts w:ascii="Times New Roman" w:hAnsi="Times New Roman"/>
          <w:b w:val="false"/>
          <w:i w:val="false"/>
          <w:color w:val="000000"/>
          <w:sz w:val="22"/>
        </w:rPr>
        <w:t> </w:t>
      </w:r>
      <w:r>
        <w:rPr>
          <w:rFonts w:ascii="Times New Roman" w:hAnsi="Times New Roman"/>
          <w:b w:val="false"/>
          <w:i/>
          <w:color w:val="000000"/>
          <w:sz w:val="22"/>
        </w:rPr>
        <w:t xml:space="preserve">Cash basis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taxpayer is reporting on the cash basis, 50 percent of the amount of federal income taxes actually paid during the taxable period is allowable as a deduction, whether or not such taxes represent the preceding year’s tax or additional taxes for prior years. Fifty percent of a federal tax refund shall be reported as income in the year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reporting on the cash basis may deduct 50 percent of the federal income tax on the accrual basis if an election is made upon filing the first return. If the corporation claims an accrual deduction on the first return, it shall be considered as an election. Once the election is made, the corporation may change the basis of federal income tax deduction only with the permission of the director. If a change in accounting method is approved or required by the Internal Revenue Service, the director is deemed to have approved the change in the basis of the federal tax deduction.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income tax deduction during the transitional period following a change in accounting method from cash to accrual is the accrual deduction in the year of change, plus any cash payment of federal income tax paid in the year of the change for the tax year prior to the change in accounting method, reduced by a refund of federal income tax paid for the tax year prior to the year of the change in accounting method received in the year of the change. For the year of change and years subsequent to the year of the change, the deduction shall be the accrual deduction plus any federal income tax paid for a tax year prior to the year of change as a result of an amended federal return or federal audit, reduced by any refund of federal income tax paid for a tax year prior to the year of the change in accounting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income tax deduction during the transitional period following a change in accounting method from accrual to cash is the cash deduction in the year of change, plus any cash payment of federal estimated income tax paid in the year prior to the year of the change for the year of the change. Any refund of federal income tax from a tax year prior to the year of the change received in the year of the change or in a subsequent year is properly accrued to the prior tax year. Any payment of federal income tax due to an amended return or federal audit for a tax year prior to the year of the change made in the year of the change or a subsequent year is accrued to that prior tax year. (For information on amended returns, see </w:t>
      </w:r>
      <w:hyperlink r:id="rId56">
        <w:r>
          <w:rPr>
            <w:rStyle w:val="Hyperlink"/>
            <w:rFonts w:ascii="Times New Roman" w:hAnsi="Times New Roman"/>
            <w:b w:val="false"/>
            <w:i w:val="false"/>
            <w:color w:val="000000"/>
            <w:sz w:val="22"/>
          </w:rPr>
          <w:t>701—subrule 501.3(4)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502.12(2)</w:t>
      </w:r>
      <w:r>
        <w:rPr>
          <w:rFonts w:ascii="Times New Roman" w:hAnsi="Times New Roman"/>
          <w:b w:val="false"/>
          <w:i w:val="false"/>
          <w:color w:val="000000"/>
          <w:sz w:val="22"/>
        </w:rPr>
        <w:t> </w:t>
      </w:r>
      <w:r>
        <w:rPr>
          <w:rFonts w:ascii="Times New Roman" w:hAnsi="Times New Roman"/>
          <w:b w:val="false"/>
          <w:i/>
          <w:color w:val="000000"/>
          <w:sz w:val="22"/>
        </w:rPr>
        <w:t xml:space="preserve">Accrual basis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federal income tax to be allowed as a deduction for an accrual basis taxpayer is limited to 50 percent of the actual federal income tax liability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federal income taxes and refunds of federal income taxes (except for </w:t>
      </w:r>
      <w:hyperlink r:id="rId57">
        <w:r>
          <w:rPr>
            <w:rStyle w:val="Hyperlink"/>
            <w:rFonts w:ascii="Times New Roman" w:hAnsi="Times New Roman"/>
            <w:b w:val="false"/>
            <w:i w:val="false"/>
            <w:color w:val="000000"/>
            <w:sz w:val="22"/>
          </w:rPr>
          <w:t>502.12(2)</w:t>
        </w:r>
      </w:hyperlink>
      <w:r>
        <w:rPr>
          <w:rFonts w:ascii="Times New Roman" w:hAnsi="Times New Roman"/>
          <w:b w:val="false"/>
          <w:i/>
          <w:color w:val="000000"/>
          <w:sz w:val="22"/>
        </w:rPr>
        <w:t>“c”</w:t>
      </w:r>
      <w:r>
        <w:rPr>
          <w:rFonts w:ascii="Times New Roman" w:hAnsi="Times New Roman"/>
          <w:b w:val="false"/>
          <w:i w:val="false"/>
          <w:color w:val="000000"/>
          <w:sz w:val="22"/>
        </w:rPr>
        <w:t>) shall be a part of the tax liability accrued for such prior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Refunds resulting from net operating loss carrybacks, investment credit carrybacks, unused excess profits tax credits, and similar items shall be included in income for Iowa corporation income tax purposes in the year in which such refunds are legally accrued.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502.12(4)</w:t>
      </w:r>
      <w:r>
        <w:rPr>
          <w:rFonts w:ascii="Times New Roman" w:hAnsi="Times New Roman"/>
          <w:b w:val="false"/>
          <w:i w:val="false"/>
          <w:color w:val="000000"/>
          <w:sz w:val="22"/>
        </w:rPr>
        <w:t> </w:t>
      </w:r>
      <w:r>
        <w:rPr>
          <w:rFonts w:ascii="Times New Roman" w:hAnsi="Times New Roman"/>
          <w:b w:val="false"/>
          <w:i/>
          <w:color w:val="000000"/>
          <w:sz w:val="22"/>
        </w:rPr>
        <w:t xml:space="preserve">Consolidated federal income tax allocation.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corporation joins with at least one other corporation in the filing of a consolidated federal income tax return, the allowable deduction shall be 50 percent of the consolidated federal income tax liability allocable to that corporation. The allocation of the consolidated federal income tax shall be determined as follows: The net consolidated federal income tax liability is multiplied by a fraction, the numerator of which is the taxpayer’s federal taxable income as computed on a separate basis, and the denominator of which is the total federal taxable incomes of each corporation included in the consolidated return. If the computation of the taxable income of a member results in an excess of deductions over gross income such member’s taxable income shall be zero. </w:t>
      </w:r>
      <w:r>
        <w:rPr>
          <w:rFonts w:ascii="Times New Roman" w:hAnsi="Times New Roman"/>
          <w:b w:val="false"/>
          <w:i/>
          <w:color w:val="000000"/>
          <w:sz w:val="22"/>
        </w:rPr>
        <w:t>Sibley State Bank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Bair, State Board of Tax Review,</w:t>
      </w:r>
      <w:r>
        <w:rPr>
          <w:rFonts w:ascii="Times New Roman" w:hAnsi="Times New Roman"/>
          <w:b w:val="false"/>
          <w:i w:val="false"/>
          <w:color w:val="000000"/>
          <w:sz w:val="22"/>
        </w:rPr>
        <w:t xml:space="preserve"> Docket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182, May 26, 1978. </w:t>
      </w:r>
      <w:r>
        <w:rPr>
          <w:rFonts w:ascii="Times New Roman" w:hAnsi="Times New Roman"/>
          <w:b w:val="false"/>
          <w:i/>
          <w:color w:val="000000"/>
          <w:sz w:val="22"/>
        </w:rPr>
        <w:t>Internorth, Inc., and Northern Propane Gas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State Board of Tax Review, Iowa Department of Revenue and GeraId D. Bair, Director of Revenue,</w:t>
      </w:r>
      <w:r>
        <w:rPr>
          <w:rFonts w:ascii="Times New Roman" w:hAnsi="Times New Roman"/>
          <w:b w:val="false"/>
          <w:i w:val="false"/>
          <w:color w:val="000000"/>
          <w:sz w:val="22"/>
        </w:rPr>
        <w:t xml:space="preserve"> 333 N.W.2d 471 (Iowa 1983).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corporation joins with at least one other corporation in the filing of a consolidated federal income tax return, the federal income tax deduction allowed the Iowa taxpayer shall not exceed 50 percent of the consolidated federal income tax liability.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701—502.13</w:t>
      </w:r>
      <w:r>
        <w:rPr>
          <w:rFonts w:ascii="Times New Roman" w:hAnsi="Times New Roman"/>
          <w:b/>
          <w:i w:val="false"/>
          <w:color w:val="000000"/>
          <w:sz w:val="22"/>
        </w:rPr>
        <w:t xml:space="preserve">(422) </w:t>
      </w:r>
      <w:r>
        <w:rPr>
          <w:rFonts w:ascii="Times New Roman" w:hAnsi="Times New Roman"/>
          <w:b/>
          <w:i w:val="false"/>
          <w:color w:val="000000"/>
          <w:sz w:val="22"/>
        </w:rPr>
        <w:t xml:space="preserve">Iowa income taxes and Iowa tax refund. </w:t>
      </w:r>
      <w:r>
        <w:rPr>
          <w:rFonts w:ascii="Times New Roman" w:hAnsi="Times New Roman"/>
          <w:b w:val="false"/>
          <w:i w:val="false"/>
          <w:color w:val="000000"/>
          <w:sz w:val="22"/>
        </w:rPr>
        <w:t>Iowa corporation income taxes paid or accrued during the tax year as may be applicable under the method of filing are permissible deductions for federal corporation income tax purposes, but are not permissible deductions for purposes of determining Iowa net taxable income. To the extent taxes were deducted in the determination of federal taxable income, they shall be added to federal taxable income for Iowa corporation income tax purposes. Refunds of Iowa income tax to the extent that the refunds were included in the determination of federal taxable income shall be subtracted from federal taxable income, only to the extent that a deduction for Iowa income taxes was disallowed on a prior Iowa return. Iowa income tax refunds resulting from Iowa refundable tax credits are not allowed as a deduction for Iowa corporation income tax purposes.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Corporation A reports income on a cash basis and made Iowa estimated payments of $2,000 during the 2003 tax year. The $2,000 of estimated payments was claimed as a deduction for federal income tax purposes, but was not allowed as a deduction for Iowa tax purposes. The 2003 Iowa return reported a tax liability of $1,600. Corporation A had $2,000 of Iowa estimated payments and a $500 ethanol blended gasoline tax credit, and received a $900 Iowa tax refund in 2004. Of the $900 refund reported as income on the federal return, Corporation A will be allowed a $400 ($2,000 - $1,600) reduction on the Iowa return for 2004.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701—502.14</w:t>
      </w:r>
      <w:r>
        <w:rPr>
          <w:rFonts w:ascii="Times New Roman" w:hAnsi="Times New Roman"/>
          <w:b/>
          <w:i w:val="false"/>
          <w:color w:val="000000"/>
          <w:sz w:val="22"/>
        </w:rPr>
        <w:t xml:space="preserve">(422) </w:t>
      </w:r>
      <w:r>
        <w:rPr>
          <w:rFonts w:ascii="Times New Roman" w:hAnsi="Times New Roman"/>
          <w:b/>
          <w:i w:val="false"/>
          <w:color w:val="000000"/>
          <w:sz w:val="22"/>
        </w:rPr>
        <w:t xml:space="preserve">Method of accounting, accounting period. </w:t>
      </w:r>
      <w:r>
        <w:rPr>
          <w:rFonts w:ascii="Times New Roman" w:hAnsi="Times New Roman"/>
          <w:b w:val="false"/>
          <w:i w:val="false"/>
          <w:color w:val="000000"/>
          <w:sz w:val="22"/>
        </w:rPr>
        <w:t>The return shall be computed on the same basis and for the same accounting period as the taxpayer’s return for federal corporation income tax purposes. Permission to change accounting methods or accounting periods for corporation tax purposes is not required provided the taxpayer furnishes the department with a copy of the federal consent.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701—502.15</w:t>
      </w:r>
      <w:r>
        <w:rPr>
          <w:rFonts w:ascii="Times New Roman" w:hAnsi="Times New Roman"/>
          <w:b/>
          <w:i w:val="false"/>
          <w:color w:val="000000"/>
          <w:sz w:val="22"/>
        </w:rPr>
        <w:t xml:space="preserve">(422) </w:t>
      </w:r>
      <w:r>
        <w:rPr>
          <w:rFonts w:ascii="Times New Roman" w:hAnsi="Times New Roman"/>
          <w:b/>
          <w:i w:val="false"/>
          <w:color w:val="000000"/>
          <w:sz w:val="22"/>
        </w:rPr>
        <w:t xml:space="preserve">Consolidated returns.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 xml:space="preserve">The term “common parent” as used in these rules shall have the same general meaning as when used in the federal income tax regulation. However, where the common parent is not subject to the Iowa income tax because of the provisions of </w:t>
      </w:r>
      <w:hyperlink r:id="rId61">
        <w:r>
          <w:rPr>
            <w:rStyle w:val="Hyperlink"/>
            <w:rFonts w:ascii="Times New Roman" w:hAnsi="Times New Roman"/>
            <w:b w:val="false"/>
            <w:i w:val="false"/>
            <w:color w:val="000000"/>
            <w:sz w:val="22"/>
          </w:rPr>
          <w:t>701—subrule 501.1(1)</w:t>
        </w:r>
      </w:hyperlink>
      <w:r>
        <w:rPr>
          <w:rFonts w:ascii="Times New Roman" w:hAnsi="Times New Roman"/>
          <w:b w:val="false"/>
          <w:i w:val="false"/>
          <w:color w:val="000000"/>
          <w:sz w:val="22"/>
        </w:rPr>
        <w:t xml:space="preserve"> or because of specific exemption under Iowa Code section </w:t>
      </w:r>
      <w:hyperlink r:id="rId62">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the common parent shall designate as the agent for the affiliated group, one of its subsidiaries subject to the Iowa income tax and shall notify the director of the same in writing. Where the common parent has designated one of its subsidiaries to act as agent for the affiliated group, reference in this rule to “common parent” shall mean the designated agent.</w:t>
      </w:r>
    </w:p>
    <w:p>
      <w:pPr>
        <w:spacing w:before="0" w:after="0"/>
        <w:ind w:left="120"/>
        <w:jc w:val="both"/>
      </w:pPr>
      <w:r>
        <w:rPr>
          <w:rFonts w:ascii="Times New Roman" w:hAnsi="Times New Roman"/>
          <w:b w:val="false"/>
          <w:i w:val="false"/>
          <w:color w:val="000000"/>
          <w:sz w:val="22"/>
        </w:rPr>
        <w:t>Unless otherwise distinctly expressed, the terms used in this rule shall have the same meaning as when used in a comparable context in the federal income tax regulations for consolidated returns except for determining whether an affiliated group had exercised its privilege of filing a consolidated return. All references to the “commissioner” or “district director” in the federal regulations shall be construed to mean the director for purposes of the Iowa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affiliated group of corporations which did not file a consolidated return for the immediately preceding taxable year may file a consolidated return in lieu of separate returns for the taxable year. Each corporation which is subject to the Iowa corporation income tax and has been a member during any part of the taxable year for which the consolidated return is to be filed must consent (as provided in paragraph </w:t>
      </w:r>
      <w:hyperlink r:id="rId63">
        <w:r>
          <w:rPr>
            <w:rStyle w:val="Hyperlink"/>
            <w:rFonts w:ascii="Times New Roman" w:hAnsi="Times New Roman"/>
            <w:b w:val="false"/>
            <w:i w:val="false"/>
            <w:color w:val="000000"/>
            <w:sz w:val="22"/>
          </w:rPr>
          <w:t>502.15(1)</w:t>
        </w:r>
      </w:hyperlink>
      <w:r>
        <w:rPr>
          <w:rFonts w:ascii="Times New Roman" w:hAnsi="Times New Roman"/>
          <w:b w:val="false"/>
          <w:i/>
          <w:color w:val="000000"/>
          <w:sz w:val="22"/>
        </w:rPr>
        <w:t>“d”</w:t>
      </w:r>
      <w:r>
        <w:rPr>
          <w:rFonts w:ascii="Times New Roman" w:hAnsi="Times New Roman"/>
          <w:b w:val="false"/>
          <w:i w:val="false"/>
          <w:color w:val="000000"/>
          <w:sz w:val="22"/>
        </w:rPr>
        <w:t>) to the filing of the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group wishes to exercise its privilege of filing a consolidated return, the consolidated return must be filed not later than the date prescribed by Iowa Code section </w:t>
      </w:r>
      <w:hyperlink r:id="rId64">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(including extensions of time) for the filing of the common parent’s return. The consolidated return may not be withdrawn after the last day for filing (including extensions of time) but the group may change the basis of its return at any time prior to the last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consolidated return shall be made on Form IA-1120 for the group by the common parent corporation. The common parent corporation of the group must attach a copy of the federal Form 851 (Affiliations Schedule) to the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group wishes to exercise its privilege of filing a consolidated return, each subsidiary must consent to the filing of the consolidated return for the year. The subsidiaries must consent to the filing of an Iowa consolidated return by joining in the filing of an Iowa consolidated return on or before the due date (including any extensions of time). If both separate and consolidated returns are filed on or before the due date (including any extensions of time), the latest returns filed will be considered as the taxpayers’ election in regards to the filing of separate or consolidated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common parent, for all purposes other than the making of the consent required by </w:t>
      </w:r>
      <w:hyperlink r:id="rId65">
        <w:r>
          <w:rPr>
            <w:rStyle w:val="Hyperlink"/>
            <w:rFonts w:ascii="Times New Roman" w:hAnsi="Times New Roman"/>
            <w:b w:val="false"/>
            <w:i w:val="false"/>
            <w:color w:val="000000"/>
            <w:sz w:val="22"/>
          </w:rPr>
          <w:t>paragraph 502.15(1)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the sole agent for each subsidiary in the group, duly authorized to act in its own name in all matters relating to the tax liability for the consolidated return year. No subsidiary shall have authority to act for or to represent itself in any matter. The provisions of this paragraph shall apply whether or not a consolidated return is made for any subsequent year and whether or not one or more subsidiaries have become or have ceased to be members of the group at any time. If a subsidiary has ceased to be a member of the group and if the subsidiary files written notice of the cessation with the director, then upon request of the subsidiary, the director will furnish it with a copy of any notice of deficiency in respect of the tax for a consolidated return year for which it was a member. The filing of the written notification and request by a corporation shall not have the effect of limiting the scope of the agency of the common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Unless the director agrees to the contrary, an agreement entered into by the common parent extending the time within which a notice of deficiency may be issued, or a levy or a proceeding in court begun in respect of the tax for a consolidated return year shall be applicable to each corporation which was a member of the group during any part of the taxable year and to each corporation, the income of which was included in the consolidated return for the taxable year, notwithstanding that the liability of the corporation is subsequently computed on the basis of a separate return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common parent corporation contemplates dissolution, or is about to be dissolved, or if for any other reason its existence is about to terminate, it shall forthwith notify the director of that fact and designate another member to act as its agent in its place to the same extent and subject to the same conditions and limitations as are applicable to the common parent. If this notice is not given by the common parent, the remaining members may, subject to the approval of the director, designate another member to act as agent, and notice of the designation shall be given to the director. Until a notice in writing designating a new agent has been approved by the director, any notice of deficiency or other communications mailed to the common parent shall be considered as having been properly mailed to the agent of the group. If the director has reasons to believe that the existence of the common parent has terminated, the director may, if deemed advisable, deal directly with any member in respect of its liability.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502.15(2)</w:t>
      </w:r>
      <w:r>
        <w:rPr>
          <w:rFonts w:ascii="Times New Roman" w:hAnsi="Times New Roman"/>
          <w:b w:val="false"/>
          <w:i w:val="false"/>
          <w:color w:val="000000"/>
          <w:sz w:val="22"/>
        </w:rPr>
        <w:t> </w:t>
      </w:r>
      <w:r>
        <w:rPr>
          <w:rFonts w:ascii="Times New Roman" w:hAnsi="Times New Roman"/>
          <w:b w:val="false"/>
          <w:i/>
          <w:color w:val="000000"/>
          <w:sz w:val="22"/>
        </w:rPr>
        <w:t xml:space="preserve">When director may require consolidated return. </w:t>
      </w:r>
      <w:r>
        <w:rPr>
          <w:rFonts w:ascii="Times New Roman" w:hAnsi="Times New Roman"/>
          <w:b w:val="false"/>
          <w:i w:val="false"/>
          <w:color w:val="000000"/>
          <w:sz w:val="22"/>
        </w:rPr>
        <w:t xml:space="preserve">In accordance with the provisions of rule </w:t>
      </w:r>
      <w:hyperlink r:id="rId66">
        <w:r>
          <w:rPr>
            <w:rStyle w:val="Hyperlink"/>
            <w:rFonts w:ascii="Times New Roman" w:hAnsi="Times New Roman"/>
            <w:b w:val="false"/>
            <w:i w:val="false"/>
            <w:color w:val="000000"/>
            <w:sz w:val="22"/>
          </w:rPr>
          <w:t>701—502.15</w:t>
        </w:r>
      </w:hyperlink>
      <w:r>
        <w:rPr>
          <w:rFonts w:ascii="Times New Roman" w:hAnsi="Times New Roman"/>
          <w:b w:val="false"/>
          <w:i w:val="false"/>
          <w:color w:val="000000"/>
          <w:sz w:val="22"/>
        </w:rPr>
        <w:t xml:space="preserve">(422), the director may require a consolidated return for those members of an affiliated group of corporations which would be eligible to elect to consolidate their incomes under Iowa Code section </w:t>
      </w:r>
      <w:hyperlink r:id="rId67">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 xml:space="preserve"> if the filing of separate returns for such corporations would improperly reflect the taxable incomes of said corporations or of said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502.15(3)</w:t>
      </w:r>
      <w:r>
        <w:rPr>
          <w:rFonts w:ascii="Times New Roman" w:hAnsi="Times New Roman"/>
          <w:b w:val="false"/>
          <w:i w:val="false"/>
          <w:color w:val="000000"/>
          <w:sz w:val="22"/>
        </w:rPr>
        <w:t> </w:t>
      </w:r>
      <w:r>
        <w:rPr>
          <w:rFonts w:ascii="Times New Roman" w:hAnsi="Times New Roman"/>
          <w:b w:val="false"/>
          <w:i/>
          <w:color w:val="000000"/>
          <w:sz w:val="22"/>
        </w:rPr>
        <w:t xml:space="preserve">Discontinuance of filing consolidated returns.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affiliated group which filed (or was required to file) a consolidated return for the immediately preceding taxable year is required to file a consolidated return for the taxable year unless it is allowed to discontinue filing consolidated returns, or unless a federal consolidated return is not filed by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that a consolidated filing for Iowa tax purposes is discontinued for any reason, the common parent shall so notify the department by letter. The mere filing of separate returns does not, in itself, constitute sufficient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constitute factors for determining when consolidated filing for Iowa tax purposes can be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filing of separate returns will more clearly disclose the taxable income of each member of the affiliated group. Corporations should note that such determination is vested in the director. Therefore, corporations should make application to the director within a reasonable time prior to the due date of the return (including extensions of time). Normally, this would be not later than 90 days prior to said due date. The application should set forth in detail the taxable income on both a consolidated and separate basis together with the reasons why separate returns would more clearly disclose Iowa taxable income. The mere fact that the consolidated tax liability is greater or less than the combined separate liabilities is not, of itself, a ground for discontinuance of consolidated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one or more of the members of the affiliated group cease to be subject to Iowa corporate income tax, consolidation may be discontinued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one or more of the members of the affiliated group change in character so that they are no longer taxable under the Iowa corporate income tax law.</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 xml:space="preserve">Common parent A is a manufacturer. Subsidiary B is a company engaged in small loans. A and B file consolidated Iowa returns. In a subsequent taxable year, B changes its business by surrendering its small loan company license and obtains a state bank charter. Even though A and B continue to file federal consolidated returns, B is now a corporation exempt from tax under Iowa Code section </w:t>
      </w:r>
      <w:hyperlink r:id="rId68">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Therefore A and B should discontinue filing Iowa consolidated returns.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affiliated group is purchased by another corporation or affiliated group so that after the purchase the stockholders own less than 50 percent of the fair market value of all classes of outstanding stock of the new corporation or affiliated group then the old group must discontinue filing Iowa consolidated returns. The new group may exercise its privilege of filing a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group is allowed to discontinue filing consolidated returns for any taxable year, then each member of the affiliated group subject to Iowa tax must file a separate return for such year on or before the last day prescribed by law (including extensions of time) for the filing of the consolidated return for such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group shall be considered as remaining in existence, for the purposes of the Code, in accordance with the rules prescribed in Treasury Regulation Section 1.1502-75(d).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consolidated return erroneously includes the income of one or more corporations which were not members of the group at any time during the consolidated return year, the tax liability of such corporations will be determined upon the basis of separate returns (or a consolidated return of another group, if paragraph </w:t>
      </w:r>
      <w:hyperlink r:id="rId69">
        <w:r>
          <w:rPr>
            <w:rStyle w:val="Hyperlink"/>
            <w:rFonts w:ascii="Times New Roman" w:hAnsi="Times New Roman"/>
            <w:b w:val="false"/>
            <w:i w:val="false"/>
            <w:color w:val="000000"/>
            <w:sz w:val="22"/>
          </w:rPr>
          <w:t>502.15(1)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70">
        <w:r>
          <w:rPr>
            <w:rStyle w:val="Hyperlink"/>
            <w:rFonts w:ascii="Times New Roman" w:hAnsi="Times New Roman"/>
            <w:b w:val="false"/>
            <w:i w:val="false"/>
            <w:color w:val="000000"/>
            <w:sz w:val="22"/>
          </w:rPr>
          <w:t>502.15(3)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and the consolidated return will be considered as including only the income of the corporations which were members of the group during that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any case in which amounts have been assessed and paid upon the basis of a consolidated return, and where the tax liability of one or more of the corporations included in the consolidated return is to be computed in the manner described in paragraph </w:t>
      </w:r>
      <w:hyperlink r:id="rId71">
        <w:r>
          <w:rPr>
            <w:rStyle w:val="Hyperlink"/>
            <w:rFonts w:ascii="Times New Roman" w:hAnsi="Times New Roman"/>
            <w:b w:val="false"/>
            <w:i w:val="false"/>
            <w:color w:val="000000"/>
            <w:sz w:val="22"/>
          </w:rPr>
          <w:t>502.15(3)</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amounts so paid shall be allocated between the group composed of the corporations properly included in the consolidated return and each of the corporations, whose tax liability is to be computed on a separate basis (or on the basis of a consolidated return of another group) in such manner as the corporations which were included in the consolidated return, and where the tax liability of one or more of the corporations included absence of an agreement, the tax liability of the group shall be allocated under subrule </w:t>
      </w:r>
      <w:hyperlink r:id="rId72">
        <w:r>
          <w:rPr>
            <w:rStyle w:val="Hyperlink"/>
            <w:rFonts w:ascii="Times New Roman" w:hAnsi="Times New Roman"/>
            <w:b w:val="false"/>
            <w:i w:val="false"/>
            <w:color w:val="000000"/>
            <w:sz w:val="22"/>
          </w:rPr>
          <w:t>53.12(4)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taxable year of members of the group, including rules for changing the parent’s taxable year, income to be included in the separate returns, and the time for making separate returns for periods not included in a consolidated return for the purposes of the Iowa Code, shall be in accordance with the rules prescribed in Treasury Regulation Section 1.1502-76(a)-(c).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consolidated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these rules or manifestly inconsistent with the provisions of the Iowa Code, the consolidated taxable income for a consolidated return year under the Iowa Code shall be determined in the same manner and under the same procedures, including intercompany adjustments and eliminations, as are required by the federal income tax regulations in the case of a federal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Iowa affiliated group differs in its members from the federal affiliated group, such nonqualifying member(s) shall not be considered includable corporations and all computations hereunder shall be made as if such member(s) were not members of the affiliated group. The consolidated federal income tax liability shall be allocated between includable corporations and nonincludable corporations by subrule </w:t>
      </w:r>
      <w:hyperlink r:id="rId73">
        <w:r>
          <w:rPr>
            <w:rStyle w:val="Hyperlink"/>
            <w:rFonts w:ascii="Times New Roman" w:hAnsi="Times New Roman"/>
            <w:b w:val="false"/>
            <w:i w:val="false"/>
            <w:color w:val="000000"/>
            <w:sz w:val="22"/>
          </w:rPr>
          <w:t>502.12(4)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apportionment provisions of Iowa Code section </w:t>
      </w:r>
      <w:hyperlink r:id="rId7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shall be taken into account by an affiliated group doing business within and without Iowa. All members of an affiliated group which join in the filing of an Iowa consolidated return shall determine the portion of the consolidated net income earned within and without Iowa by the same method. All intercompany transactions shall be eliminated in the determination of the apportionment factors.</w:t>
      </w:r>
    </w:p>
    <w:p>
      <w:pPr>
        <w:spacing w:before="0" w:after="0"/>
        <w:ind w:left="120"/>
        <w:jc w:val="both"/>
      </w:pPr>
      <w:r>
        <w:rPr>
          <w:rFonts w:ascii="Times New Roman" w:hAnsi="Times New Roman"/>
          <w:b w:val="false"/>
          <w:i w:val="false"/>
          <w:color w:val="000000"/>
          <w:sz w:val="22"/>
        </w:rPr>
        <w:t xml:space="preserve">The gross receipts of each corporation which joins in the filing of an Iowa consolidated corporation income tax return shall be included in the computation of the business activity ratio. The gross receipts of each corporation shall be included in the numerator of the business activity ratio to the extent that it has nexus in Iowa and its gross receipts are not eliminated by intercompany adjustments and are considered Iowa gross receipts by rules </w:t>
      </w:r>
      <w:hyperlink r:id="rId75">
        <w:r>
          <w:rPr>
            <w:rStyle w:val="Hyperlink"/>
            <w:rFonts w:ascii="Times New Roman" w:hAnsi="Times New Roman"/>
            <w:b w:val="false"/>
            <w:i w:val="false"/>
            <w:color w:val="000000"/>
            <w:sz w:val="22"/>
          </w:rPr>
          <w:t>701—503.2</w:t>
        </w:r>
      </w:hyperlink>
      <w:r>
        <w:rPr>
          <w:rFonts w:ascii="Times New Roman" w:hAnsi="Times New Roman"/>
          <w:b w:val="false"/>
          <w:i w:val="false"/>
          <w:color w:val="000000"/>
          <w:sz w:val="22"/>
        </w:rPr>
        <w:t xml:space="preserve">(422) to </w:t>
      </w:r>
      <w:hyperlink r:id="rId76">
        <w:r>
          <w:rPr>
            <w:rStyle w:val="Hyperlink"/>
            <w:rFonts w:ascii="Times New Roman" w:hAnsi="Times New Roman"/>
            <w:b w:val="false"/>
            <w:i w:val="false"/>
            <w:color w:val="000000"/>
            <w:sz w:val="22"/>
          </w:rPr>
          <w:t>701—503.8</w:t>
        </w:r>
      </w:hyperlink>
      <w:r>
        <w:rPr>
          <w:rFonts w:ascii="Times New Roman" w:hAnsi="Times New Roman"/>
          <w:b w:val="false"/>
          <w:i w:val="false"/>
          <w:color w:val="000000"/>
          <w:sz w:val="22"/>
        </w:rPr>
        <w:t>(422). The gross receipts of each corporation shall be included in the denominator of the business activity ratio to the extent its gross receipts are not eliminated by intercompany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after January 1, 2016, see </w:t>
      </w:r>
      <w:hyperlink r:id="rId77">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requirements of an out-of-state business to be a part of an affiliated group filing an Iowa consolidated return that enters Iowa to perform disaster and emergency-related work during a disaster response period as those terms are defined in Iowa Code section </w:t>
      </w:r>
      <w:hyperlink r:id="rId78">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502.15(5)</w:t>
      </w:r>
      <w:r>
        <w:rPr>
          <w:rFonts w:ascii="Times New Roman" w:hAnsi="Times New Roman"/>
          <w:b w:val="false"/>
          <w:i w:val="false"/>
          <w:color w:val="000000"/>
          <w:sz w:val="22"/>
        </w:rPr>
        <w:t> </w:t>
      </w:r>
      <w:r>
        <w:rPr>
          <w:rFonts w:ascii="Times New Roman" w:hAnsi="Times New Roman"/>
          <w:b w:val="false"/>
          <w:i/>
          <w:color w:val="000000"/>
          <w:sz w:val="22"/>
        </w:rPr>
        <w:t xml:space="preserve">Schedules. </w:t>
      </w:r>
      <w:r>
        <w:rPr>
          <w:rFonts w:ascii="Times New Roman" w:hAnsi="Times New Roman"/>
          <w:b w:val="false"/>
          <w:i w:val="false"/>
          <w:color w:val="000000"/>
          <w:sz w:val="22"/>
        </w:rPr>
        <w:t>Supporting schedules shall be filed with the consolidated return. The statement of gross income and deductions and other schedules required for each corporation shall be prepared and filed in columnar form so that the details of the items of gross income, deductions, and credits for each member may be readily ascertained. A column shall also be provided giving effect to any eliminations and adjustments. The items included in the column for eliminations and adjustments should be symbolized to identify contra items affected, and suitable explanations appended, if necessary. Similar schedules shall contain in columnar form a reconciliation of retained earnings for each corporation, together with a reconciliation of consolidated retained earnings. Consolidated balance sheets at the beginning and close of the taxable year of the group shall accompany the consolidated return prepared in a form similar to that required for other schedules. Transactions with a subsidiary which is not included as part of the Iowa consolidated return shall not be considered as intercompany transactions for elimination purposes in computing the consolidated Iowa taxable income for the return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502.15(6)</w:t>
      </w:r>
      <w:r>
        <w:rPr>
          <w:rFonts w:ascii="Times New Roman" w:hAnsi="Times New Roman"/>
          <w:b w:val="false"/>
          <w:i w:val="false"/>
          <w:color w:val="000000"/>
          <w:sz w:val="22"/>
        </w:rPr>
        <w:t> </w:t>
      </w:r>
      <w:r>
        <w:rPr>
          <w:rFonts w:ascii="Times New Roman" w:hAnsi="Times New Roman"/>
          <w:b w:val="false"/>
          <w:i/>
          <w:color w:val="000000"/>
          <w:sz w:val="22"/>
        </w:rPr>
        <w:t xml:space="preserve">Liability for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79">
        <w:r>
          <w:rPr>
            <w:rStyle w:val="Hyperlink"/>
            <w:rFonts w:ascii="Times New Roman" w:hAnsi="Times New Roman"/>
            <w:b w:val="false"/>
            <w:i w:val="false"/>
            <w:color w:val="000000"/>
            <w:sz w:val="22"/>
          </w:rPr>
          <w:t>502.15(6)</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common parent corporation and each subsidiary subject to the Iowa corporation income tax which was a member of the affiliated group during any part of the consolidated return year shall be severally liable for the tax for the year computed in accordance with Iowa Code chapter </w:t>
      </w:r>
      <w:hyperlink r:id="rId8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on or before the due date (not including extensions of time) for the filing of the consolidated return for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subsidiary has ceased to be a member of the group and if the cessation resulted from a bona fide sale or exchange of its stock for fair value and occurred prior to the date upon which any deficiency is assessed, the director may make an assessment and collection of the deficiency from the former subsidiary in an amount not exceeding the portion of the deficiency which the director may determine to be allocable to it. If the director makes assessment and collection of any part of a deficiency from the former subsidiary, then for purposes of any credit or refund of the amount collected from the former subsidiary the agency of the common parent under the provisions of paragraph </w:t>
      </w:r>
      <w:hyperlink r:id="rId81">
        <w:r>
          <w:rPr>
            <w:rStyle w:val="Hyperlink"/>
            <w:rFonts w:ascii="Times New Roman" w:hAnsi="Times New Roman"/>
            <w:b w:val="false"/>
            <w:i w:val="false"/>
            <w:color w:val="000000"/>
            <w:sz w:val="22"/>
          </w:rPr>
          <w:t>502.15(1)</w:t>
        </w:r>
      </w:hyperlink>
      <w:r>
        <w:rPr>
          <w:rFonts w:ascii="Times New Roman" w:hAnsi="Times New Roman"/>
          <w:b w:val="false"/>
          <w:i/>
          <w:color w:val="000000"/>
          <w:sz w:val="22"/>
        </w:rPr>
        <w:t>“e”</w:t>
      </w:r>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agreement entered into by one or more members of the affiliated group with any other member of the group shall in any case have the effect of reducing the liability prescribed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502.15(7)</w:t>
      </w:r>
      <w:r>
        <w:rPr>
          <w:rFonts w:ascii="Times New Roman" w:hAnsi="Times New Roman"/>
          <w:b w:val="false"/>
          <w:i w:val="false"/>
          <w:color w:val="000000"/>
          <w:sz w:val="22"/>
        </w:rPr>
        <w:t> </w:t>
      </w:r>
      <w:r>
        <w:rPr>
          <w:rFonts w:ascii="Times New Roman" w:hAnsi="Times New Roman"/>
          <w:b w:val="false"/>
          <w:i/>
          <w:color w:val="000000"/>
          <w:sz w:val="22"/>
        </w:rPr>
        <w:t xml:space="preserve">Computation of contribution. </w:t>
      </w:r>
      <w:r>
        <w:rPr>
          <w:rFonts w:ascii="Times New Roman" w:hAnsi="Times New Roman"/>
          <w:b w:val="false"/>
          <w:i w:val="false"/>
          <w:color w:val="000000"/>
          <w:sz w:val="22"/>
        </w:rPr>
        <w:t>Computation of a separate corporation’s contribution to consolidated income or net operating loss subject to Iowa tax for purposes of net operating loss carryover and carryback limitations shall be as follows:</w:t>
      </w:r>
    </w:p>
    <w:tbl>
      <w:tblPr>
        <w:tblW w:w="5000" w:type="pct"/>
        <w:tblCellSpacing w:w="0" w:type="auto"/>
        <w:tblBorders>
          <w:top w:val="none"/>
          <w:left w:val="none"/>
          <w:bottom w:val="none"/>
          <w:right w:val="none"/>
          <w:insideH w:val="none"/>
          <w:insideV w:val="none"/>
        </w:tblBorders>
        <w:tblLayout w:type="fixed"/>
      </w:tblPr>
      <w:tblGrid>
        <w:gridCol w:w="1345"/>
        <w:gridCol w:w="529"/>
        <w:gridCol w:w="529"/>
        <w:gridCol w:w="529"/>
        <w:gridCol w:w="529"/>
        <w:gridCol w:w="529"/>
        <w:gridCol w:w="528"/>
        <w:gridCol w:w="528"/>
        <w:gridCol w:w="528"/>
        <w:gridCol w:w="4272"/>
        <w:gridCol w:w="1344"/>
      </w:tblGrid>
      <w:tr>
        <w:trPr>
          <w:trHeight w:val="225" w:hRule="atLeast"/>
        </w:trPr>
        <w:tc>
          <w:tcPr>
            <w:tcW w:w="1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2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w:t>
            </w:r>
          </w:p>
        </w:tc>
        <w:tc>
          <w:tcPr>
            <w:tcW w:w="52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2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w:t>
            </w:r>
          </w:p>
        </w:tc>
        <w:tc>
          <w:tcPr>
            <w:tcW w:w="529"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29"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w:t>
            </w:r>
          </w:p>
        </w:tc>
        <w:tc>
          <w:tcPr>
            <w:tcW w:w="52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528" w:type="dxa"/>
            <w:vMerge w:val="restart"/>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E</w:t>
            </w:r>
          </w:p>
        </w:tc>
        <w:tc>
          <w:tcPr>
            <w:tcW w:w="52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4272"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separate corporation contribution to</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34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52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52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w:t>
            </w:r>
          </w:p>
        </w:tc>
        <w:tc>
          <w:tcPr>
            <w:tcW w:w="0" w:type="auto"/>
            <w:vMerge/>
            <w:tcBorders>
              <w:top w:val="nil"/>
            </w:tcBorders>
          </w:tcPr>
          <w:p/>
        </w:tc>
        <w:tc>
          <w:tcPr>
            <w:tcW w:w="0" w:type="auto"/>
            <w:vMerge/>
            <w:tcBorders>
              <w:top w:val="nil"/>
            </w:tcBorders>
          </w:tcPr>
          <w:p/>
        </w:tc>
        <w:tc>
          <w:tcPr>
            <w:tcW w:w="0" w:type="auto"/>
            <w:vMerge/>
            <w:tcBorders>
              <w:top w:val="nil"/>
            </w:tcBorders>
          </w:tcPr>
          <w:p/>
        </w:tc>
        <w:tc>
          <w:tcPr>
            <w:tcW w:w="4272"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consolidated income subject to Iowa tax.</w:t>
            </w:r>
          </w:p>
        </w:tc>
        <w:tc>
          <w:tcPr>
            <w:tcW w:w="13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A = Separate corporation gross sales within and without Iowa after elimination of all intercompany transactions.</w:t>
      </w:r>
    </w:p>
    <w:p>
      <w:pPr>
        <w:spacing w:before="0" w:after="0"/>
        <w:ind w:left="120"/>
        <w:jc w:val="both"/>
      </w:pPr>
      <w:r>
        <w:rPr>
          <w:rFonts w:ascii="Times New Roman" w:hAnsi="Times New Roman"/>
          <w:b w:val="false"/>
          <w:i w:val="false"/>
          <w:color w:val="000000"/>
          <w:sz w:val="22"/>
        </w:rPr>
        <w:t>B = Consolidated gross sales within and without Iowa after elimination of all intercompany transactions.</w:t>
      </w:r>
    </w:p>
    <w:p>
      <w:pPr>
        <w:spacing w:before="0" w:after="0"/>
        <w:ind w:left="120"/>
        <w:jc w:val="both"/>
      </w:pPr>
      <w:r>
        <w:rPr>
          <w:rFonts w:ascii="Times New Roman" w:hAnsi="Times New Roman"/>
          <w:b w:val="false"/>
          <w:i w:val="false"/>
          <w:color w:val="000000"/>
          <w:sz w:val="22"/>
        </w:rPr>
        <w:t>C = Iowa consolidated net income subject to apportionment.</w:t>
      </w:r>
    </w:p>
    <w:p>
      <w:pPr>
        <w:spacing w:before="0" w:after="0"/>
        <w:ind w:left="120"/>
        <w:jc w:val="both"/>
      </w:pPr>
      <w:r>
        <w:rPr>
          <w:rFonts w:ascii="Times New Roman" w:hAnsi="Times New Roman"/>
          <w:b w:val="false"/>
          <w:i w:val="false"/>
          <w:color w:val="000000"/>
          <w:sz w:val="22"/>
        </w:rPr>
        <w:t>D = Separate corporation gross sales within Iowa after elimination of all intercompany transactions.</w:t>
      </w:r>
    </w:p>
    <w:p>
      <w:pPr>
        <w:spacing w:before="0" w:after="0"/>
        <w:ind w:left="120"/>
        <w:jc w:val="both"/>
      </w:pPr>
      <w:r>
        <w:rPr>
          <w:rFonts w:ascii="Times New Roman" w:hAnsi="Times New Roman"/>
          <w:b w:val="false"/>
          <w:i w:val="false"/>
          <w:color w:val="000000"/>
          <w:sz w:val="22"/>
        </w:rPr>
        <w:t>E = Separate corporation income allocable to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502.15(8)</w:t>
      </w:r>
      <w:r>
        <w:rPr>
          <w:rFonts w:ascii="Times New Roman" w:hAnsi="Times New Roman"/>
          <w:b w:val="false"/>
          <w:i w:val="false"/>
          <w:color w:val="000000"/>
          <w:sz w:val="22"/>
        </w:rPr>
        <w:t> </w:t>
      </w:r>
      <w:r>
        <w:rPr>
          <w:rFonts w:ascii="Times New Roman" w:hAnsi="Times New Roman"/>
          <w:b w:val="false"/>
          <w:i/>
          <w:color w:val="000000"/>
          <w:sz w:val="22"/>
        </w:rPr>
        <w:t xml:space="preserve">Limitations on net operating loss carryover and carryback.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 “separate return year” means a year in which a corporation filed a separate return and also a year for which it joined (or was required to join) in the filing of an Iowa consolidated return by another affiliated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term “separate return limitation year” means any separate return year of a member of the group or of a predecessor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 on net operating loss carryover. </w:t>
      </w:r>
      <w:r>
        <w:rPr>
          <w:rFonts w:ascii="Times New Roman" w:hAnsi="Times New Roman"/>
          <w:b w:val="false"/>
          <w:i w:val="false"/>
          <w:color w:val="000000"/>
          <w:sz w:val="22"/>
        </w:rPr>
        <w:t xml:space="preserve">A net operating loss from a separate return limitation year of a member of the group may be carried over only to the extent that the member contributed to the Iowa consolidated taxable income as computed under subrule </w:t>
      </w:r>
      <w:hyperlink r:id="rId82">
        <w:r>
          <w:rPr>
            <w:rStyle w:val="Hyperlink"/>
            <w:rFonts w:ascii="Times New Roman" w:hAnsi="Times New Roman"/>
            <w:b w:val="false"/>
            <w:i w:val="false"/>
            <w:color w:val="000000"/>
            <w:sz w:val="22"/>
          </w:rPr>
          <w:t>502.15(7)</w:t>
        </w:r>
      </w:hyperlink>
      <w:r>
        <w:rPr>
          <w:rFonts w:ascii="Times New Roman" w:hAnsi="Times New Roman"/>
          <w:b w:val="false"/>
          <w:i w:val="false"/>
          <w:color w:val="000000"/>
          <w:sz w:val="22"/>
        </w:rPr>
        <w:t>. A net operating loss carryover from a separate return limitation year cannot create or increase a consolidated net operating loss which is carried back for tax years beginning prior to January 1, 2009.</w:t>
      </w:r>
    </w:p>
    <w:p>
      <w:pPr>
        <w:spacing w:before="0" w:after="0"/>
        <w:ind w:left="120"/>
        <w:jc w:val="both"/>
      </w:pPr>
      <w:r>
        <w:rPr>
          <w:rFonts w:ascii="Times New Roman" w:hAnsi="Times New Roman"/>
          <w:b w:val="false"/>
          <w:i w:val="false"/>
          <w:color w:val="000000"/>
          <w:sz w:val="22"/>
        </w:rPr>
        <w:t>A consolidated net operating loss may be carried over to a consolidated return year without limitation even though in the carryover year the affiliated group contains members which were not members of the group in the loss year.</w:t>
      </w:r>
    </w:p>
    <w:p>
      <w:pPr>
        <w:spacing w:before="0" w:after="0"/>
        <w:ind w:left="120"/>
        <w:jc w:val="both"/>
      </w:pPr>
      <w:r>
        <w:rPr>
          <w:rFonts w:ascii="Times New Roman" w:hAnsi="Times New Roman"/>
          <w:b w:val="false"/>
          <w:i w:val="false"/>
          <w:color w:val="000000"/>
          <w:sz w:val="22"/>
        </w:rPr>
        <w:t xml:space="preserve">If a member of the affiliated group in the loss year leaves the group through the sale of its stock or because it is now a corporation exempt from tax under Iowa Code section </w:t>
      </w:r>
      <w:hyperlink r:id="rId83">
        <w:r>
          <w:rPr>
            <w:rStyle w:val="Hyperlink"/>
            <w:rFonts w:ascii="Times New Roman" w:hAnsi="Times New Roman"/>
            <w:b w:val="false"/>
            <w:i w:val="false"/>
            <w:color w:val="000000"/>
            <w:sz w:val="22"/>
          </w:rPr>
          <w:t>422.34</w:t>
        </w:r>
      </w:hyperlink>
      <w:r>
        <w:rPr>
          <w:rFonts w:ascii="Times New Roman" w:hAnsi="Times New Roman"/>
          <w:b w:val="false"/>
          <w:i w:val="false"/>
          <w:color w:val="000000"/>
          <w:sz w:val="22"/>
        </w:rPr>
        <w:t xml:space="preserve">, its share, as determined by subrule </w:t>
      </w:r>
      <w:hyperlink r:id="rId84">
        <w:r>
          <w:rPr>
            <w:rStyle w:val="Hyperlink"/>
            <w:rFonts w:ascii="Times New Roman" w:hAnsi="Times New Roman"/>
            <w:b w:val="false"/>
            <w:i w:val="false"/>
            <w:color w:val="000000"/>
            <w:sz w:val="22"/>
          </w:rPr>
          <w:t>502.15(7)</w:t>
        </w:r>
      </w:hyperlink>
      <w:r>
        <w:rPr>
          <w:rFonts w:ascii="Times New Roman" w:hAnsi="Times New Roman"/>
          <w:b w:val="false"/>
          <w:i w:val="false"/>
          <w:color w:val="000000"/>
          <w:sz w:val="22"/>
        </w:rPr>
        <w:t>, of the unabsorbed consolidated net operating loss at the end of the consolidated return year during which the member left the group or became exempt from tax may not be carried forward to a subsequent consolidated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 on net operating loss carryback for tax periods beginning prior to January 1, 2009. </w:t>
      </w:r>
      <w:r>
        <w:rPr>
          <w:rFonts w:ascii="Times New Roman" w:hAnsi="Times New Roman"/>
          <w:b w:val="false"/>
          <w:i w:val="false"/>
          <w:color w:val="000000"/>
          <w:sz w:val="22"/>
        </w:rPr>
        <w:t xml:space="preserve">A member’s share of an Iowa consolidated net operating loss as computed under subrule </w:t>
      </w:r>
      <w:hyperlink r:id="rId85">
        <w:r>
          <w:rPr>
            <w:rStyle w:val="Hyperlink"/>
            <w:rFonts w:ascii="Times New Roman" w:hAnsi="Times New Roman"/>
            <w:b w:val="false"/>
            <w:i w:val="false"/>
            <w:color w:val="000000"/>
            <w:sz w:val="22"/>
          </w:rPr>
          <w:t>502.15(7)</w:t>
        </w:r>
      </w:hyperlink>
      <w:r>
        <w:rPr>
          <w:rFonts w:ascii="Times New Roman" w:hAnsi="Times New Roman"/>
          <w:b w:val="false"/>
          <w:i w:val="false"/>
          <w:color w:val="000000"/>
          <w:sz w:val="22"/>
        </w:rPr>
        <w:t xml:space="preserve"> must be carried back to a separate return year, unless the affiliated group elected to carry the net operating loss forward. However, if the member was not in existence in the carryback year but had been a member of the group for every tax year of its existence, its share of the Iowa consolidated loss may be carried back to a separate return year of the common parent.</w:t>
      </w:r>
    </w:p>
    <w:p>
      <w:pPr>
        <w:spacing w:before="0" w:after="0"/>
        <w:ind w:left="120"/>
        <w:jc w:val="both"/>
      </w:pPr>
      <w:r>
        <w:rPr>
          <w:rFonts w:ascii="Times New Roman" w:hAnsi="Times New Roman"/>
          <w:b w:val="false"/>
          <w:i w:val="false"/>
          <w:color w:val="000000"/>
          <w:sz w:val="22"/>
        </w:rPr>
        <w:t xml:space="preserve">If a consolidated net operating loss is carried back to a consolidated return year and all members of the affiliated group are the same in the carryback year as in the loss year, the consolidated net operating loss may be carried back without limitation. If there are members of the affiliated group in the loss year which were not members in the carryback year, then the formula in subrule </w:t>
      </w:r>
      <w:hyperlink r:id="rId86">
        <w:r>
          <w:rPr>
            <w:rStyle w:val="Hyperlink"/>
            <w:rFonts w:ascii="Times New Roman" w:hAnsi="Times New Roman"/>
            <w:b w:val="false"/>
            <w:i w:val="false"/>
            <w:color w:val="000000"/>
            <w:sz w:val="22"/>
          </w:rPr>
          <w:t>502.15(7)</w:t>
        </w:r>
      </w:hyperlink>
      <w:r>
        <w:rPr>
          <w:rFonts w:ascii="Times New Roman" w:hAnsi="Times New Roman"/>
          <w:b w:val="false"/>
          <w:i w:val="false"/>
          <w:color w:val="000000"/>
          <w:sz w:val="22"/>
        </w:rPr>
        <w:t xml:space="preserve"> must be used to determine the portion of the consolidated net operating loss attributable to the members in existence in the carryback year and which may be carried back. Any member of the affiliated group which was a member of the loss-year affiliated group which has been a member of the group since its formation will be regarded as having been a member of the group in the carryback year even though it was not then in existence. A merger or liquidation of members within the affiliated group will be disregarded in determining whether there has been a change in the group between the loss year and the carryback year.</w:t>
      </w:r>
    </w:p>
    <w:p>
      <w:pPr>
        <w:spacing w:before="0" w:after="0"/>
        <w:ind w:left="120"/>
        <w:jc w:val="both"/>
      </w:pPr>
      <w:r>
        <w:rPr>
          <w:rFonts w:ascii="Times New Roman" w:hAnsi="Times New Roman"/>
          <w:b w:val="false"/>
          <w:i w:val="false"/>
          <w:color w:val="000000"/>
          <w:sz w:val="22"/>
        </w:rPr>
        <w:t xml:space="preserve">The amount of net operating loss that may be carried back from a separate return year to a consolidated return year is limited to the extent that the former member contributed to the Iowa consolidated taxable income as computed under subrule </w:t>
      </w:r>
      <w:hyperlink r:id="rId87">
        <w:r>
          <w:rPr>
            <w:rStyle w:val="Hyperlink"/>
            <w:rFonts w:ascii="Times New Roman" w:hAnsi="Times New Roman"/>
            <w:b w:val="false"/>
            <w:i w:val="false"/>
            <w:color w:val="000000"/>
            <w:sz w:val="22"/>
          </w:rPr>
          <w:t>502.15(7)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2009 Iowa Acts, Senate File 483</w:t>
      </w:r>
      <w:r>
        <w:rPr>
          <w:rFonts w:ascii="Times New Roman" w:hAnsi="Times New Roman"/>
          <w:b w:val="false"/>
          <w:i w:val="false"/>
          <w:color w:val="000000"/>
          <w:sz w:val="22"/>
        </w:rPr>
        <w:t xml:space="preserve">, and section </w:t>
      </w:r>
      <w:hyperlink r:id="rId89">
        <w:r>
          <w:rPr>
            <w:rStyle w:val="Hyperlink"/>
            <w:rFonts w:ascii="Times New Roman" w:hAnsi="Times New Roman"/>
            <w:b w:val="false"/>
            <w:i w:val="false"/>
            <w:color w:val="000000"/>
            <w:sz w:val="22"/>
          </w:rPr>
          <w:t>422.37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701—502.16</w:t>
      </w:r>
      <w:r>
        <w:rPr>
          <w:rFonts w:ascii="Times New Roman" w:hAnsi="Times New Roman"/>
          <w:b/>
          <w:i w:val="false"/>
          <w:color w:val="000000"/>
          <w:sz w:val="22"/>
        </w:rPr>
        <w:t xml:space="preserve">(422) </w:t>
      </w:r>
      <w:r>
        <w:rPr>
          <w:rFonts w:ascii="Times New Roman" w:hAnsi="Times New Roman"/>
          <w:b/>
          <w:i w:val="false"/>
          <w:color w:val="000000"/>
          <w:sz w:val="22"/>
        </w:rPr>
        <w:t xml:space="preserve">Federal rulings and regulations. </w:t>
      </w:r>
      <w:r>
        <w:rPr>
          <w:rFonts w:ascii="Times New Roman" w:hAnsi="Times New Roman"/>
          <w:b w:val="false"/>
          <w:i w:val="false"/>
          <w:color w:val="000000"/>
          <w:sz w:val="22"/>
        </w:rPr>
        <w:t>In determining whether “taxable income,” “net operating loss deduction” or any other deductions are computed for federal tax purposes under, or have the same meaning as provided by, the Internal Revenue Code, the department will use applicable rulings and regulations that have been duly promulgated by the Commissioner of Internal Revenue, unless the director has created rules and regulations or has exercised discretionary powers as prescribed by statute which call for an alternative method for determining “taxable income,” “net operating loss deduction,” or any other deductions, or unless the department finds that an applicable Internal Revenue ruling or regulation is unauthorized according to the Iowa Code.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0">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701—502.17</w:t>
      </w:r>
      <w:r>
        <w:rPr>
          <w:rFonts w:ascii="Times New Roman" w:hAnsi="Times New Roman"/>
          <w:b/>
          <w:i w:val="false"/>
          <w:color w:val="000000"/>
          <w:sz w:val="22"/>
        </w:rPr>
        <w:t xml:space="preserve">(422) </w:t>
      </w:r>
      <w:r>
        <w:rPr>
          <w:rFonts w:ascii="Times New Roman" w:hAnsi="Times New Roman"/>
          <w:b/>
          <w:i w:val="false"/>
          <w:color w:val="000000"/>
          <w:sz w:val="22"/>
        </w:rPr>
        <w:t xml:space="preserve">Depreciation of speculative shell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502.17(1)</w:t>
      </w:r>
      <w:r>
        <w:rPr>
          <w:rFonts w:ascii="Times New Roman" w:hAnsi="Times New Roman"/>
          <w:b w:val="false"/>
          <w:i w:val="false"/>
          <w:color w:val="000000"/>
          <w:sz w:val="22"/>
        </w:rPr>
        <w:t> </w:t>
      </w:r>
      <w:r>
        <w:rPr>
          <w:rFonts w:ascii="Times New Roman" w:hAnsi="Times New Roman"/>
          <w:b w:val="false"/>
          <w:i w:val="false"/>
          <w:color w:val="000000"/>
          <w:sz w:val="22"/>
        </w:rPr>
        <w:t>For tax years beginning on or after July 1, 1992, speculative shell buildings constructed or reconstructed after that date may be depreciated as 15-year property under the accelerated cost recovery system of the Internal Revenue Code. If the taxpayer has deducted depreciation on the speculative shell building on the taxpayer’s federal income tax return, that amount of depreciation must be added to the federal taxable income in order to deduct depreciation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502.17(2)</w:t>
      </w:r>
      <w:r>
        <w:rPr>
          <w:rFonts w:ascii="Times New Roman" w:hAnsi="Times New Roman"/>
          <w:b w:val="false"/>
          <w:i w:val="false"/>
          <w:color w:val="000000"/>
          <w:sz w:val="22"/>
        </w:rPr>
        <w:t> </w:t>
      </w:r>
      <w:r>
        <w:rPr>
          <w:rFonts w:ascii="Times New Roman" w:hAnsi="Times New Roman"/>
          <w:b w:val="false"/>
          <w:i w:val="false"/>
          <w:color w:val="000000"/>
          <w:sz w:val="22"/>
        </w:rPr>
        <w:t>On sale or other disposition of the speculative shell building, the taxpayer must report on the taxpayer’s Iowa corporation income tax return the same gain or loss reported on the taxpayer’s federal corporation income tax return. If, while owned by the taxpayer, the building is converted from a speculative shell building to another use, the taxpayer must deduct the same amount of depreciation on the taxpayer’s Iowa tax return as is deducted on the taxpayer’s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502.17(3)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the term “speculative shell building” means a building as defined in Iowa Code section </w:t>
      </w:r>
      <w:hyperlink r:id="rId91">
        <w:r>
          <w:rPr>
            <w:rStyle w:val="Hyperlink"/>
            <w:rFonts w:ascii="Times New Roman" w:hAnsi="Times New Roman"/>
            <w:b w:val="false"/>
            <w:i w:val="false"/>
            <w:color w:val="000000"/>
            <w:sz w:val="22"/>
          </w:rPr>
          <w:t>427.1</w:t>
        </w:r>
      </w:hyperlink>
      <w:r>
        <w:rPr>
          <w:rFonts w:ascii="Times New Roman" w:hAnsi="Times New Roman"/>
          <w:b w:val="false"/>
          <w:i w:val="false"/>
          <w:color w:val="000000"/>
          <w:sz w:val="22"/>
        </w:rPr>
        <w:t>, subsection (27)</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701—502.18</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multipurpose vehicle registration fee. </w:t>
      </w:r>
      <w:r>
        <w:rPr>
          <w:rFonts w:ascii="Times New Roman" w:hAnsi="Times New Roman"/>
          <w:b w:val="false"/>
          <w:i w:val="false"/>
          <w:color w:val="000000"/>
          <w:sz w:val="22"/>
        </w:rPr>
        <w:t xml:space="preserve">For tax years beginning on or after January 1, 1992, and before January 1, 2005, corporations may claim a deduction for 60 percent of the amount of the registration fee paid for a multipurpose vehicle under Iowa Code section </w:t>
      </w:r>
      <w:hyperlink r:id="rId93">
        <w:r>
          <w:rPr>
            <w:rStyle w:val="Hyperlink"/>
            <w:rFonts w:ascii="Times New Roman" w:hAnsi="Times New Roman"/>
            <w:b w:val="false"/>
            <w:i w:val="false"/>
            <w:color w:val="000000"/>
            <w:sz w:val="22"/>
          </w:rPr>
          <w:t>321.124, subsection 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“h.”</w:t>
      </w:r>
      <w:r>
        <w:rPr>
          <w:rFonts w:ascii="Times New Roman" w:hAnsi="Times New Roman"/>
          <w:b w:val="false"/>
          <w:i w:val="false"/>
          <w:color w:val="000000"/>
          <w:sz w:val="22"/>
        </w:rPr>
        <w:t xml:space="preserve"> In order to qualify for this deduction, no part of the multipurpose vehicle registration fee may have been deducted as an ordinary and necessary business expense.</w:t>
      </w:r>
    </w:p>
    <w:p>
      <w:pPr>
        <w:spacing w:before="0" w:after="0"/>
        <w:ind w:left="120"/>
        <w:jc w:val="both"/>
      </w:pPr>
      <w:r>
        <w:rPr>
          <w:rFonts w:ascii="Times New Roman" w:hAnsi="Times New Roman"/>
          <w:b w:val="false"/>
          <w:i w:val="false"/>
          <w:color w:val="000000"/>
          <w:sz w:val="22"/>
        </w:rPr>
        <w:t>For tax years beginning on or after January 1, 2005, the deduction for Iowa corporation income tax for multipurpose vehicle registration fees is the same as allowed under Section 164 of the Internal Revenue Code for federal tax purposes.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701—502.19</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 of foreign dividends. </w:t>
      </w:r>
      <w:r>
        <w:rPr>
          <w:rFonts w:ascii="Times New Roman" w:hAnsi="Times New Roman"/>
          <w:b w:val="false"/>
          <w:i w:val="false"/>
          <w:color w:val="000000"/>
          <w:sz w:val="22"/>
        </w:rPr>
        <w:t xml:space="preserve">For tax years beginning on or after January 1, 1992, corporations may claim a deduction based on percentage of ownership as set forth in Section 243 of the Internal Revenue Code for foreign dividends including Subpart F income as defined in Section 952 of the Internal Revenue Code. See </w:t>
      </w:r>
      <w:r>
        <w:rPr>
          <w:rFonts w:ascii="Times New Roman" w:hAnsi="Times New Roman"/>
          <w:b w:val="false"/>
          <w:i/>
          <w:color w:val="000000"/>
          <w:sz w:val="22"/>
        </w:rPr>
        <w:t>Kraft General Foods,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Iowa Department of Revenue and Finance</w:t>
      </w:r>
      <w:r>
        <w:rPr>
          <w:rFonts w:ascii="Times New Roman" w:hAnsi="Times New Roman"/>
          <w:b w:val="false"/>
          <w:i w:val="false"/>
          <w:color w:val="000000"/>
          <w:sz w:val="22"/>
        </w:rPr>
        <w:t>, 505 U.S. 71, 120 L.Ed 59, 112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2365 (1992).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701—502.20</w:t>
      </w:r>
      <w:r>
        <w:rPr>
          <w:rFonts w:ascii="Times New Roman" w:hAnsi="Times New Roman"/>
          <w:b/>
          <w:i w:val="false"/>
          <w:color w:val="000000"/>
          <w:sz w:val="22"/>
        </w:rPr>
        <w:t xml:space="preserve">(422) </w:t>
      </w:r>
      <w:r>
        <w:rPr>
          <w:rFonts w:ascii="Times New Roman" w:hAnsi="Times New Roman"/>
          <w:b/>
          <w:i w:val="false"/>
          <w:color w:val="000000"/>
          <w:sz w:val="22"/>
        </w:rPr>
        <w:t xml:space="preserve">Employer social security credit for tips. </w:t>
      </w:r>
      <w:r>
        <w:rPr>
          <w:rFonts w:ascii="Times New Roman" w:hAnsi="Times New Roman"/>
          <w:b w:val="false"/>
          <w:i w:val="false"/>
          <w:color w:val="000000"/>
          <w:sz w:val="22"/>
        </w:rPr>
        <w:t>Employers in the food and beverage industry are allowed a credit under Section 45B of the Internal Revenue Code for a portion of the social security taxes paid or incurred after 1993 on employee tips. The credit is equal to the employer’s FICA obligation attributable to tips received which exceed tips treated as wages for purposes of satisfying minimum wage standards of the Fair Labor Standards Act. The credit is allowed only for tips received by an employee in the course of employment from customers on the premises of a business for which the tipping of employees serving food or beverages is customary. To the extent that an employer takes the credit for a portion of the social security taxes paid or incurred, the employer’s deduction for the social security tax is reduced accordingly. For Iowa income tax purposes, the full deduction for the social security tax paid or incurred is allowed for tax years beginning on or after January 1, 1994. No social security tax credit is allowed on the Iowa corporation income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152</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701—502.21</w:t>
      </w:r>
      <w:r>
        <w:rPr>
          <w:rFonts w:ascii="Times New Roman" w:hAnsi="Times New Roman"/>
          <w:b/>
          <w:i w:val="false"/>
          <w:color w:val="000000"/>
          <w:sz w:val="22"/>
        </w:rPr>
        <w:t xml:space="preserve">(422) </w:t>
      </w:r>
      <w:r>
        <w:rPr>
          <w:rFonts w:ascii="Times New Roman" w:hAnsi="Times New Roman"/>
          <w:b/>
          <w:i w:val="false"/>
          <w:color w:val="000000"/>
          <w:sz w:val="22"/>
        </w:rPr>
        <w:t xml:space="preserve">Deductions related to the Iowa educational savings plan trust. </w:t>
      </w:r>
      <w:r>
        <w:rPr>
          <w:rFonts w:ascii="Times New Roman" w:hAnsi="Times New Roman"/>
          <w:b w:val="false"/>
          <w:i w:val="false"/>
          <w:color w:val="000000"/>
          <w:sz w:val="22"/>
        </w:rPr>
        <w:t xml:space="preserve">For tax years beginning on or after January 1, 2016, certain qualifying organizations may establish Iowa education savings plan trust accounts as participants, as described in Iowa Code </w:t>
      </w:r>
      <w:hyperlink r:id="rId97">
        <w:r>
          <w:rPr>
            <w:rStyle w:val="Hyperlink"/>
            <w:rFonts w:ascii="Times New Roman" w:hAnsi="Times New Roman"/>
            <w:b w:val="false"/>
            <w:i w:val="false"/>
            <w:color w:val="000000"/>
            <w:sz w:val="22"/>
          </w:rPr>
          <w:t>chapter 12D</w:t>
        </w:r>
      </w:hyperlink>
      <w:r>
        <w:rPr>
          <w:rFonts w:ascii="Times New Roman" w:hAnsi="Times New Roman"/>
          <w:b w:val="false"/>
          <w:i w:val="false"/>
          <w:color w:val="000000"/>
          <w:sz w:val="22"/>
        </w:rPr>
        <w:t xml:space="preserve">. Taxpayers may make contributions to such qualifying organizations so that the organization can deposit the contribution into the organization’s Iowa education savings plan trust account. However, for Iowa income tax purposes, a taxpayer must add back any portion of the federal charitable contribution deduction allowed for a contribution to a qualifying organization, to the extent that the taxpayer designated that any part of such contribution be used for the direct benefit of a dependent of a shareholder or for the benefit of any other specific person chosen by the taxpayer.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2016 Iowa Acts, chapter 1107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3664C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701—502.22</w:t>
      </w:r>
      <w:r>
        <w:rPr>
          <w:rFonts w:ascii="Times New Roman" w:hAnsi="Times New Roman"/>
          <w:b/>
          <w:i w:val="false"/>
          <w:color w:val="000000"/>
          <w:sz w:val="22"/>
        </w:rPr>
        <w:t xml:space="preserve">(422) </w:t>
      </w:r>
      <w:r>
        <w:rPr>
          <w:rFonts w:ascii="Times New Roman" w:hAnsi="Times New Roman"/>
          <w:b/>
          <w:i w:val="false"/>
          <w:color w:val="000000"/>
          <w:sz w:val="22"/>
        </w:rPr>
        <w:t xml:space="preserve">Additional first-year depreciation allowance.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502.22(1)</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September 10, 2001, but before May 6, 2003. </w:t>
      </w:r>
      <w:r>
        <w:rPr>
          <w:rFonts w:ascii="Times New Roman" w:hAnsi="Times New Roman"/>
          <w:b w:val="false"/>
          <w:i w:val="false"/>
          <w:color w:val="000000"/>
          <w:sz w:val="22"/>
        </w:rPr>
        <w:t>For tax periods ending after September 10, 2001, but beginning before May 6, 2003, the additional first-year depreciation allowance (“bonus depreciation”) of 30 percent authorized in Section 168(k) of the Internal Revenue Code, as enacted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107-147, Section 101, does not apply for Iowa corporation income tax. Taxpayers who claim the bonus depreciation on their federal income tax return must add the total amount of depreciation claimed on assets acquired after September 10, 2001, but before May 6, 2003,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September 10, 2001, but before May 6, 2003, can be calculated on Form IA 4562A.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acquired a $100,000 qualifying asset on January 1, 2002, which has a five-year life for depreciation purposes. Using the bonus depreciation provision in Section 168(k) of the Internal Revenue Code, taxpayer was entitled to a $44,000 depreciation deduction on the federal return for 2002. For Iowa purposes, taxpayer must use the MACRS depreciation method which results in a $20,000 depreciation deduction on the Iowa return for 2002. Therefore, a $24,000 ($44,000 – $20,000) increase to net income relating to this depreciation adjustment must be made on the Iowa return for 2002.</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acquired a $1,000,000 qualifying asset on January 1, 2002, which has a ten-year life for depreciation purposes. This asset was sold on December 31, 2005, for $500,000. Using the bonus depreciation provision, taxpayer claimed $677,440 of depreciation deductions on the federal returns for 2002-2005. This results in a basis for this asset of $322,560 ($1,000,000 – $677,440), and a gain of $177,440 ($500,000 – $322,560) on the federal return for 2005 on the sale of the asset.</w:t>
      </w:r>
    </w:p>
    <w:p>
      <w:pPr>
        <w:spacing w:before="0" w:after="0"/>
        <w:ind w:left="120"/>
        <w:jc w:val="both"/>
      </w:pPr>
      <w:r>
        <w:rPr>
          <w:rFonts w:ascii="Times New Roman" w:hAnsi="Times New Roman"/>
          <w:b w:val="false"/>
          <w:i w:val="false"/>
          <w:color w:val="000000"/>
          <w:sz w:val="22"/>
        </w:rPr>
        <w:t>Using the MACRS depreciation method, taxpayer claimed $539,200 of depreciation deductions on the Iowa returns for 2002-2005. This results in a basis for this asset of $460,800 ($1,000,000 – $539,200), and a gain of $39,200 ($500,000 – $460,800) on the Iowa return for 2005 on the sale of the asset. Therefore, a decrease to net income of $138,240 ($177,440 – $39,200) relating to this gain adjustment must be made on the Iowa return for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502.22(2)</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May 5, 2003, but before January 1, 2005. </w:t>
      </w:r>
      <w:r>
        <w:rPr>
          <w:rFonts w:ascii="Times New Roman" w:hAnsi="Times New Roman"/>
          <w:b w:val="false"/>
          <w:i w:val="false"/>
          <w:color w:val="000000"/>
          <w:sz w:val="22"/>
        </w:rPr>
        <w:t>For tax periods beginning after May 5, 2003, but beginning before January 1, 2005,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108-27, Section 201, may be taken for Iowa corporation income tax. If the taxpayer elects to take the 50 percent bonus depreciation, the depreciation deduction allowed on the Iowa corporation income tax return is the same as the depreciation deduction allowed on the federal income tax return for assets acquired after May 5, 2003, but before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to take the 50 percent bonus depreciation and had filed an Iowa return prior to February 24, 2005, which reflected the disallowance of 50 percent bonus depreciation, the taxpayer may choose between two options to reflect this change. Taxpayer may either file an amended return for the applicable tax year to reflect the 50 percent bonus depreciation provision, or taxpayer may reflect the change for 50 percent bonus depreciation on the next Iowa return filed subsequent to February 23, 2005. Taxpayer must choose only one of these two options. Regardless of the option chosen, taxpayer must complete and attach a revised Form IA 4562A to either the amended return or the return filed subsequent to February 23, 2005.</w:t>
      </w:r>
    </w:p>
    <w:p>
      <w:pPr>
        <w:spacing w:before="0" w:after="0"/>
        <w:ind w:left="120"/>
        <w:jc w:val="both"/>
      </w:pPr>
      <w:r>
        <w:rPr>
          <w:rFonts w:ascii="Times New Roman" w:hAnsi="Times New Roman"/>
          <w:b w:val="false"/>
          <w:i w:val="false"/>
          <w:color w:val="000000"/>
          <w:sz w:val="22"/>
        </w:rPr>
        <w:t xml:space="preserve">See </w:t>
      </w:r>
      <w:hyperlink r:id="rId99">
        <w:r>
          <w:rPr>
            <w:rStyle w:val="Hyperlink"/>
            <w:rFonts w:ascii="Times New Roman" w:hAnsi="Times New Roman"/>
            <w:b w:val="false"/>
            <w:i w:val="false"/>
            <w:color w:val="000000"/>
            <w:sz w:val="22"/>
          </w:rPr>
          <w:t>701—paragraph 302.60(2)</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taxpayer elects not to take the 50 percent bonus depreciation, taxpayer must add the total amount of depreciation claimed on assets acquired after May 5, 2003, but before January 1, 2005, and subtract the amount of depreciation taken on such property using the modified accelerated cost recovery system (MACRS) depreciation method applicable under Section 168 of the Internal Revenue Code without regard to Section 168(k). 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 The adjustment for both depreciation and the gain or loss on the sale of qualifying assets acquired after May 5, 2003, but before January 1, 2005,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502.22(3)</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2007, but before January 1, 2010. </w:t>
      </w:r>
      <w:r>
        <w:rPr>
          <w:rFonts w:ascii="Times New Roman" w:hAnsi="Times New Roman"/>
          <w:b w:val="false"/>
          <w:i w:val="false"/>
          <w:color w:val="000000"/>
          <w:sz w:val="22"/>
        </w:rPr>
        <w:t>For tax periods beginning after December 31, 2007, but beginning before January 1, 2010, the bonus depreciation of 50 percent authorized in Section 168(k) of the Internal Revenue Code, as amended by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110-185, Section 103, and Public Law 111-5, Section 1201, does not apply for Iowa corporation income tax. Taxpayers who claim the bonus depreciation on their federal income tax return must add the total amount of depreciation claimed on assets acquired after December 31, 2007, but before January 1, 2010,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2007, but before January 1, 2010, can be calculated on Form IA 4562A.</w:t>
      </w:r>
    </w:p>
    <w:p>
      <w:pPr>
        <w:spacing w:before="0" w:after="0"/>
        <w:ind w:left="120"/>
        <w:jc w:val="both"/>
      </w:pPr>
      <w:r>
        <w:rPr>
          <w:rFonts w:ascii="Times New Roman" w:hAnsi="Times New Roman"/>
          <w:b w:val="false"/>
          <w:i w:val="false"/>
          <w:color w:val="000000"/>
          <w:sz w:val="22"/>
        </w:rPr>
        <w:t>The following nonexclusive examples illustrate how this subrule applies:</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Taxpayer acquired a $100,000 qualifying asset on January 10, 2008, which has a five-year life for depreciation purposes. Using the bonus depreciation provision in Section 168(k) of the Internal Revenue Code, taxpayer was entitled to a $44,000 depreciation deduction on the federal return for 2008. For Iowa purposes, taxpayer must use the MACRS depreciation method which results in a $20,000 depreciation deduction on the Iowa return for 2008. Therefore, a $24,000 ($44,000 – $20,000) increase to net income relating to this depreciation adjustment must be made on the Iowa return for 2008.</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Taxpayer acquired a $1,000,000 qualifying asset on January 10, 2008, which has a ten-year life for depreciation purposes. This asset was sold on December 31, 2011, for $500,000. Using the bonus depreciation provision, taxpayer claimed $677,440 of depreciation deductions on the federal returns for 2008-2011. This results in a basis for this asset of $322,560 ($1,000,000 – $677,440), and a gain of $177,440 ($500,000 – $322,560) on the federal return for 2011 on the sale of the asset.</w:t>
      </w:r>
    </w:p>
    <w:p>
      <w:pPr>
        <w:spacing w:before="0" w:after="0"/>
        <w:ind w:left="120"/>
        <w:jc w:val="both"/>
      </w:pPr>
      <w:r>
        <w:rPr>
          <w:rFonts w:ascii="Times New Roman" w:hAnsi="Times New Roman"/>
          <w:b w:val="false"/>
          <w:i w:val="false"/>
          <w:color w:val="000000"/>
          <w:sz w:val="22"/>
        </w:rPr>
        <w:t>Using the MACRS depreciation method, taxpayer claimed $539,200 of depreciation deductions on the Iowa returns for 2008-2011. This results in a basis for this asset of $460,800 ($1,000,000 – $539,200), and a gain of $39,200 ($500,000 – $460,800) on the Iowa return for 2011 on the sale of the asset. Therefore, a decrease to net income of $138,240 ($177,440 – $39,200) relating to this gain adjustment must be made on the Iowa return for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502.22(4)</w:t>
      </w:r>
      <w:r>
        <w:rPr>
          <w:rFonts w:ascii="Times New Roman" w:hAnsi="Times New Roman"/>
          <w:b w:val="false"/>
          <w:i w:val="false"/>
          <w:color w:val="000000"/>
          <w:sz w:val="22"/>
        </w:rPr>
        <w:t> </w:t>
      </w:r>
      <w:r>
        <w:rPr>
          <w:rFonts w:ascii="Times New Roman" w:hAnsi="Times New Roman"/>
          <w:b w:val="false"/>
          <w:i/>
          <w:color w:val="000000"/>
          <w:sz w:val="22"/>
        </w:rPr>
        <w:t xml:space="preserve">Qualified disaster assistance property. </w:t>
      </w:r>
      <w:r>
        <w:rPr>
          <w:rFonts w:ascii="Times New Roman" w:hAnsi="Times New Roman"/>
          <w:b w:val="false"/>
          <w:i w:val="false"/>
          <w:color w:val="000000"/>
          <w:sz w:val="22"/>
        </w:rPr>
        <w:t xml:space="preserve">For property placed in service after December 31, 2007, with respect to federal declared disasters occurring before January 1, 2010, the bonus depreciation of 50 percent authorized in Section 168(n) of the Internal Revenue Code for qualified disaster assistance property, as amended by Public Law 110-343, Section 710, does not apply for Iowa corporation income tax. Taxpayers who claim the bonus depreciation on their federal income tax return must add the total amount of depreciation claimed on qualified disaster assistance property and subtract the amount of depreciation taken on such property using the modified accelerated cost recovery system (MACRS) depreciation method applicable under Section 168 of the Internal Revenue Code without regard to Section 168(n). </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this property for federal tax purposes must be adjusted for Iowa tax purposes to account for the adjusted basis of such property.</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disaster assistance property can be calculated on Form IA 4562A.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502.22(5)</w:t>
      </w:r>
      <w:r>
        <w:rPr>
          <w:rFonts w:ascii="Times New Roman" w:hAnsi="Times New Roman"/>
          <w:b w:val="false"/>
          <w:i w:val="false"/>
          <w:color w:val="000000"/>
          <w:sz w:val="22"/>
        </w:rPr>
        <w:t> </w:t>
      </w:r>
      <w:r>
        <w:rPr>
          <w:rFonts w:ascii="Times New Roman" w:hAnsi="Times New Roman"/>
          <w:b w:val="false"/>
          <w:i/>
          <w:color w:val="000000"/>
          <w:sz w:val="22"/>
        </w:rPr>
        <w:t xml:space="preserve">Assets acquired after December 31, 2009, but before January 1, 2014. </w:t>
      </w:r>
      <w:r>
        <w:rPr>
          <w:rFonts w:ascii="Times New Roman" w:hAnsi="Times New Roman"/>
          <w:b w:val="false"/>
          <w:i w:val="false"/>
          <w:color w:val="000000"/>
          <w:sz w:val="22"/>
        </w:rPr>
        <w:t>For tax periods beginning after December 31, 2009, but beginning before January 1, 2014, the bonus depreciation authorized in Section 168(k) of the Internal Revenue Code, as amended by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111-240, Section 2022, Public Law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111-312, Section 401, and Public Law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112-240, Section 331, does not apply for Iowa corporation income tax. Taxpayers who claim the bonus depreciation on their federal income tax return must add the total amount of depreciation claimed on assets acquired after December 31, 2009, but before January 1, 2014, and subtract the amount of depreciation taken on such property using the modified accelerated cost recovery system (MACRS) depreciation method applicable under Section 168 of the Internal Revenue Code without regard to Section 168(k).</w:t>
      </w:r>
    </w:p>
    <w:p>
      <w:pPr>
        <w:spacing w:before="0" w:after="0"/>
        <w:ind w:left="120"/>
        <w:jc w:val="both"/>
      </w:pPr>
      <w:r>
        <w:rPr>
          <w:rFonts w:ascii="Times New Roman" w:hAnsi="Times New Roman"/>
          <w:b w:val="false"/>
          <w:i w:val="false"/>
          <w:color w:val="000000"/>
          <w:sz w:val="22"/>
        </w:rPr>
        <w:t>If any such property was sold or disposed of during the tax year, the applicable depreciation catch-up adjustment must be made to adjust the basis of the property for Iowa tax purposes. The gain or loss reported on the sale or disposition of these assets for federal tax purposes must be adjusted for Iowa tax purposes to account for the adjusted basis of assets.</w:t>
      </w:r>
    </w:p>
    <w:p>
      <w:pPr>
        <w:spacing w:before="0" w:after="0"/>
        <w:ind w:left="120"/>
        <w:jc w:val="both"/>
      </w:pPr>
      <w:r>
        <w:rPr>
          <w:rFonts w:ascii="Times New Roman" w:hAnsi="Times New Roman"/>
          <w:b w:val="false"/>
          <w:i w:val="false"/>
          <w:color w:val="000000"/>
          <w:sz w:val="22"/>
        </w:rPr>
        <w:t>The adjustment for both depreciation and the gain or loss on the sale of qualifying assets acquired after December 31, 2009, but before January 1, 2014, can be calculated on Form IA 4562A.</w:t>
      </w:r>
    </w:p>
    <w:p>
      <w:pPr>
        <w:spacing w:before="0" w:after="0"/>
        <w:ind w:left="120"/>
        <w:jc w:val="both"/>
      </w:pPr>
      <w:r>
        <w:rPr>
          <w:rFonts w:ascii="Times New Roman" w:hAnsi="Times New Roman"/>
          <w:b w:val="false"/>
          <w:i w:val="false"/>
          <w:color w:val="000000"/>
          <w:sz w:val="22"/>
        </w:rPr>
        <w:t xml:space="preserve">See subrule </w:t>
      </w:r>
      <w:hyperlink r:id="rId100">
        <w:r>
          <w:rPr>
            <w:rStyle w:val="Hyperlink"/>
            <w:rFonts w:ascii="Times New Roman" w:hAnsi="Times New Roman"/>
            <w:b w:val="false"/>
            <w:i w:val="false"/>
            <w:color w:val="000000"/>
            <w:sz w:val="22"/>
          </w:rPr>
          <w:t>502.22(3)</w:t>
        </w:r>
      </w:hyperlink>
      <w:r>
        <w:rPr>
          <w:rFonts w:ascii="Times New Roman" w:hAnsi="Times New Roman"/>
          <w:b w:val="false"/>
          <w:i w:val="false"/>
          <w:color w:val="000000"/>
          <w:sz w:val="22"/>
        </w:rPr>
        <w:t xml:space="preserve"> for examples illustrating how this subrule is applied.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106</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701—502.23</w:t>
      </w:r>
      <w:r>
        <w:rPr>
          <w:rFonts w:ascii="Times New Roman" w:hAnsi="Times New Roman"/>
          <w:b/>
          <w:i w:val="false"/>
          <w:color w:val="000000"/>
          <w:sz w:val="22"/>
        </w:rPr>
        <w:t xml:space="preserve">(422) </w:t>
      </w:r>
      <w:r>
        <w:rPr>
          <w:rFonts w:ascii="Times New Roman" w:hAnsi="Times New Roman"/>
          <w:b/>
          <w:i w:val="false"/>
          <w:color w:val="000000"/>
          <w:sz w:val="22"/>
        </w:rPr>
        <w:t xml:space="preserve">Section 179 expensing.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Iowa taxpayers that elect to expense certain depreciable business assets in the year the assets were placed in service under section 179 of the Internal Revenue Code must also expense those same assets for Iowa income tax purposes in that year. However, for certain years, the Iowa limitations on this deduction are different from the federal limitations for the same year. This means that for some tax years, adjustments are required to determine the correct Iowa section 179 expensing deduction, as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502.23(2)</w:t>
      </w:r>
      <w:r>
        <w:rPr>
          <w:rFonts w:ascii="Times New Roman" w:hAnsi="Times New Roman"/>
          <w:b w:val="false"/>
          <w:i w:val="false"/>
          <w:color w:val="000000"/>
          <w:sz w:val="22"/>
        </w:rPr>
        <w:t> </w:t>
      </w:r>
      <w:r>
        <w:rPr>
          <w:rFonts w:ascii="Times New Roman" w:hAnsi="Times New Roman"/>
          <w:b w:val="false"/>
          <w:i/>
          <w:color w:val="000000"/>
          <w:sz w:val="22"/>
        </w:rPr>
        <w:t xml:space="preserve">Claiming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Timing and requirement to follow federal election. </w:t>
      </w:r>
      <w:r>
        <w:rPr>
          <w:rFonts w:ascii="Times New Roman" w:hAnsi="Times New Roman"/>
          <w:b w:val="false"/>
          <w:i w:val="false"/>
          <w:color w:val="000000"/>
          <w:sz w:val="22"/>
        </w:rPr>
        <w:t>A taxpayer that takes a federal section 179 deduction must also take the deduction for the same asset in the same year for Iowa purposes, except as expressly provided by Iowa law or this rule. A taxpayer that takes a federal section 179 deduction is not permitted to opt out of taking the same deduction for Iowa purposes. A taxpayer that does not take a federal section 179 deduction on a specific qualifying asset is not permitted to take a section 179 deduction for Iowa purposes on that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Qualifying for the deduction. </w:t>
      </w:r>
      <w:r>
        <w:rPr>
          <w:rFonts w:ascii="Times New Roman" w:hAnsi="Times New Roman"/>
          <w:b w:val="false"/>
          <w:i w:val="false"/>
          <w:color w:val="000000"/>
          <w:sz w:val="22"/>
        </w:rPr>
        <w:t>Whether a specific business asset qualifies for a section 179 deduction is determined by the Internal Revenue Code (Title 26, U.S. Code) and applicable federal regulations for both federal and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Amount of the Iowa deduction. </w:t>
      </w:r>
      <w:r>
        <w:rPr>
          <w:rFonts w:ascii="Times New Roman" w:hAnsi="Times New Roman"/>
          <w:b w:val="false"/>
          <w:i w:val="false"/>
          <w:color w:val="000000"/>
          <w:sz w:val="22"/>
        </w:rPr>
        <w:t xml:space="preserve">Generally, the Iowa deduction must equal the amount of the federal deduction taken for the same asset in the same year, subject to special Iowa limitations. The following chart provides a comparison of the Iowa and federal section 179 dollar limitations and reduction limitations. See rule </w:t>
      </w:r>
      <w:hyperlink r:id="rId102">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the section 179 rules applicable to individuals and other noncorporate entities, and see rule </w:t>
      </w:r>
      <w:hyperlink r:id="rId103">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for the section 179 rules applicable to financial institutions subject to the franchise tax.</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38"/>
        <w:gridCol w:w="2238"/>
        <w:gridCol w:w="2238"/>
        <w:gridCol w:w="2238"/>
        <w:gridCol w:w="2238"/>
      </w:tblGrid>
      <w:tr>
        <w:trPr>
          <w:trHeight w:val="225" w:hRule="atLeast"/>
        </w:trPr>
        <w:tc>
          <w:tcPr>
            <w:tcW w:w="0" w:type="auto"/>
            <w:gridSpan w:val="5"/>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Section 179 Deduction Allowances Under Federal and Iowa Law</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Tax Year</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Dollar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Dollar Limitation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Reduction Limitation</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2003</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$ 100,000</w:t>
            </w:r>
          </w:p>
        </w:tc>
        <w:tc>
          <w:tcPr>
            <w:tcW w:w="223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w:t>
            </w:r>
            <w:r>
              <w:rPr>
                <w:rFonts w:ascii="Times New Roman" w:hAnsi="Times New Roman"/>
                <w:b w:val="false"/>
                <w:i w:val="false"/>
                <w:color w:val="000000"/>
                <w:sz w:val="16"/>
              </w:rPr>
              <w:t> </w:t>
            </w:r>
          </w:p>
          <w:p>
            <w:pPr>
              <w:spacing w:before="0" w:after="0"/>
              <w:ind w:left="0"/>
              <w:jc w:val="right"/>
            </w:pPr>
            <w:r>
              <w:rPr>
                <w:rFonts w:ascii="Times New Roman" w:hAnsi="Times New Roman"/>
                <w:b w:val="false"/>
                <w:i w:val="false"/>
                <w:color w:val="000000"/>
                <w:sz w:val="16"/>
              </w:rPr>
              <w:t xml:space="preserve"> 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102,000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410,000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420,000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108,000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800,000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133,000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530,000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360"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2011</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2012</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2013</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2014</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2015</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2016</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2017</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510,000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2,030,000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2018</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2,500,000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70,000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280,000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2019</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1,020,000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xml:space="preserve"> 2,550,000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2238"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400,000</w:t>
            </w:r>
          </w:p>
        </w:tc>
      </w:tr>
      <w:tr>
        <w:trPr>
          <w:trHeight w:val="225" w:hRule="atLeast"/>
        </w:trPr>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2020 and later</w:t>
            </w:r>
          </w:p>
        </w:tc>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Iowa limitations are the same as federal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 xml:space="preserve">Both the federal and the Iowa deductions for section 179 assets are reduced (phased out dollar for dollar) for taxpayers whose total section 179 assets placed in service during a given year cost more than the amount specified (reduction limitation) for that year. Like the deduction limitation, the Iowa and federal reduction limitations are different for certain years. See paragraph </w:t>
      </w:r>
      <w:hyperlink r:id="rId104">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applicable limitations.</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corporation, purchases $400,000 worth of qualifying section 179 assets and places all of them in service in 2018. Taxpayer claims a section 179 deduction of $400,000 for the full cost of the assets on the 2018 federal return. For corporations, the Iowa section 179 deduction for 2018 is phased out dollar for dollar by the amount of section 179 assets placed in service in excess of $280,000. This means that, for 2018, the Iowa deduction is fully phased out if the taxpayer placed in service section 179 assets that cost, in total, more than $350,000. Since the cost of the qualifying assets in this example exceeds the Iowa section 179 phase-out limit, the taxpayer cannot claim any section 179 deduction on the Iowa return. However, the taxpayer may depreciate the entire cost of the assets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Amounts in excess of the Iowa limits.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Recovering the excess. Due to the differences between the Iowa and federal limitations for certain years, taxpayers may have a federal section 179 deduction that exceeds the amount allowed for Iowa purposes. This excess amount is handled in different ways depending on the source of the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Assets placed in service by the taxpayer or entity reporting the deduction. The cost of any section 179 assets placed in service by the taxpayer in excess of the Iowa limitation for a given year may be recovered through regular depreciation under Section 168 of the Internal Revenue Code, without regard to bonus depreciation under Section 168(k). The Iowa section 179 and depreciation deductions and any basis adjustments resulting from the difference in timing of the recovery between Iowa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Taxpayer, a corporation, purchases a $100,000 piece of equipment and places it in service in 2018. Taxpayer claims a section 179 deduction of $100,000 for the full cost of the equipment on the 2018 federal return. Taxpayer is also required to claim a section 179 deduction of $70,000 on the 2018 Iowa return (the full amount of the federal deduction up to the Iowa limit for corporations for 2018). The taxpayer can depreciate the remaining $30,000 cost of the equipment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election for assets placed in service by a pass-through entity when the section 179 deduction is claimed by an owner of that pass-through. See subrule </w:t>
      </w:r>
      <w:hyperlink r:id="rId105">
        <w:r>
          <w:rPr>
            <w:rStyle w:val="Hyperlink"/>
            <w:rFonts w:ascii="Times New Roman" w:hAnsi="Times New Roman"/>
            <w:b w:val="false"/>
            <w:i w:val="false"/>
            <w:color w:val="000000"/>
            <w:sz w:val="22"/>
          </w:rPr>
          <w:t>502.23(3)</w:t>
        </w:r>
      </w:hyperlink>
      <w:r>
        <w:rPr>
          <w:rFonts w:ascii="Times New Roman" w:hAnsi="Times New Roman"/>
          <w:b w:val="false"/>
          <w:i w:val="false"/>
          <w:color w:val="000000"/>
          <w:sz w:val="22"/>
        </w:rPr>
        <w:t xml:space="preserve"> for information on a special election available to certain owners of pass-through entities related to any section 179 deductions passed through from a partnership or other entity that, in the aggregate, exceed the Iowa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information for pass-throughs. In the case of pass-through entities, section 179 limitations apply at both the entity level and the owner level. Pass-through entities that are required to file an Iowa return and that actually place section 179 assets in service should follow </w:t>
      </w:r>
      <w:hyperlink r:id="rId106">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“e”</w:t>
      </w:r>
      <w:r>
        <w:rPr>
          <w:rFonts w:ascii="Times New Roman" w:hAnsi="Times New Roman"/>
          <w:b w:val="false"/>
          <w:i w:val="false"/>
          <w:color w:val="000000"/>
          <w:sz w:val="22"/>
        </w:rPr>
        <w:t xml:space="preserve">(1)“1” to account for any assets for which the total federal section 179 deductions for a given year exceeded the Iowa limitation. Owners of pass-throughs receiving section 179 deductions from one or more pass-throughs that, in the aggregate, exceed the Iowa limitations should follow </w:t>
      </w:r>
      <w:hyperlink r:id="rId107">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“e”</w:t>
      </w:r>
      <w:r>
        <w:rPr>
          <w:rFonts w:ascii="Times New Roman" w:hAnsi="Times New Roman"/>
          <w:b w:val="false"/>
          <w:i w:val="false"/>
          <w:color w:val="000000"/>
          <w:sz w:val="22"/>
        </w:rPr>
        <w:t>(1)“2.”</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(a corporation doing business exclusively in Iowa) owns 50 percent interests in each of three partnerships: C, D, and E. Partnership C, which also does business exclusively in Iowa, places $200,000 worth of section 179 assets in service during tax year 2019 and claims a federal section 179 deduction for the full cost of the assets. Because C is required to file an Iowa partnership return, C is subject to the Iowa section 179 limitations for 2019 and must adjust its Iowa section 179 deduction as provided in </w:t>
      </w:r>
      <w:hyperlink r:id="rId108">
        <w:r>
          <w:rPr>
            <w:rStyle w:val="Hyperlink"/>
            <w:rFonts w:ascii="Times New Roman" w:hAnsi="Times New Roman"/>
            <w:b w:val="false"/>
            <w:i w:val="false"/>
            <w:color w:val="000000"/>
            <w:sz w:val="22"/>
          </w:rPr>
          <w:t>701—numbered paragraph 302.65(2)</w:t>
        </w:r>
        <w:r>
          <w:rPr>
            <w:rFonts w:ascii="Times New Roman" w:hAnsi="Times New Roman"/>
            <w:b w:val="false"/>
            <w:i/>
            <w:color w:val="000000"/>
            <w:sz w:val="22"/>
          </w:rPr>
          <w:t>“e”</w:t>
        </w:r>
        <w:r>
          <w:rPr>
            <w:rFonts w:ascii="Times New Roman" w:hAnsi="Times New Roman"/>
            <w:b w:val="false"/>
            <w:i w:val="false"/>
            <w:color w:val="000000"/>
            <w:sz w:val="22"/>
          </w:rPr>
          <w:t>(1)“1.”</w:t>
        </w:r>
      </w:hyperlink>
      <w:r>
        <w:rPr>
          <w:rFonts w:ascii="Times New Roman" w:hAnsi="Times New Roman"/>
          <w:b w:val="false"/>
          <w:i w:val="false"/>
          <w:color w:val="000000"/>
          <w:sz w:val="22"/>
        </w:rPr>
        <w:t xml:space="preserve"> C passes through 50 percent of its section 179 deduction ($100,000 for federal purposes, $50,000 for Iowa purposes) to A, Inc. </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also receives $50,000 each in section 179 deductions from D and E, for a total of $150,000 in section 179 deductions (for Iowa purposes) in 2019.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subject to the $100,000 Iowa section 179 deduction limitation for 2019, but because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received total section 179 deductions from one or more pass-throughs in excess of the 2019 Iowa limitation, A,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is eligible for the special election referenced in </w:t>
      </w:r>
      <w:hyperlink r:id="rId109">
        <w:r>
          <w:rPr>
            <w:rStyle w:val="Hyperlink"/>
            <w:rFonts w:ascii="Times New Roman" w:hAnsi="Times New Roman"/>
            <w:b w:val="false"/>
            <w:i w:val="false"/>
            <w:color w:val="000000"/>
            <w:sz w:val="22"/>
          </w:rPr>
          <w:t>502.23(2)</w:t>
        </w:r>
        <w:r>
          <w:rPr>
            <w:rFonts w:ascii="Times New Roman" w:hAnsi="Times New Roman"/>
            <w:b w:val="false"/>
            <w:i/>
            <w:color w:val="000000"/>
            <w:sz w:val="22"/>
          </w:rPr>
          <w:t>“e”</w:t>
        </w:r>
        <w:r>
          <w:rPr>
            <w:rFonts w:ascii="Times New Roman" w:hAnsi="Times New Roman"/>
            <w:b w:val="false"/>
            <w:i w:val="false"/>
            <w:color w:val="000000"/>
            <w:sz w:val="22"/>
          </w:rPr>
          <w:t>(1)“2.”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Income limitation. </w:t>
      </w:r>
      <w:r>
        <w:rPr>
          <w:rFonts w:ascii="Times New Roman" w:hAnsi="Times New Roman"/>
          <w:b w:val="false"/>
          <w:i w:val="false"/>
          <w:color w:val="000000"/>
          <w:sz w:val="22"/>
        </w:rPr>
        <w:t xml:space="preserve">The Iowa section 179 deduction for any given year is limited to the taxpayer’s income from active conduct in a trade or business in the same manner that the section 179 deduction is limited for federal purposes. If an allowable Iowa section 179 deduction exceeds the taxpayer’s business income for a given year, any excess allowable Iowa section 179 deduction may be carried forward as described in paragraph </w:t>
      </w:r>
      <w:hyperlink r:id="rId110">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r>
        <w:rPr>
          <w:rFonts w:ascii="Times New Roman" w:hAnsi="Times New Roman"/>
          <w:b w:val="false"/>
          <w:i w:val="false"/>
          <w:color w:val="000000"/>
          <w:sz w:val="22"/>
        </w:rPr>
        <w:t xml:space="preserve">This paragraph applies only to amounts that do not exceed the Iowa section 179 deduction limitations for a given year but do exceed the taxpayer’s business income for that year. As with the federal deduction, allowable Iowa section 179 deductions claimed in a given year that exceed a taxpayer’s business income may be carried forward and claimed in future years. This carryforward, if any, is calculated using only amounts up to the Iowa limit. Any federal section 179 deduction the taxpayer claimed in excess of the Iowa limit is not an Iowa section 179 deduction and therefore is not eligible for the carryforward described in this paragraph. Such amounts must instead be recovered as described in paragraph </w:t>
      </w:r>
      <w:hyperlink r:id="rId111">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in subrule </w:t>
      </w:r>
      <w:hyperlink r:id="rId112">
        <w:r>
          <w:rPr>
            <w:rStyle w:val="Hyperlink"/>
            <w:rFonts w:ascii="Times New Roman" w:hAnsi="Times New Roman"/>
            <w:b w:val="false"/>
            <w:i w:val="false"/>
            <w:color w:val="000000"/>
            <w:sz w:val="22"/>
          </w:rPr>
          <w:t>502.23(3)</w:t>
        </w:r>
      </w:hyperlink>
      <w:r>
        <w:rPr>
          <w:rFonts w:ascii="Times New Roman" w:hAnsi="Times New Roman"/>
          <w:b w:val="false"/>
          <w:i w:val="false"/>
          <w:color w:val="000000"/>
          <w:sz w:val="22"/>
        </w:rPr>
        <w:t xml:space="preserve"> for taxpayers receiving the deduction from one or more pass-through entities and making the special election as described in that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Difference in basis. </w:t>
      </w:r>
      <w:r>
        <w:rPr>
          <w:rFonts w:ascii="Times New Roman" w:hAnsi="Times New Roman"/>
          <w:b w:val="false"/>
          <w:i w:val="false"/>
          <w:color w:val="000000"/>
          <w:sz w:val="22"/>
        </w:rPr>
        <w:t>Iowa adjustments for differences between the Iowa and federal section 179 deduction limitations may cause the taxpayer to have a different basis in the same asset for Iowa and federal purposes. Taxpayers are required to use forms made available on the department’s website to calculate and track these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502.23(3)</w:t>
      </w:r>
      <w:r>
        <w:rPr>
          <w:rFonts w:ascii="Times New Roman" w:hAnsi="Times New Roman"/>
          <w:b w:val="false"/>
          <w:i w:val="false"/>
          <w:color w:val="000000"/>
          <w:sz w:val="22"/>
        </w:rPr>
        <w:t> </w:t>
      </w:r>
      <w:r>
        <w:rPr>
          <w:rFonts w:ascii="Times New Roman" w:hAnsi="Times New Roman"/>
          <w:b w:val="false"/>
          <w:i/>
          <w:color w:val="000000"/>
          <w:sz w:val="22"/>
        </w:rPr>
        <w:t xml:space="preserve">Section 179 deduction received from a pass-through entity. </w:t>
      </w:r>
      <w:r>
        <w:rPr>
          <w:rFonts w:ascii="Times New Roman" w:hAnsi="Times New Roman"/>
          <w:b w:val="false"/>
          <w:i w:val="false"/>
          <w:color w:val="000000"/>
          <w:sz w:val="22"/>
        </w:rPr>
        <w:t xml:space="preserve">In some cases, an entity that receives income from one or more pass-through entities may receive a section 179 deduction in excess of the Iowa deduction limitation listed in paragraph </w:t>
      </w:r>
      <w:hyperlink r:id="rId113">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 given year. The entity may be eligible for a special election with regard to that excess section 179 deduction, as described in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before January 1, 2018. </w:t>
      </w:r>
      <w:r>
        <w:rPr>
          <w:rFonts w:ascii="Times New Roman" w:hAnsi="Times New Roman"/>
          <w:b w:val="false"/>
          <w:i w:val="false"/>
          <w:color w:val="000000"/>
          <w:sz w:val="22"/>
        </w:rPr>
        <w:t>For tax years beginning before January 1, 2018, the amount of any section 179 deduction received by a corporation (both C and S corporations) or an entity subject to the corporate income tax in excess of the Iowa deduction limitation for that year is not eligible for the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available for tax years 2018 and 2019. </w:t>
      </w:r>
      <w:r>
        <w:rPr>
          <w:rFonts w:ascii="Times New Roman" w:hAnsi="Times New Roman"/>
          <w:b w:val="false"/>
          <w:i w:val="false"/>
          <w:color w:val="000000"/>
          <w:sz w:val="22"/>
        </w:rPr>
        <w:t xml:space="preserve">For tax years beginning on or after January 1, 2018, but before January 1, 2020, a corporation (both C and S corporations) or an entity subject to the corporate income tax that receives a section 179 deduction from one or more pass-through entities in excess of the Iowa deduction limitation for that tax year may elect to deduct the excess in future years, as described in this subrule. See rule </w:t>
      </w:r>
      <w:hyperlink r:id="rId114">
        <w:r>
          <w:rPr>
            <w:rStyle w:val="Hyperlink"/>
            <w:rFonts w:ascii="Times New Roman" w:hAnsi="Times New Roman"/>
            <w:b w:val="false"/>
            <w:i w:val="false"/>
            <w:color w:val="000000"/>
            <w:sz w:val="22"/>
          </w:rPr>
          <w:t>701—302.65</w:t>
        </w:r>
      </w:hyperlink>
      <w:r>
        <w:rPr>
          <w:rFonts w:ascii="Times New Roman" w:hAnsi="Times New Roman"/>
          <w:b w:val="false"/>
          <w:i w:val="false"/>
          <w:color w:val="000000"/>
          <w:sz w:val="22"/>
        </w:rPr>
        <w:t xml:space="preserve">(422) for rules applicable to individuals and other noncorporate entities, and see rule </w:t>
      </w:r>
      <w:hyperlink r:id="rId115">
        <w:r>
          <w:rPr>
            <w:rStyle w:val="Hyperlink"/>
            <w:rFonts w:ascii="Times New Roman" w:hAnsi="Times New Roman"/>
            <w:b w:val="false"/>
            <w:i w:val="false"/>
            <w:color w:val="000000"/>
            <w:sz w:val="22"/>
          </w:rPr>
          <w:t>701—602.24</w:t>
        </w:r>
      </w:hyperlink>
      <w:r>
        <w:rPr>
          <w:rFonts w:ascii="Times New Roman" w:hAnsi="Times New Roman"/>
          <w:b w:val="false"/>
          <w:i w:val="false"/>
          <w:color w:val="000000"/>
          <w:sz w:val="22"/>
        </w:rPr>
        <w:t>(422) for rules applicable to financial institutions subject to the franchise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special election applies only to section 179 deductions passed through to the corporation or entity subject to the corporate income tax by one or more other entities.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Iowa section 179 deduction passed through to the corporation or entity subject to the corporate income tax exceeds the federal section 179 deduction limitation for that year, the corporation or other entity may only use the amount up to the federal limitation when calculating the deduction under this election. Any amount in excess of the federal limitation shall not be deducted for Iowa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Section 179 assets of a corporation or entity subject to the corporate income tax. </w:t>
      </w:r>
      <w:r>
        <w:rPr>
          <w:rFonts w:ascii="Times New Roman" w:hAnsi="Times New Roman"/>
          <w:b w:val="false"/>
          <w:i w:val="false"/>
          <w:color w:val="000000"/>
          <w:sz w:val="22"/>
        </w:rPr>
        <w:t>A corporation or entity subject to the corporate income tax that makes this special election may not claim an Iowa section 179 deduction for any assets the corporation or entity placed in service during the same year but must instead depreciate such assets using the modified accelerated cost recovery system (MACRS) without regard to bonus depreciation under Section 168(k) of the Internal Revenue Code. To the extent the corporation or entity claimed a federal section 179 deduction on those assets, the Iowa depreciation deductions and any basis adjustments resulting from the difference in timing of the recovery between Iowa law and federal law are calculated and tracked on forms made available on the department’s website.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A, Inc., a corporation doing business in Iowa, places in service $20,000 worth of section 179 assets in tax year 2019 and claims the deduction for the full amount for federal purposes.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also a member of B, LLC, an entity that has elected to be taxed as a partnership for federal purposes and does not do any business in Iowa. B, LLC also places section 179 assets in service, properly claims a federal section 179 deduction, and passes a total of $150,000 of that deduction through to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federal purposes,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has a total of $170,000 in section 179 deductions. Because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has section 179 deductions from a pass-through that exceed the Iowa limitation for 2019,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eligible for the special election.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makes the special election and claims the maximum Iowa section 179 deduction of $100,000 on the amount passed through from B, LLC. Under the special election,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will be allowed to deduct the remaining $50,000 passed through from B, LLC over the next five years, as described in paragraph </w:t>
      </w:r>
      <w:hyperlink r:id="rId116">
        <w:r>
          <w:rPr>
            <w:rStyle w:val="Hyperlink"/>
            <w:rFonts w:ascii="Times New Roman" w:hAnsi="Times New Roman"/>
            <w:b w:val="false"/>
            <w:i w:val="false"/>
            <w:color w:val="000000"/>
            <w:sz w:val="22"/>
          </w:rPr>
          <w:t>502.23(3)</w:t>
        </w:r>
        <w:r>
          <w:rPr>
            <w:rFonts w:ascii="Times New Roman" w:hAnsi="Times New Roman"/>
            <w:b w:val="false"/>
            <w:i/>
            <w:color w:val="000000"/>
            <w:sz w:val="22"/>
          </w:rPr>
          <w:t>“e.”</w:t>
        </w:r>
      </w:hyperlink>
      <w:r>
        <w:rPr>
          <w:rFonts w:ascii="Times New Roman" w:hAnsi="Times New Roman"/>
          <w:b w:val="false"/>
          <w:i w:val="false"/>
          <w:color w:val="000000"/>
          <w:sz w:val="22"/>
        </w:rPr>
        <w:t xml:space="preserve"> However, because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made the special election, A,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will be required to depreciate the entire $20,000 cost of the assets A,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placed in service in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Calculating the special election. </w:t>
      </w:r>
      <w:r>
        <w:rPr>
          <w:rFonts w:ascii="Times New Roman" w:hAnsi="Times New Roman"/>
          <w:b w:val="false"/>
          <w:i w:val="false"/>
          <w:color w:val="000000"/>
          <w:sz w:val="22"/>
        </w:rPr>
        <w:t xml:space="preserve">A corporation or other entity subject to the corporate income tax that elects to take advantage of the special election must first add together all section 179 deductions which the corporation or other entity received from all relevant pass-through entities. The corporation or other entity must claim an aggregate Iowa section 179 deduction equal to the Iowa limit for the tax year. This amount must be subtracted from the total. Whatever remains is the amount the corporation or other entity will be permitted to deduct (special election deduction) in future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Calculation. The remaining amount from paragraph </w:t>
      </w:r>
      <w:hyperlink r:id="rId117">
        <w:r>
          <w:rPr>
            <w:rStyle w:val="Hyperlink"/>
            <w:rFonts w:ascii="Times New Roman" w:hAnsi="Times New Roman"/>
            <w:b w:val="false"/>
            <w:i w:val="false"/>
            <w:color w:val="000000"/>
            <w:sz w:val="22"/>
          </w:rPr>
          <w:t>502.23(3)</w:t>
        </w:r>
      </w:hyperlink>
      <w:r>
        <w:rPr>
          <w:rFonts w:ascii="Times New Roman" w:hAnsi="Times New Roman"/>
          <w:b w:val="false"/>
          <w:i/>
          <w:color w:val="000000"/>
          <w:sz w:val="22"/>
        </w:rPr>
        <w:t>“d”</w:t>
      </w:r>
      <w:r>
        <w:rPr>
          <w:rFonts w:ascii="Times New Roman" w:hAnsi="Times New Roman"/>
          <w:b w:val="false"/>
          <w:i w:val="false"/>
          <w:color w:val="000000"/>
          <w:sz w:val="22"/>
        </w:rPr>
        <w:t xml:space="preserve"> must be separated into five equal shares.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Claiming the special election deduction. The corporation or other entity may deduct one of the five shares in each of the next five years. The dollar limitations and reduction limitations on section 179 deductions do not apply to special deduction amounts allowed over the five-year period under this paragraph.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Excess special deduction. The special election deduction for a given year is limited to the taxpayer’s business income for that year. Any excess may be carried forward to future years. Any amounts carried forward under this subparagraph shall be added to, and treated in the same manner as, regular Iowa section 179 deduction carryforwards as described in paragraph </w:t>
      </w:r>
      <w:hyperlink r:id="rId118">
        <w:r>
          <w:rPr>
            <w:rStyle w:val="Hyperlink"/>
            <w:rFonts w:ascii="Times New Roman" w:hAnsi="Times New Roman"/>
            <w:b w:val="false"/>
            <w:i w:val="false"/>
            <w:color w:val="000000"/>
            <w:sz w:val="22"/>
          </w:rPr>
          <w:t>502.23(2)</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 Inc., a corporation doing business in Iowa, is a partner in a partnership that does not do business in Iowa. In 2019, the partnership passes through a $600,000 federal section 179 deduction and does not recalculate the deduction for Iowa purposes because the partnership has no obligation to file an Iowa return. D,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claims an Iowa section 179 deduction of $100,000 (the 2019 Iowa limitation) and elects the five-year carryforward for the rest, meaning the corporation will be allowed to take a $100,000 Iowa deduction in each of the next five years.</w:t>
      </w:r>
    </w:p>
    <w:p>
      <w:pPr>
        <w:spacing w:before="0" w:after="0"/>
        <w:ind w:left="120"/>
        <w:jc w:val="both"/>
      </w:pPr>
      <w:r>
        <w:rPr>
          <w:rFonts w:ascii="Times New Roman" w:hAnsi="Times New Roman"/>
          <w:b w:val="false"/>
          <w:i w:val="false"/>
          <w:color w:val="000000"/>
          <w:sz w:val="22"/>
        </w:rPr>
        <w:t>In 2020, D,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eligible for the $100,000 deduction carried forward under the election, but the corporation only has $50,000 in business income. The deduction is limited to business income, so the corporation can only use $50,000 of the deduction in this year. However, D,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will be permitted to treat the excess $50,000 as a section 179 carryforward and use it to offset business income in future years until the deduction is used 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Basis. </w:t>
      </w:r>
      <w:r>
        <w:rPr>
          <w:rFonts w:ascii="Times New Roman" w:hAnsi="Times New Roman"/>
          <w:b w:val="false"/>
          <w:i w:val="false"/>
          <w:color w:val="000000"/>
          <w:sz w:val="22"/>
        </w:rPr>
        <w:t>The individual’s or entity’s basis in the pass-through entity assets is adjusted by the full amount of the section 179 deduction passed through in the year that the section 179 deduction is received and is therefore the same for both Iowa and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Later tax years. </w:t>
      </w:r>
      <w:r>
        <w:rPr>
          <w:rFonts w:ascii="Times New Roman" w:hAnsi="Times New Roman"/>
          <w:b w:val="false"/>
          <w:i w:val="false"/>
          <w:color w:val="000000"/>
          <w:sz w:val="22"/>
        </w:rPr>
        <w:t>For tax years beginning on or after January 1, 2020, Iowa fully conforms to the federal section 179 deduction and special Iowa treatment for excess section 179 deductions received from pass-throughs is not available.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2019 Iowa Acts, Senate File 220.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9103B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9820B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1101C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4142C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 xml:space="preserve">; </w:t>
      </w:r>
      <w:r>
        <w:rPr>
          <w:rFonts w:ascii="Times New Roman" w:hAnsi="Times New Roman"/>
          <w:b/>
          <w:i w:val="false"/>
          <w:color w:val="000000"/>
          <w:sz w:val="16"/>
        </w:rPr>
        <w:t>ARC 4517C</w:t>
      </w:r>
      <w:r>
        <w:rPr>
          <w:rFonts w:ascii="Times New Roman" w:hAnsi="Times New Roman"/>
          <w:b w:val="false"/>
          <w:i w:val="false"/>
          <w:color w:val="000000"/>
          <w:sz w:val="16"/>
        </w:rPr>
        <w:t>, IAB 6/19/19, effective 7/24/19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701—502.24</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ordinary or capital gain income realized as a result of involuntary conversion of property due to eminent domain. </w:t>
      </w:r>
      <w:r>
        <w:rPr>
          <w:rFonts w:ascii="Times New Roman" w:hAnsi="Times New Roman"/>
          <w:b w:val="false"/>
          <w:i w:val="false"/>
          <w:color w:val="000000"/>
          <w:sz w:val="22"/>
        </w:rPr>
        <w:t>For tax years beginning on or after January 1, 2006, a taxpayer may exclude the amount of ordinary or capital gain income realized as a result of the involuntary conversion of property due to eminent domain for Iowa corporation income tax. Eminent domain refers to the authority of government agencies or instrumentalities of government to requisition or condemn private property for any public improvement, public purpose or public use. The exclusion for Iowa purposes can only be claimed in the year in which the ordinary or capital gain income was reported on the federal income tax return.</w:t>
      </w:r>
    </w:p>
    <w:p>
      <w:pPr>
        <w:spacing w:before="0" w:after="0"/>
        <w:ind w:left="120"/>
        <w:jc w:val="both"/>
      </w:pPr>
      <w:r>
        <w:rPr>
          <w:rFonts w:ascii="Times New Roman" w:hAnsi="Times New Roman"/>
          <w:b w:val="false"/>
          <w:i w:val="false"/>
          <w:color w:val="000000"/>
          <w:sz w:val="22"/>
        </w:rPr>
        <w:t>In order for an involuntary conversion to qualify for this exclusion, the sale must occur due to the requisition or condemnation, or its threat or imminence, if it takes place in the presence of, or under the threat or imminence of, legal coercion relating to a requisition or condemnation. There are numerous federal revenue rulings, court cases and other provisions relating to the definitions of the terms “threat” and “imminence,” and these are equally applicable to the exclusion of ordinary or capital gains realized for tax years beginning on or after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502.24(1)</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In order to claim an exclusion of ordinary or capital gain income realized as a result of involuntary conversion of property due to eminent domain, the taxpayer must attach a statement to the Iowa corporation income tax return in the year in which the exclusion is claimed. The statement should state the date and details of the involuntary conversion, including the amount of the gain being excluded and the reasons why the gain meets the qualifications of an involuntary conversion relating to eminent domain. In addition, if the gain results from the sale of replacement property as outlined in subrule </w:t>
      </w:r>
      <w:hyperlink r:id="rId120">
        <w:r>
          <w:rPr>
            <w:rStyle w:val="Hyperlink"/>
            <w:rFonts w:ascii="Times New Roman" w:hAnsi="Times New Roman"/>
            <w:b w:val="false"/>
            <w:i w:val="false"/>
            <w:color w:val="000000"/>
            <w:sz w:val="22"/>
          </w:rPr>
          <w:t>502.24(2)</w:t>
        </w:r>
      </w:hyperlink>
      <w:r>
        <w:rPr>
          <w:rFonts w:ascii="Times New Roman" w:hAnsi="Times New Roman"/>
          <w:b w:val="false"/>
          <w:i w:val="false"/>
          <w:color w:val="000000"/>
          <w:sz w:val="22"/>
        </w:rPr>
        <w:t>, information must be provided in the statement on that portion of the gain that qualified for the involuntary conversion.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502.24(2)</w:t>
      </w:r>
      <w:r>
        <w:rPr>
          <w:rFonts w:ascii="Times New Roman" w:hAnsi="Times New Roman"/>
          <w:b w:val="false"/>
          <w:i w:val="false"/>
          <w:color w:val="000000"/>
          <w:sz w:val="22"/>
        </w:rPr>
        <w:t> </w:t>
      </w:r>
      <w:r>
        <w:rPr>
          <w:rFonts w:ascii="Times New Roman" w:hAnsi="Times New Roman"/>
          <w:b w:val="false"/>
          <w:i/>
          <w:color w:val="000000"/>
          <w:sz w:val="22"/>
        </w:rPr>
        <w:t xml:space="preserve">Claiming the exclusion when gain is not recognized for federal tax purposes. </w:t>
      </w:r>
      <w:r>
        <w:rPr>
          <w:rFonts w:ascii="Times New Roman" w:hAnsi="Times New Roman"/>
          <w:b w:val="false"/>
          <w:i w:val="false"/>
          <w:color w:val="000000"/>
          <w:sz w:val="22"/>
        </w:rPr>
        <w:t>For federal tax purposes, an ordinary or capital gain is not recognized when the converted property is replaced with property that is similar to, or related in use to, the converted property. In those cases, the basis of the old property is simply transferred to the new property, and no gain is recognized. In addition, when property is involuntarily converted into money or other unlike property, any gain is not recognized when replacement property is purchased within a specified period for federal tax purposes.</w:t>
      </w:r>
    </w:p>
    <w:p>
      <w:pPr>
        <w:spacing w:before="0" w:after="0"/>
        <w:ind w:left="120"/>
        <w:jc w:val="both"/>
      </w:pPr>
      <w:r>
        <w:rPr>
          <w:rFonts w:ascii="Times New Roman" w:hAnsi="Times New Roman"/>
          <w:b w:val="false"/>
          <w:i w:val="false"/>
          <w:color w:val="000000"/>
          <w:sz w:val="22"/>
        </w:rPr>
        <w:t>For Iowa corporation tax purposes, no exclusion will be allowed for ordinary or capital gain income when there is no gain recognized for federal tax purposes. The exclusion will only be allowed in the year in which ordinary or capital gain income is realized due to the disposition of the replacement property for federal tax purposes, and the exclusion is limited to the amount of the ordinary or capital gain income relating to the involuntary conversion. The basis of the property for Iowa corporation income tax purposes will remain the same as the basis for federal tax purposes and will not be altered because of the exclusion allowed for Iowa corporation income tax.</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In 2007, taxpayer sold some farmland as a result of an involuntary conversion relating to eminent domain and realized a gain of $50,000. However, the taxpayer purchased similar farmland immediately after the sale, and no gain was recognized for federal tax purposes. Therefore, no exclusion is allowed on the 2007 Iowa corporation income tax return. In 2009, taxpayer sold the replacement farmland that was not subject to an involuntary conversion and realized a total gain of $70,000, which was reported on the 2009 federal income tax return. The taxpayer can claim a deduction of $50,000 on the 2009 Iowa corporation income tax return relating to the gain that resulted from the involuntary conversion.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701—502.25</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income from sale, rental or furnishing of tangible personal property or services directly related to production of film, television, or video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502.25(1)</w:t>
      </w:r>
      <w:r>
        <w:rPr>
          <w:rFonts w:ascii="Times New Roman" w:hAnsi="Times New Roman"/>
          <w:b w:val="false"/>
          <w:i w:val="false"/>
          <w:color w:val="000000"/>
          <w:sz w:val="22"/>
        </w:rPr>
        <w:t> </w:t>
      </w:r>
      <w:r>
        <w:rPr>
          <w:rFonts w:ascii="Times New Roman" w:hAnsi="Times New Roman"/>
          <w:b w:val="false"/>
          <w:i/>
          <w:color w:val="000000"/>
          <w:sz w:val="22"/>
        </w:rPr>
        <w:t xml:space="preserve">Projects registered on or after January 1, 2007, but before July 1, 2009. </w:t>
      </w:r>
      <w:r>
        <w:rPr>
          <w:rFonts w:ascii="Times New Roman" w:hAnsi="Times New Roman"/>
          <w:b w:val="false"/>
          <w:i w:val="false"/>
          <w:color w:val="000000"/>
          <w:sz w:val="22"/>
        </w:rPr>
        <w:t>For tax years beginning on or after January 1, 2007, a taxpayer that is an Iowa-based business may exclude, to the extent included in federal taxable income, income received from the sale, rental or furnishing of tangible personal property or services directly related to the production of film, television, or video projects that are registered with the film office of the Iowa department of economic development.</w:t>
      </w:r>
    </w:p>
    <w:p>
      <w:pPr>
        <w:spacing w:before="0" w:after="0"/>
        <w:ind w:left="120"/>
        <w:jc w:val="both"/>
      </w:pPr>
      <w:r>
        <w:rPr>
          <w:rFonts w:ascii="Times New Roman" w:hAnsi="Times New Roman"/>
          <w:b w:val="false"/>
          <w:i w:val="false"/>
          <w:color w:val="000000"/>
          <w:sz w:val="22"/>
        </w:rPr>
        <w:t xml:space="preserve">Income which can be excluded on the Iowa return must meet the criteria of a qualified expenditure for purposes of the film qualified expenditure tax credit as set forth in rule </w:t>
      </w:r>
      <w:hyperlink r:id="rId122">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 xml:space="preserve">(15,422). An Iowa-based business is a business whose commercial domicile as defined in Iowa Code section </w:t>
      </w:r>
      <w:hyperlink r:id="rId123">
        <w:r>
          <w:rPr>
            <w:rStyle w:val="Hyperlink"/>
            <w:rFonts w:ascii="Times New Roman" w:hAnsi="Times New Roman"/>
            <w:b w:val="false"/>
            <w:i w:val="false"/>
            <w:color w:val="000000"/>
            <w:sz w:val="22"/>
          </w:rPr>
          <w:t>422.32(3)</w:t>
        </w:r>
      </w:hyperlink>
      <w:r>
        <w:rPr>
          <w:rFonts w:ascii="Times New Roman" w:hAnsi="Times New Roman"/>
          <w:b w:val="false"/>
          <w:i w:val="false"/>
          <w:color w:val="000000"/>
          <w:sz w:val="22"/>
        </w:rPr>
        <w:t xml:space="preserve"> is in Iowa.</w:t>
      </w:r>
    </w:p>
    <w:p>
      <w:pPr>
        <w:spacing w:before="0" w:after="0"/>
        <w:ind w:left="120"/>
        <w:jc w:val="both"/>
      </w:pPr>
      <w:r>
        <w:rPr>
          <w:rFonts w:ascii="Times New Roman" w:hAnsi="Times New Roman"/>
          <w:b w:val="false"/>
          <w:i w:val="false"/>
          <w:color w:val="000000"/>
          <w:sz w:val="22"/>
        </w:rPr>
        <w:t xml:space="preserve">However, if a taxpayer claims this income tax exclusion, the same taxpayer cannot also claim the film qualified expenditure tax credit as described in rule </w:t>
      </w:r>
      <w:hyperlink r:id="rId124">
        <w:r>
          <w:rPr>
            <w:rStyle w:val="Hyperlink"/>
            <w:rFonts w:ascii="Times New Roman" w:hAnsi="Times New Roman"/>
            <w:b w:val="false"/>
            <w:i w:val="false"/>
            <w:color w:val="000000"/>
            <w:sz w:val="22"/>
          </w:rPr>
          <w:t>701—501.34</w:t>
        </w:r>
      </w:hyperlink>
      <w:r>
        <w:rPr>
          <w:rFonts w:ascii="Times New Roman" w:hAnsi="Times New Roman"/>
          <w:b w:val="false"/>
          <w:i w:val="false"/>
          <w:color w:val="000000"/>
          <w:sz w:val="22"/>
        </w:rPr>
        <w:t>(15,422). In addition, any taxpayer who claims this income tax exclusion cannot have an equity interest in a business which received a film qualified expenditure tax credit. Finally, any taxpayer who claims this income tax exclusion cannot participate in the management of the business which received the film qualified expenditure tax credit.</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production company which registers with the film office for a project is a corporation which is domiciled in Iowa. If this same corporation receives income that is a qualified expenditure for purposes of the film qualified expenditure tax credit, the corporation cannot exclude this income on the Iowa corporation income tax return because the corporation has claimed the film qualified expenditure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502.25(2)</w:t>
      </w:r>
      <w:r>
        <w:rPr>
          <w:rFonts w:ascii="Times New Roman" w:hAnsi="Times New Roman"/>
          <w:b w:val="false"/>
          <w:i w:val="false"/>
          <w:color w:val="000000"/>
          <w:sz w:val="22"/>
        </w:rPr>
        <w:t> </w:t>
      </w:r>
      <w:r>
        <w:rPr>
          <w:rFonts w:ascii="Times New Roman" w:hAnsi="Times New Roman"/>
          <w:b w:val="false"/>
          <w:i/>
          <w:color w:val="000000"/>
          <w:sz w:val="22"/>
        </w:rPr>
        <w:t xml:space="preserve">Projects registered on or after July 1, 2009. </w:t>
      </w:r>
      <w:r>
        <w:rPr>
          <w:rFonts w:ascii="Times New Roman" w:hAnsi="Times New Roman"/>
          <w:b w:val="false"/>
          <w:i w:val="false"/>
          <w:color w:val="000000"/>
          <w:sz w:val="22"/>
        </w:rPr>
        <w:t>For tax years beginning on or after July 1, 2009, a taxpayer that is an Iowa-based business may exclude no more than 25 percent of the income received from the sale, rental or furnishing of tangible personal property or services directly related to the production of film, television, or video projects that are registered with the film office of the Iowa department of economic development in the year in which the qualified expenditure occurred. A reduction of 25 percent of the income is allowed to be excluded for the three subsequent tax years.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An Iowa taxpayer received $10,000 in income in the 2010 tax year related to qualified film expenditures for a project registered on February 1, 2010. The $10,000 was reported as income on taxpayer’s 2010 federal tax return. Taxpayer may exclude $2,500 of income on the Iowa corporation income tax return for each of the tax years 2010-2013.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502.25(3)</w:t>
      </w:r>
      <w:r>
        <w:rPr>
          <w:rFonts w:ascii="Times New Roman" w:hAnsi="Times New Roman"/>
          <w:b w:val="false"/>
          <w:i w:val="false"/>
          <w:color w:val="000000"/>
          <w:sz w:val="22"/>
        </w:rPr>
        <w:t> </w:t>
      </w:r>
      <w:r>
        <w:rPr>
          <w:rFonts w:ascii="Times New Roman" w:hAnsi="Times New Roman"/>
          <w:b w:val="false"/>
          <w:i/>
          <w:color w:val="000000"/>
          <w:sz w:val="22"/>
        </w:rPr>
        <w:t xml:space="preserve">Repeal of exclusion. </w:t>
      </w:r>
      <w:r>
        <w:rPr>
          <w:rFonts w:ascii="Times New Roman" w:hAnsi="Times New Roman"/>
          <w:b w:val="false"/>
          <w:i w:val="false"/>
          <w:color w:val="000000"/>
          <w:sz w:val="22"/>
        </w:rPr>
        <w:t xml:space="preserve">The exclusion of income from the sale, rental or furnishing of tangible personal property or services directly related to production of film, television or video projects is repealed for tax years beginning on or after January 1, 2012. However, the exclusion is still available if the contract or agreement related to a film project was entered into on or before May 25, 2012. Assuming the same facts as those in the example in subrule </w:t>
      </w:r>
      <w:hyperlink r:id="rId125">
        <w:r>
          <w:rPr>
            <w:rStyle w:val="Hyperlink"/>
            <w:rFonts w:ascii="Times New Roman" w:hAnsi="Times New Roman"/>
            <w:b w:val="false"/>
            <w:i w:val="false"/>
            <w:color w:val="000000"/>
            <w:sz w:val="22"/>
          </w:rPr>
          <w:t>502.25(2)</w:t>
        </w:r>
      </w:hyperlink>
      <w:r>
        <w:rPr>
          <w:rFonts w:ascii="Times New Roman" w:hAnsi="Times New Roman"/>
          <w:b w:val="false"/>
          <w:i w:val="false"/>
          <w:color w:val="000000"/>
          <w:sz w:val="22"/>
        </w:rPr>
        <w:t>, the taxpayer may continue to exclude $2,500 of income on the Iowa corporation income tax return for the 2012 and 2013 tax years since the contract or agreement was entered into on or before May 25, 2012.</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2012 Iowa Acts, House File 2337</w:t>
      </w:r>
      <w:r>
        <w:rPr>
          <w:rFonts w:ascii="Times New Roman" w:hAnsi="Times New Roman"/>
          <w:b w:val="false"/>
          <w:i w:val="false"/>
          <w:color w:val="000000"/>
          <w:sz w:val="22"/>
        </w:rPr>
        <w:t xml:space="preserve">, sections 38 to 40, and Iowa Code section </w:t>
      </w:r>
      <w:hyperlink r:id="rId12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2012 Iowa Acts, House File 2337</w:t>
      </w:r>
      <w:r>
        <w:rPr>
          <w:rFonts w:ascii="Times New Roman" w:hAnsi="Times New Roman"/>
          <w:b w:val="false"/>
          <w:i w:val="false"/>
          <w:color w:val="000000"/>
          <w:sz w:val="22"/>
        </w:rPr>
        <w:t>, section 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8589B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0398C</w:t>
      </w:r>
      <w:r>
        <w:rPr>
          <w:rFonts w:ascii="Times New Roman" w:hAnsi="Times New Roman"/>
          <w:b w:val="false"/>
          <w:i w:val="false"/>
          <w:color w:val="000000"/>
          <w:sz w:val="16"/>
        </w:rPr>
        <w:t>, IAB 10/17/12, effective 11/21/12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701—502.26</w:t>
      </w:r>
      <w:r>
        <w:rPr>
          <w:rFonts w:ascii="Times New Roman" w:hAnsi="Times New Roman"/>
          <w:b/>
          <w:i w:val="false"/>
          <w:color w:val="000000"/>
          <w:sz w:val="22"/>
        </w:rPr>
        <w:t xml:space="preserve">(422) </w:t>
      </w:r>
      <w:r>
        <w:rPr>
          <w:rFonts w:ascii="Times New Roman" w:hAnsi="Times New Roman"/>
          <w:b/>
          <w:i w:val="false"/>
          <w:color w:val="000000"/>
          <w:sz w:val="22"/>
        </w:rPr>
        <w:t xml:space="preserve">Exclusion of biodiesel production refund. </w:t>
      </w:r>
      <w:r>
        <w:rPr>
          <w:rFonts w:ascii="Times New Roman" w:hAnsi="Times New Roman"/>
          <w:b w:val="false"/>
          <w:i w:val="false"/>
          <w:color w:val="000000"/>
          <w:sz w:val="22"/>
        </w:rPr>
        <w:t xml:space="preserve">A taxpayer may exclude, to the extent included in federal taxable income, the amount of the biodiesel production refund described in rule </w:t>
      </w:r>
      <w:hyperlink r:id="rId127">
        <w:r>
          <w:rPr>
            <w:rStyle w:val="Hyperlink"/>
            <w:rFonts w:ascii="Times New Roman" w:hAnsi="Times New Roman"/>
            <w:b w:val="false"/>
            <w:i w:val="false"/>
            <w:color w:val="000000"/>
            <w:sz w:val="22"/>
          </w:rPr>
          <w:t>701—277.1</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9821B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5915C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701—502.27</w:t>
      </w:r>
      <w:r>
        <w:rPr>
          <w:rFonts w:ascii="Times New Roman" w:hAnsi="Times New Roman"/>
          <w:b/>
          <w:i w:val="false"/>
          <w:color w:val="000000"/>
          <w:sz w:val="22"/>
        </w:rPr>
        <w:t xml:space="preserve">(422) </w:t>
      </w:r>
      <w:r>
        <w:rPr>
          <w:rFonts w:ascii="Times New Roman" w:hAnsi="Times New Roman"/>
          <w:b/>
          <w:i w:val="false"/>
          <w:color w:val="000000"/>
          <w:sz w:val="22"/>
        </w:rPr>
        <w:t xml:space="preserve">Like-kind exchanges of personal property completed after December 31, 2017, but before tax periods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502.27(1)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Public Law 115-97, Section 13303, repealed the deferral of gain or loss from exchanges of like-kind personal property for federal purposes under Section 1031 of the Internal Revenue Code. This federal repeal applies to exchanges completed after December 31, 2017, unless the taxpayer began the exchange by transferring personal property or receiving replacement personal property on or before that date. Iowa did not conform to this federal repeal for Iowa corporation income tax purposes for tax periods beginning before January 1, 2019. For tax years beginning on or after January 1, 2019, but before January 1, 2020, Iowa generally conforms to the federal treatment of gain or loss from exchanges of like-kind personal property, but eligible taxpayers may elect the treatment that applied under prior federal law for Iowa purposes. For tax years beginning on or after January 1, 2020, Iowa fully conforms to the federal treatment for these exchanges, and no special election is available. This rule governs exchanges of like-kind personal property completed after December 31, 2017, but before tax periods beginning on or after January 1, 2020. This rule does not apply to exchanges completed during any tax year beginning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502.27(2)</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Section 1031 of the Internal Revenue Code in effect on December 21, 2017, and any applicable federal regulations govern whether transactions involving the disposition and acquisition of personal property qualify for Iowa corporate income tax purposes as a like-kind exchange of personal property subject to the deferral of gain or loss and also govern the date and tax period during which an exchange is considered completed. The treatment of such transactions as a like-kind exchange for Iowa corporate income tax purposes is either mandatory or permissive depending on the date the like-kind exchange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after December 31, 2017, but before tax periods beginning on or after January 1, 2019. </w:t>
      </w:r>
      <w:r>
        <w:rPr>
          <w:rFonts w:ascii="Times New Roman" w:hAnsi="Times New Roman"/>
          <w:b w:val="false"/>
          <w:i w:val="false"/>
          <w:color w:val="000000"/>
          <w:sz w:val="22"/>
        </w:rPr>
        <w:t xml:space="preserve">Transactions involving the disposition and acquisition of personal property that qualify under this subrule as a like-kind exchange completed after December 31, 2017, but before tax periods beginning on or after January 1, 2019, are required to be treated as a like-kind exchange for Iowa corporate income tax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exchanges completed during tax periods beginning on or after January 1, 2019, but before January 1, 2020. </w:t>
      </w:r>
      <w:r>
        <w:rPr>
          <w:rFonts w:ascii="Times New Roman" w:hAnsi="Times New Roman"/>
          <w:b w:val="false"/>
          <w:i w:val="false"/>
          <w:color w:val="000000"/>
          <w:sz w:val="22"/>
        </w:rPr>
        <w:t xml:space="preserve">For tax periods beginning on or after January 1, 2019, Iowa is conformed to the federal repeal of deferral of gain or loss from exchanges of like-kind personal property, so the federal and Iowa treatment of such transactions under Section 1031 of the Internal Revenue Code will generally be the same. However, transactions involving the disposition and acquisition of personal property that qualify under this subrule as a like-kind exchange completed during tax periods beginning on or after January 1, 2019, but before January 1, 2020, may at the election of the taxpayer be treated as a like-kind exchange for Iowa corporate income tax purposes. The election is made by completing the necessary worksheets and forms and making the required adjustments on the Iowa return as described in subrule </w:t>
      </w:r>
      <w:hyperlink r:id="rId129">
        <w:r>
          <w:rPr>
            <w:rStyle w:val="Hyperlink"/>
            <w:rFonts w:ascii="Times New Roman" w:hAnsi="Times New Roman"/>
            <w:b w:val="false"/>
            <w:i w:val="false"/>
            <w:color w:val="000000"/>
            <w:sz w:val="22"/>
          </w:rPr>
          <w:t>502.27(3)</w:t>
        </w:r>
      </w:hyperlink>
      <w:r>
        <w:rPr>
          <w:rFonts w:ascii="Times New Roman" w:hAnsi="Times New Roman"/>
          <w:b w:val="false"/>
          <w:i w:val="false"/>
          <w:color w:val="000000"/>
          <w:sz w:val="22"/>
        </w:rPr>
        <w:t xml:space="preserve">. No special attachment or statement is required. The election only applies to the transactions involved in the like-kind exchange, and the taxpayer may elect or not elect to treat other qualifying transactions as a like-kind exchange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502.27(3)</w:t>
      </w:r>
      <w:r>
        <w:rPr>
          <w:rFonts w:ascii="Times New Roman" w:hAnsi="Times New Roman"/>
          <w:b w:val="false"/>
          <w:i w:val="false"/>
          <w:color w:val="000000"/>
          <w:sz w:val="22"/>
        </w:rPr>
        <w:t> </w:t>
      </w:r>
      <w:r>
        <w:rPr>
          <w:rFonts w:ascii="Times New Roman" w:hAnsi="Times New Roman"/>
          <w:b w:val="false"/>
          <w:i/>
          <w:color w:val="000000"/>
          <w:sz w:val="22"/>
        </w:rPr>
        <w:t xml:space="preserve">Calculation and Iowa adjustments. </w:t>
      </w:r>
      <w:r>
        <w:rPr>
          <w:rFonts w:ascii="Times New Roman" w:hAnsi="Times New Roman"/>
          <w:b w:val="false"/>
          <w:i w:val="false"/>
          <w:color w:val="000000"/>
          <w:sz w:val="22"/>
        </w:rPr>
        <w:t xml:space="preserve">A taxpayer required to or electing to treat qualifying transactions as a like-kind exchange for Iowa tax purposes must make certain Iowa calculations and adjustments on forms and worksheets made available on the department’s website. The IA 8824 Worksheet described in this subrule need not be included with the Iowa return but must be kept with the taxpayer’s records. The taxpayer is responsible for providing documentation at the department’s request to substantiate a like-kind exchange under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Like-kind exchange calculation. </w:t>
      </w:r>
      <w:r>
        <w:rPr>
          <w:rFonts w:ascii="Times New Roman" w:hAnsi="Times New Roman"/>
          <w:b w:val="false"/>
          <w:i w:val="false"/>
          <w:color w:val="000000"/>
          <w:sz w:val="22"/>
        </w:rPr>
        <w:t xml:space="preserve">The taxpayer must complete Parts I and II of the IA 8824 Worksheet to compute the Iowa recognized gain, if any, the Iowa deferred gain or loss, and the Iowa basis of the like-kind personal property received in the like-kind exchange.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1: X, a corporation engaged in commercial farming and filing on a calendar-year basis, trades a tractor with a fair market value (FMV) of $25,000 along with $75,000 in cash to Y for a new tractor with an FMV of $100,000. For purposes of this example it is assumed that the tractor trade occurs in 2019 and qualifies as a like-kind exchange and that X elects such treatment for Iowa corporate income tax purposes under paragraph </w:t>
      </w:r>
      <w:hyperlink r:id="rId130">
        <w:r>
          <w:rPr>
            <w:rStyle w:val="Hyperlink"/>
            <w:rFonts w:ascii="Times New Roman" w:hAnsi="Times New Roman"/>
            <w:b w:val="false"/>
            <w:i w:val="false"/>
            <w:color w:val="000000"/>
            <w:sz w:val="22"/>
          </w:rPr>
          <w:t>502.27(2)</w:t>
        </w:r>
        <w:r>
          <w:rPr>
            <w:rFonts w:ascii="Times New Roman" w:hAnsi="Times New Roman"/>
            <w:b w:val="false"/>
            <w:i/>
            <w:color w:val="000000"/>
            <w:sz w:val="22"/>
          </w:rPr>
          <w:t>“b.”</w:t>
        </w:r>
      </w:hyperlink>
      <w:r>
        <w:rPr>
          <w:rFonts w:ascii="Times New Roman" w:hAnsi="Times New Roman"/>
          <w:b w:val="false"/>
          <w:i w:val="false"/>
          <w:color w:val="000000"/>
          <w:sz w:val="22"/>
        </w:rPr>
        <w:t xml:space="preserve"> At the time of the trade, the adjusted basis of X’s old tractor is $0 for federal tax purposes and is $13,680 for Iowa tax purposes. X realizes a gain for Iowa purposes on the exchange of the old tractor in the amount of $11,320 ($100,000 FMV of new tractor - $75,000 cash paid - $13,680 Iowa adjusted basis of old tractor). Because X did not receive any cash or other property that was not like-kind, or assume any liabilities from Y, the entire amount of X’s $11,320 realized gain qualifies for deferral, so X recognizes $0 of gain on the exchange for Iowa tax purposes. As a result, X’s basis in the new tractor for Iowa tax purposes is $88,680 ($13,680 Iowa adjusted basis of old tractor + $75,000 cash paid by 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Iowa nonconformity adjustment.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taxpayer must complete Part III of the IA 8824 Worksheet to adjust for the difference between any recognized Iowa gain from the exchange as calculated on the IA 8824 Worksheet, Part II, and any gain or loss (including gain or loss recaptured as ordinary income) recognized on the taxpayer’s federal return.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2: Assume the same facts as given in Example 1. Because the tractor trade occurred in 2019, it will not qualify as a like-kind exchange for federal tax purposes but will instead be treated as two separate transactions: a sale of the old tractor and a purchase of the new tractor. X recognizes a gain for federal tax purposes on the sale of the old tractor in the amount of $25,000 ($25,000 sales price of old tractor - $0 federal adjusted basis of old tractor), the entire amount of which is recaptured as ordinary income because of prior depreciation. X reports the $25,000 of income on the federal return. X is required to report the same $25,000 as income on the Iowa return but is also allowed a $25,000 subtraction on the same Iowa return because X’s recognized gain for Iowa tax purposes is $0 as calculated in Example 1. X’s nonconformity adjustment of -$25,000 must be reported on the Iowa return in the manner prescribed on the IA 8824 Worksheet.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total recognized federal gain is reported using the installment sale method under Section 453 of the Internal Revenue Code, the total amount of any Iowa nonconformity adjustment related to that federal gain must be claimed over the same installment period, and the proportion of the total Iowa nonconformity adjustment claimed for each tax year shall equal the same proportion that the federal gain reported for that tax year bears to the total amount of federal gain that will ultimately be reported for all tax years resulting from the disposition of the personal property. The taxpayer must complete an IA 8824 Worksheet for each tax year that an Iowa nonconformity adjustment is claimed.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Cost recovery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taxpayer must complete the IA 4562A to account for any differences between the federal and Iowa cost recovery deductions related to the like-kind personal property involved in the like-kind exchange, including if the taxpayer’s basis in the like-kind personal property received is different for federal and Iowa purposes, or if the taxpayer claimed additional first-year depreciation or a section 179 deduction for federal purposes on the like-kind property received in the exchange. See rule </w:t>
      </w:r>
      <w:hyperlink r:id="rId131">
        <w:r>
          <w:rPr>
            <w:rStyle w:val="Hyperlink"/>
            <w:rFonts w:ascii="Times New Roman" w:hAnsi="Times New Roman"/>
            <w:b w:val="false"/>
            <w:i w:val="false"/>
            <w:color w:val="000000"/>
            <w:sz w:val="22"/>
          </w:rPr>
          <w:t>701—502.22</w:t>
        </w:r>
      </w:hyperlink>
      <w:r>
        <w:rPr>
          <w:rFonts w:ascii="Times New Roman" w:hAnsi="Times New Roman"/>
          <w:b w:val="false"/>
          <w:i w:val="false"/>
          <w:color w:val="000000"/>
          <w:sz w:val="22"/>
        </w:rPr>
        <w:t xml:space="preserve">(422) for requirements related to the disallowance of additional first-year depreciation for Iowa corporate income tax purposes. See rule </w:t>
      </w:r>
      <w:hyperlink r:id="rId132">
        <w:r>
          <w:rPr>
            <w:rStyle w:val="Hyperlink"/>
            <w:rFonts w:ascii="Times New Roman" w:hAnsi="Times New Roman"/>
            <w:b w:val="false"/>
            <w:i w:val="false"/>
            <w:color w:val="000000"/>
            <w:sz w:val="22"/>
          </w:rPr>
          <w:t>701—502.23</w:t>
        </w:r>
      </w:hyperlink>
      <w:r>
        <w:rPr>
          <w:rFonts w:ascii="Times New Roman" w:hAnsi="Times New Roman"/>
          <w:b w:val="false"/>
          <w:i w:val="false"/>
          <w:color w:val="000000"/>
          <w:sz w:val="22"/>
        </w:rPr>
        <w:t>(422) for the section 179 limitations imposed under the Iowa corporate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Treasury Regulation §1.168(i)-6 prescribes rules related to the calculation of depreciation for certain assets involved in a like-kind exchange, but a taxpayer may elect to not have those rules apply pursuant to Treasury Regulation §1.168(i)-6(i). A taxpayer may choose to make a similar election under Treasury Regulation §1.168(i)-6(i) for Iowa tax purposes with regard to a like-kind exchange under this rule if the personal property otherwise would have qualified for such federal election notwithstanding the fact that no like-kind exchange occurred for federal purposes or the fact that no election was actually made for federal tax purposes in accordance with Treasury Regulation §1.168(i)-6(j). The election is made by calculating depreciation for Iowa tax purposes on the personal property involved in the like-kind exchange using the method described in Treasury Regulation §1.168(i)-6(i) on the timely filed Iowa return, including extensions, for the same tax year that the like-kind exchange was completed. No special attachment or statement is required.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3: Assume the same facts as given in Examples 1 and 2. X elects additional first-year depreciation on the new tractor and claims a depreciation deduction on the federal return of $100,000 (100 percent of X’s federal basis). X is required to add back the total amount of the federal depreciation on the Iowa return because Iowa does not allow additional first-year depreciation. But X is permitted deductions for regular depreciation on the new tractor with an Iowa basis of $88,680 ($13,680 carryover basis from old tractor + $75,000 excess basis from cash paid) under Section 168 of the Internal Revenue Code, without regard to bonus depreciation under Section 168(k). See rule </w:t>
      </w:r>
      <w:hyperlink r:id="rId133">
        <w:r>
          <w:rPr>
            <w:rStyle w:val="Hyperlink"/>
            <w:rFonts w:ascii="Times New Roman" w:hAnsi="Times New Roman"/>
            <w:b w:val="false"/>
            <w:i w:val="false"/>
            <w:color w:val="000000"/>
            <w:sz w:val="22"/>
          </w:rPr>
          <w:t>701—502.23(422)</w:t>
        </w:r>
      </w:hyperlink>
      <w:r>
        <w:rPr>
          <w:rFonts w:ascii="Times New Roman" w:hAnsi="Times New Roman"/>
          <w:b w:val="false"/>
          <w:i w:val="false"/>
          <w:color w:val="000000"/>
          <w:sz w:val="22"/>
        </w:rPr>
        <w:t xml:space="preserve"> for more information on the disallowance of additional first-year depreciation. </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4: Assume the same facts as given in Examples 1 and 2. X elects to expense the entire cost of the new tractor under Section 179 of the Internal Revenue Code and claims a deduction on the federal return of $100,000. X is also required to claim the section 179 deduction on the new tractor for Iowa tax purposes pursuant to subrule </w:t>
      </w:r>
      <w:hyperlink r:id="rId134">
        <w:r>
          <w:rPr>
            <w:rStyle w:val="Hyperlink"/>
            <w:rFonts w:ascii="Times New Roman" w:hAnsi="Times New Roman"/>
            <w:b w:val="false"/>
            <w:i w:val="false"/>
            <w:color w:val="000000"/>
            <w:sz w:val="22"/>
          </w:rPr>
          <w:t>502.23(2)</w:t>
        </w:r>
      </w:hyperlink>
      <w:r>
        <w:rPr>
          <w:rFonts w:ascii="Times New Roman" w:hAnsi="Times New Roman"/>
          <w:b w:val="false"/>
          <w:i w:val="false"/>
          <w:color w:val="000000"/>
          <w:sz w:val="22"/>
        </w:rPr>
        <w:t xml:space="preserve">. However, the amount that represents the carryover basis from the old tractor ($13,680) is not eligible for the deduction under Section 179(d)(3) of the Internal Revenue Code, so the cost of the new tractor that is eligible for the section 179 deduction for Iowa purposes is only $75,000 (excess basis from cash paid). This is the amount of section 179 deduction that X must claim on the Iowa return, subject to the applicable Iowa dollar limitation and reduction limitations in rule </w:t>
      </w:r>
      <w:hyperlink r:id="rId135">
        <w:r>
          <w:rPr>
            <w:rStyle w:val="Hyperlink"/>
            <w:rFonts w:ascii="Times New Roman" w:hAnsi="Times New Roman"/>
            <w:b w:val="false"/>
            <w:i w:val="false"/>
            <w:color w:val="000000"/>
            <w:sz w:val="22"/>
          </w:rPr>
          <w:t>701—502.23(422)</w:t>
        </w:r>
      </w:hyperlink>
      <w:r>
        <w:rPr>
          <w:rFonts w:ascii="Times New Roman" w:hAnsi="Times New Roman"/>
          <w:b w:val="false"/>
          <w:i w:val="false"/>
          <w:color w:val="000000"/>
          <w:sz w:val="22"/>
        </w:rPr>
        <w:t>. Because X is the taxpayer who placed the new tractor in service, X is permitted deductions for regular depreciation on the carryover basis in the new tractor ($13,680) under Section 168 of the Internal Revenue Code, without regard to bonus depreciation under Section 168(k).</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2019 Iowa Acts, chapter 152</w:t>
      </w:r>
      <w:r>
        <w:rPr>
          <w:rFonts w:ascii="Times New Roman" w:hAnsi="Times New Roman"/>
          <w:b w:val="false"/>
          <w:i w:val="false"/>
          <w:color w:val="000000"/>
          <w:sz w:val="22"/>
        </w:rPr>
        <w:t xml:space="preserve"> [House File 779], section 11.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4614C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701—502.28</w:t>
      </w:r>
      <w:r>
        <w:rPr>
          <w:rFonts w:ascii="Times New Roman" w:hAnsi="Times New Roman"/>
          <w:b/>
          <w:i w:val="false"/>
          <w:color w:val="000000"/>
          <w:sz w:val="22"/>
        </w:rPr>
        <w:t xml:space="preserve">(422) </w:t>
      </w:r>
      <w:r>
        <w:rPr>
          <w:rFonts w:ascii="Times New Roman" w:hAnsi="Times New Roman"/>
          <w:b/>
          <w:i w:val="false"/>
          <w:color w:val="000000"/>
          <w:sz w:val="22"/>
        </w:rPr>
        <w:t xml:space="preserve">Broadband infrastructure grant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502.28(1)</w:t>
      </w:r>
      <w:r>
        <w:rPr>
          <w:rFonts w:ascii="Times New Roman" w:hAnsi="Times New Roman"/>
          <w:b w:val="false"/>
          <w:i w:val="false"/>
          <w:color w:val="000000"/>
          <w:sz w:val="22"/>
        </w:rPr>
        <w:t> </w:t>
      </w:r>
      <w:r>
        <w:rPr>
          <w:rFonts w:ascii="Times New Roman" w:hAnsi="Times New Roman"/>
          <w:b w:val="false"/>
          <w:i/>
          <w:color w:val="000000"/>
          <w:sz w:val="22"/>
        </w:rPr>
        <w:t xml:space="preserve">Broadband infrastructure grant exemption, generally. </w:t>
      </w:r>
      <w:r>
        <w:rPr>
          <w:rFonts w:ascii="Times New Roman" w:hAnsi="Times New Roman"/>
          <w:b w:val="false"/>
          <w:i w:val="false"/>
          <w:color w:val="000000"/>
          <w:sz w:val="22"/>
        </w:rPr>
        <w:t xml:space="preserve">For tax years beginning on or after January 1, 2019, certain qualifying communications service providers may subtract, to the extent included in income, the amount of qualifying government grants used to install broadband infrastructure that facilitates broadband service in targeted service areas at or above download and upload speeds identified by the Federal Communications Commission pursuant to </w:t>
      </w:r>
      <w:r>
        <w:rPr>
          <w:rFonts w:ascii="Times New Roman" w:hAnsi="Times New Roman"/>
          <w:b w:val="false"/>
          <w:i w:val="false"/>
          <w:color w:val="000000"/>
          <w:sz w:val="22"/>
        </w:rPr>
        <w:t>Section 706 of the federal Telecommunications Act of 1996</w:t>
      </w:r>
      <w:r>
        <w:rPr>
          <w:rFonts w:ascii="Times New Roman" w:hAnsi="Times New Roman"/>
          <w:b w:val="false"/>
          <w:i w:val="false"/>
          <w:color w:val="000000"/>
          <w:sz w:val="22"/>
        </w:rPr>
        <w:t xml:space="preserve">, as amended. This rule explains terms not defined in Iowa Code section </w:t>
      </w:r>
      <w:hyperlink r:id="rId136">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“Facilitate” </w:t>
      </w:r>
      <w:r>
        <w:rPr>
          <w:rFonts w:ascii="Times New Roman" w:hAnsi="Times New Roman"/>
          <w:b w:val="false"/>
          <w:i w:val="false"/>
          <w:color w:val="000000"/>
          <w:sz w:val="22"/>
        </w:rPr>
        <w:t xml:space="preserve">shall have the same meaning as defined in Iowa Code section </w:t>
      </w:r>
      <w:hyperlink r:id="rId137">
        <w:r>
          <w:rPr>
            <w:rStyle w:val="Hyperlink"/>
            <w:rFonts w:ascii="Times New Roman" w:hAnsi="Times New Roman"/>
            <w:b w:val="false"/>
            <w:i w:val="false"/>
            <w:color w:val="000000"/>
            <w:sz w:val="22"/>
          </w:rPr>
          <w:t>8B.1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means a transfer for a governmental purpose of money or property to a transferee that is not a related party to or an agent of the transferor. The transfer must not impose any obligation or condition to directly or indirectly repay any amount to the transferor or a related party. Obligations or conditions intended solely to assure expenditure of the transferred moneys in accordance with the governmental purpose of the transfer do not prevent a transfer from being a grant.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“Federal grant” means any grant issued by the United States government, including any agency or instrumentality thereof.</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“State grant” means any grant issued by any state of the United States, the District of Columbia, or a territory or possession of the United States, including any agency or instrumentality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“Local grant” means any grant issued by any city, county, township, school district, or any other unit of local government, including any agency or instrumentality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502.28(3)</w:t>
      </w:r>
      <w:r>
        <w:rPr>
          <w:rFonts w:ascii="Times New Roman" w:hAnsi="Times New Roman"/>
          <w:b w:val="false"/>
          <w:i w:val="false"/>
          <w:color w:val="000000"/>
          <w:sz w:val="22"/>
        </w:rPr>
        <w:t> </w:t>
      </w:r>
      <w:r>
        <w:rPr>
          <w:rFonts w:ascii="Times New Roman" w:hAnsi="Times New Roman"/>
          <w:b w:val="false"/>
          <w:i/>
          <w:color w:val="000000"/>
          <w:sz w:val="22"/>
        </w:rPr>
        <w:t xml:space="preserve">Limitation on certain refund claims. </w:t>
      </w:r>
      <w:r>
        <w:rPr>
          <w:rFonts w:ascii="Times New Roman" w:hAnsi="Times New Roman"/>
          <w:b w:val="false"/>
          <w:i w:val="false"/>
          <w:color w:val="000000"/>
          <w:sz w:val="22"/>
        </w:rPr>
        <w:t>For tax years beginning on or after January 1, 2019, and before January 1, 2020, refund claims resulting from this exemption must be filed prior to October 1, 2020. No refunds shall be issued for claims filed on or after that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8">
        <w:r>
          <w:rPr>
            <w:rStyle w:val="Hyperlink"/>
            <w:rFonts w:ascii="Times New Roman" w:hAnsi="Times New Roman"/>
            <w:b w:val="false"/>
            <w:i w:val="false"/>
            <w:color w:val="000000"/>
            <w:sz w:val="22"/>
          </w:rPr>
          <w:t>422.35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5606C</w:t>
      </w:r>
      <w:r>
        <w:rPr>
          <w:rFonts w:ascii="Times New Roman" w:hAnsi="Times New Roman"/>
          <w:b w:val="false"/>
          <w:i w:val="false"/>
          <w:color w:val="000000"/>
          <w:sz w:val="16"/>
        </w:rPr>
        <w:t>, IAB 5/5/21, effective 6/9/21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701—502.29</w:t>
      </w:r>
      <w:r>
        <w:rPr>
          <w:rFonts w:ascii="Times New Roman" w:hAnsi="Times New Roman"/>
          <w:b/>
          <w:i w:val="false"/>
          <w:color w:val="000000"/>
          <w:sz w:val="22"/>
        </w:rPr>
        <w:t xml:space="preserve">(422) </w:t>
      </w:r>
      <w:r>
        <w:rPr>
          <w:rFonts w:ascii="Times New Roman" w:hAnsi="Times New Roman"/>
          <w:b/>
          <w:i w:val="false"/>
          <w:color w:val="000000"/>
          <w:sz w:val="22"/>
        </w:rPr>
        <w:t xml:space="preserve">Interest expense deduction adjustments. </w:t>
      </w:r>
      <w:r>
        <w:rPr>
          <w:rFonts w:ascii="Times New Roman" w:hAnsi="Times New Roman"/>
          <w:b w:val="false"/>
          <w:i w:val="false"/>
          <w:color w:val="000000"/>
          <w:sz w:val="22"/>
        </w:rPr>
        <w:t xml:space="preserve">For tax years beginning on or after January 1, 2020, the limit on the amount of business interest expense that a taxpayer may deduct in a taxable year under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(IRC) Section 163(j) does not apply for Iowa purposes. This rule provides information on how taxpayers must calculate and report their business interest expense deduction for Iowa purposes, for tax year 2018 (</w:t>
      </w:r>
      <w:hyperlink r:id="rId139">
        <w:r>
          <w:rPr>
            <w:rStyle w:val="Hyperlink"/>
            <w:rFonts w:ascii="Times New Roman" w:hAnsi="Times New Roman"/>
            <w:b w:val="false"/>
            <w:i w:val="false"/>
            <w:color w:val="000000"/>
            <w:sz w:val="22"/>
          </w:rPr>
          <w:t>subrule 502.29(2)</w:t>
        </w:r>
      </w:hyperlink>
      <w:r>
        <w:rPr>
          <w:rFonts w:ascii="Times New Roman" w:hAnsi="Times New Roman"/>
          <w:b w:val="false"/>
          <w:i w:val="false"/>
          <w:color w:val="000000"/>
          <w:sz w:val="22"/>
        </w:rPr>
        <w:t>), when Iowa did not conform to the limitation; tax year 2019 (</w:t>
      </w:r>
      <w:hyperlink r:id="rId140">
        <w:r>
          <w:rPr>
            <w:rStyle w:val="Hyperlink"/>
            <w:rFonts w:ascii="Times New Roman" w:hAnsi="Times New Roman"/>
            <w:b w:val="false"/>
            <w:i w:val="false"/>
            <w:color w:val="000000"/>
            <w:sz w:val="22"/>
          </w:rPr>
          <w:t>subrule 502.29(3)</w:t>
        </w:r>
      </w:hyperlink>
      <w:r>
        <w:rPr>
          <w:rFonts w:ascii="Times New Roman" w:hAnsi="Times New Roman"/>
          <w:b w:val="false"/>
          <w:i w:val="false"/>
          <w:color w:val="000000"/>
          <w:sz w:val="22"/>
        </w:rPr>
        <w:t>), when Iowa did conform to the limitation; and tax years 2020 and later (</w:t>
      </w:r>
      <w:hyperlink r:id="rId141">
        <w:r>
          <w:rPr>
            <w:rStyle w:val="Hyperlink"/>
            <w:rFonts w:ascii="Times New Roman" w:hAnsi="Times New Roman"/>
            <w:b w:val="false"/>
            <w:i w:val="false"/>
            <w:color w:val="000000"/>
            <w:sz w:val="22"/>
          </w:rPr>
          <w:t>subrule 502.29(4)</w:t>
        </w:r>
      </w:hyperlink>
      <w:r>
        <w:rPr>
          <w:rFonts w:ascii="Times New Roman" w:hAnsi="Times New Roman"/>
          <w:b w:val="false"/>
          <w:i w:val="false"/>
          <w:color w:val="000000"/>
          <w:sz w:val="22"/>
        </w:rPr>
        <w:t xml:space="preserve"> et seq.), when Iowa again does not conform to this limitation. All references to the Code of Federal Regulations (Treas.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Reg.) and certain other information in this rule are based on final Internal Revenue Service (IRS) regulations and guidance in effect on January 13, 2021.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“Excess business interest expense” </w:t>
      </w:r>
      <w:r>
        <w:rPr>
          <w:rFonts w:ascii="Times New Roman" w:hAnsi="Times New Roman"/>
          <w:b w:val="false"/>
          <w:i w:val="false"/>
          <w:color w:val="000000"/>
          <w:sz w:val="22"/>
        </w:rPr>
        <w:t>means the same as defined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1.163(j)-1(b)(16).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partnership” </w:t>
      </w:r>
      <w:r>
        <w:rPr>
          <w:rFonts w:ascii="Times New Roman" w:hAnsi="Times New Roman"/>
          <w:b w:val="false"/>
          <w:i w:val="false"/>
          <w:color w:val="000000"/>
          <w:sz w:val="22"/>
        </w:rPr>
        <w:t>means any partnership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S corporation” </w:t>
      </w:r>
      <w:r>
        <w:rPr>
          <w:rFonts w:ascii="Times New Roman" w:hAnsi="Times New Roman"/>
          <w:b w:val="false"/>
          <w:i w:val="false"/>
          <w:color w:val="000000"/>
          <w:sz w:val="22"/>
        </w:rPr>
        <w:t>means any S corporation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partnership” </w:t>
      </w:r>
      <w:r>
        <w:rPr>
          <w:rFonts w:ascii="Times New Roman" w:hAnsi="Times New Roman"/>
          <w:b w:val="false"/>
          <w:i w:val="false"/>
          <w:color w:val="000000"/>
          <w:sz w:val="22"/>
        </w:rPr>
        <w:t>means any partnership that is not required to file an Iowa return (IA 1065)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“Non-Iowa S corporation” </w:t>
      </w:r>
      <w:r>
        <w:rPr>
          <w:rFonts w:ascii="Times New Roman" w:hAnsi="Times New Roman"/>
          <w:b w:val="false"/>
          <w:i w:val="false"/>
          <w:color w:val="000000"/>
          <w:sz w:val="22"/>
        </w:rPr>
        <w:t>means any S corporation that is not required to file an Iowa return (IA 1120S) for the relevant tax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502.29(2)</w:t>
      </w:r>
      <w:r>
        <w:rPr>
          <w:rFonts w:ascii="Times New Roman" w:hAnsi="Times New Roman"/>
          <w:b w:val="false"/>
          <w:i w:val="false"/>
          <w:color w:val="000000"/>
          <w:sz w:val="22"/>
        </w:rPr>
        <w:t> </w:t>
      </w:r>
      <w:r>
        <w:rPr>
          <w:rFonts w:ascii="Times New Roman" w:hAnsi="Times New Roman"/>
          <w:b w:val="false"/>
          <w:i/>
          <w:color w:val="000000"/>
          <w:sz w:val="22"/>
        </w:rPr>
        <w:t xml:space="preserve">Tax year 2018. </w:t>
      </w:r>
      <w:r>
        <w:rPr>
          <w:rFonts w:ascii="Times New Roman" w:hAnsi="Times New Roman"/>
          <w:b w:val="false"/>
          <w:i w:val="false"/>
          <w:color w:val="000000"/>
          <w:sz w:val="22"/>
        </w:rPr>
        <w:t xml:space="preserve">For tax years beginning on or after January 1, 2018, but before January 1, 2019 (tax year 2018), Iowa conforms with the IRC in effect on January 1, 2015, meaning the 30 percent limitation on the business interest expense deduction first imposed by IRC Section 163(j) under Public Law 115-97 (TCJA) does not apply for Iowa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For tax year 2018, Iowa taxpayers are permitted to deduct current-year business interest expense without regard to the limitations imposed by IRC Section 163(j) under the TCJA. The taxpayer’s additional deduction is computed on the 2018 Nonconformity Adjustments Worksheet. Taxpayers who qualify for these higher Iowa deductions in 2018 may need to make further adjustments in 2019 for amounts deducted under this subrule for Iowa purposes but disallowed and carried forward for federal purposes. See </w:t>
      </w:r>
      <w:hyperlink r:id="rId142">
        <w:r>
          <w:rPr>
            <w:rStyle w:val="Hyperlink"/>
            <w:rFonts w:ascii="Times New Roman" w:hAnsi="Times New Roman"/>
            <w:b w:val="false"/>
            <w:i w:val="false"/>
            <w:color w:val="000000"/>
            <w:sz w:val="22"/>
          </w:rPr>
          <w:t>subrule 502.29(3)</w:t>
        </w:r>
      </w:hyperlink>
      <w:r>
        <w:rPr>
          <w:rFonts w:ascii="Times New Roman" w:hAnsi="Times New Roman"/>
          <w:b w:val="false"/>
          <w:i w:val="false"/>
          <w:color w:val="000000"/>
          <w:sz w:val="22"/>
        </w:rPr>
        <w:t xml:space="preserve"> for more information about these 2019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rules for partnerships and S corporations.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partnerships and S corporations. Partnerships and S corporations required to file Iowa returns in tax year 2018 are required to make adjustments for Iowa’s nonconformity with IRC Section 163(j) at the entity level, meaning they can deduct the full interest expense on the entity’s own Iowa return and the reduction to the partner’s or shareholder’s share of the entity’s income will be included in the all source modifications line of the partners’ or shareholders’ Iowa Schedules K-1.</w:t>
      </w:r>
    </w:p>
    <w:p>
      <w:pPr>
        <w:spacing w:before="0" w:after="0"/>
        <w:ind w:left="120"/>
        <w:jc w:val="both"/>
      </w:pPr>
      <w:r>
        <w:rPr>
          <w:rFonts w:ascii="Times New Roman" w:hAnsi="Times New Roman"/>
          <w:b w:val="false"/>
          <w:i w:val="false"/>
          <w:color w:val="000000"/>
          <w:sz w:val="22"/>
        </w:rPr>
        <w:t>Example 1: P, a partnership doing business in Iowa, has $100,000 in current-year business interest expense in 2018. For federal purposes, $20,000 of that amount is disallowed under IRC Section 163(j). The partnership deducts $80,000 at the entity level in 2018, and the remaining disallowed $20,000 is allocated to the partners to be deducted in future years. For Iowa purposes, the $80,000 of business interest expense allowed for federal purposes is included in the partnership’s non-separately stated ordinary business income (loss), and the partnership will make an adjustment on the entity’s IA 1065 to deduct the $20,000 of current-year business interest expense that was disallowed for federal purposes. The $20,000 additional Iowa deduction will be reported to the partners as an all source modification on the partners’ IA 1065 Schedules K-1, and partners will receive the benefit of this all source modification item when the partners report their Iowa partnership income on their own Iowa tax return for the year. The partners will not be permitted to make further Iowa adjustments on their own Iowa tax return for the excess business interest expense amounts passed through to them from the partnership for federal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Owners of partnerships and S corporations with no entity-level 2018 Iowa filing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Non-Iowa partnerships. Iowa partners who received interest expense deductions from partnerships which were not required to file 2018 Iowa returns may claim the larger Iowa deduction for business interest expenses passed through from the partnership on the partner’s own 2018 Iowa return by including in the partner’s Iowa deduction the amount of disallowed business interest expense deduction shown on the 2018 federal Schedule K-1 (Form 1065), line 13, code K, received from the non-Iowa partnership.</w:t>
      </w:r>
    </w:p>
    <w:p>
      <w:pPr>
        <w:spacing w:before="0" w:after="0"/>
        <w:ind w:left="120"/>
        <w:jc w:val="both"/>
      </w:pPr>
      <w:r>
        <w:rPr>
          <w:rFonts w:ascii="Times New Roman" w:hAnsi="Times New Roman"/>
          <w:b w:val="false"/>
          <w:i w:val="false"/>
          <w:color w:val="000000"/>
          <w:sz w:val="22"/>
        </w:rPr>
        <w:t>Example 2: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corporation doing business in Iowa and a partner in P2, an out-of-state partnership with no business in Iowa and no Iowa filing obligation. In 2018, P2 has $100,000 in current-year business interest expense and is subject to the IRC Section 163(j) limitation for federal purposes. At the entity level, P2 is permitted to deduct $80,000 on its 2018 federal partnership return. The $20,000 in excess business interest expense is then allocated to P2’s partners.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allocated $5,000 in excess business interest expense from P2. Because P2 is not required to file an Iowa return, and therefore ABC,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did not receive a 2018 IA 1065 Schedule K-1 from P2, ABC,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is permitted to deduct the $5,000 allocated from P2 as current-year business interest expense on ABC, Inc.’s 2018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Non-Iowa S corporations. Iowa shareholders of S corporations that have no Iowa filing requirement are limited to the deduction actually passed through to them on the federal Schedule K-1 received from the S corporation for Iowa purposes in tax year 2018. These shareholders are not permitted to make adjustments for interest expense disallowed at the entity level for the non-Iowa S corporation. See Example 3 in </w:t>
      </w:r>
      <w:hyperlink r:id="rId143">
        <w:r>
          <w:rPr>
            <w:rStyle w:val="Hyperlink"/>
            <w:rFonts w:ascii="Times New Roman" w:hAnsi="Times New Roman"/>
            <w:b w:val="false"/>
            <w:i w:val="false"/>
            <w:color w:val="000000"/>
            <w:sz w:val="22"/>
          </w:rPr>
          <w:t>701—subrule 302.85(2)</w:t>
        </w:r>
      </w:hyperlink>
      <w:r>
        <w:rPr>
          <w:rFonts w:ascii="Times New Roman" w:hAnsi="Times New Roman"/>
          <w:b w:val="false"/>
          <w:i w:val="false"/>
          <w:color w:val="000000"/>
          <w:sz w:val="22"/>
        </w:rPr>
        <w:t xml:space="preserve"> for an example of how Iowa shareholders of non-Iowa S corporations should report the business interest expense deduction allocated to them from the S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502.29(3)</w:t>
      </w:r>
      <w:r>
        <w:rPr>
          <w:rFonts w:ascii="Times New Roman" w:hAnsi="Times New Roman"/>
          <w:b w:val="false"/>
          <w:i w:val="false"/>
          <w:color w:val="000000"/>
          <w:sz w:val="22"/>
        </w:rPr>
        <w:t> </w:t>
      </w:r>
      <w:r>
        <w:rPr>
          <w:rFonts w:ascii="Times New Roman" w:hAnsi="Times New Roman"/>
          <w:b w:val="false"/>
          <w:i/>
          <w:color w:val="000000"/>
          <w:sz w:val="22"/>
        </w:rPr>
        <w:t xml:space="preserve">Tax year 2019. </w:t>
      </w:r>
      <w:r>
        <w:rPr>
          <w:rFonts w:ascii="Times New Roman" w:hAnsi="Times New Roman"/>
          <w:b w:val="false"/>
          <w:i w:val="false"/>
          <w:color w:val="000000"/>
          <w:sz w:val="22"/>
        </w:rPr>
        <w:t xml:space="preserve">For tax years beginning on or after January 1, 2019, but before January 1, 2020 (tax year 2019), Iowa conforms to the IRC in effect on March 24, 2018.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Applicable limitation. </w:t>
      </w:r>
      <w:r>
        <w:rPr>
          <w:rFonts w:ascii="Times New Roman" w:hAnsi="Times New Roman"/>
          <w:b w:val="false"/>
          <w:i w:val="false"/>
          <w:color w:val="000000"/>
          <w:sz w:val="22"/>
        </w:rPr>
        <w:t>For tax year 2019, Iowa conforms to the 30 percent limitation on the business interest expense deduction imposed by IRC Section 163(j). Because of Iowa’s fixed conformity date, Iowa did not conform with the higher 50 percent limitation retroactively imposed by the Coronavirus Aid, Relief, and Economic Security (CARES) Act, Public Law 116-136, to the extent that increased limitation applied in tax year 2019 for federal purposes. For tax year 2019 only, taxpayers are required to calculate their Iowa business interest expense deduction by applying the limitations of IRC Section 163(j) without regard to IRC Section 163(j)(10).</w:t>
      </w:r>
    </w:p>
    <w:p>
      <w:pPr>
        <w:spacing w:before="0" w:after="0"/>
        <w:ind w:left="120"/>
        <w:jc w:val="both"/>
      </w:pPr>
      <w:r>
        <w:rPr>
          <w:rFonts w:ascii="Times New Roman" w:hAnsi="Times New Roman"/>
          <w:b w:val="false"/>
          <w:i w:val="false"/>
          <w:color w:val="000000"/>
          <w:sz w:val="22"/>
        </w:rPr>
        <w:t>Example 3: XYZ Corp.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has an adjusted taxable income (ATI) of $100,000 for tax year 2019 and $80,000 in deductible business interest expense. For federal purposes, XYZ Corp.’s business interest expense deduction is limited to $50,000 (50 percent of ATI) under the CARES Act. However, because Iowa only conforms to the 30 percent limitation imposed by the TCJA, and not the higher CARES Act limitation for 2019, XYZ Corp.’s Iowa business interest expense deduction for the year is limited to $30,000. XYZ Corp.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will report this difference by making a $20,000 adjustment on IA 101, line 3 (XYZ Corp.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may have additional adjustments on this line if the current-year federal deduction included amounts carried forward from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 to income for tax year 2018 federal carryforward amounts deducted in tax year 2019. </w:t>
      </w:r>
      <w:r>
        <w:rPr>
          <w:rFonts w:ascii="Times New Roman" w:hAnsi="Times New Roman"/>
          <w:b w:val="false"/>
          <w:i w:val="false"/>
          <w:color w:val="000000"/>
          <w:sz w:val="22"/>
        </w:rPr>
        <w:t xml:space="preserve">To the extent a taxpayer’s tax year 2019 federal business interest expense deduction includes amounts that were disallowed and carried forward to future years under IRC Section 163(j) in tax year 2018 for federal purposes, but allowed as a deduction in tax year 2018 for Iowa purposes under paragraph </w:t>
      </w:r>
      <w:hyperlink r:id="rId144">
        <w:r>
          <w:rPr>
            <w:rStyle w:val="Hyperlink"/>
            <w:rFonts w:ascii="Times New Roman" w:hAnsi="Times New Roman"/>
            <w:b w:val="false"/>
            <w:i w:val="false"/>
            <w:color w:val="000000"/>
            <w:sz w:val="22"/>
          </w:rPr>
          <w:t>502.29(2)</w:t>
        </w:r>
      </w:hyperlink>
      <w:r>
        <w:rPr>
          <w:rFonts w:ascii="Times New Roman" w:hAnsi="Times New Roman"/>
          <w:b w:val="false"/>
          <w:i/>
          <w:color w:val="000000"/>
          <w:sz w:val="22"/>
        </w:rPr>
        <w:t>“a”</w:t>
      </w:r>
      <w:r>
        <w:rPr>
          <w:rFonts w:ascii="Times New Roman" w:hAnsi="Times New Roman"/>
          <w:b w:val="false"/>
          <w:i w:val="false"/>
          <w:color w:val="000000"/>
          <w:sz w:val="22"/>
        </w:rPr>
        <w:t xml:space="preserve"> (in general), subparagraph </w:t>
      </w:r>
      <w:hyperlink r:id="rId145">
        <w:r>
          <w:rPr>
            <w:rStyle w:val="Hyperlink"/>
            <w:rFonts w:ascii="Times New Roman" w:hAnsi="Times New Roman"/>
            <w:b w:val="false"/>
            <w:i w:val="false"/>
            <w:color w:val="000000"/>
            <w:sz w:val="22"/>
          </w:rPr>
          <w:t>502.29(2)</w:t>
        </w:r>
      </w:hyperlink>
      <w:r>
        <w:rPr>
          <w:rFonts w:ascii="Times New Roman" w:hAnsi="Times New Roman"/>
          <w:b w:val="false"/>
          <w:i/>
          <w:color w:val="000000"/>
          <w:sz w:val="22"/>
        </w:rPr>
        <w:t>“b”</w:t>
      </w:r>
      <w:r>
        <w:rPr>
          <w:rFonts w:ascii="Times New Roman" w:hAnsi="Times New Roman"/>
          <w:b w:val="false"/>
          <w:i w:val="false"/>
          <w:color w:val="000000"/>
          <w:sz w:val="22"/>
        </w:rPr>
        <w:t xml:space="preserve">(1) (Iowa partnerships and S corporations), or numbered paragraph </w:t>
      </w:r>
      <w:hyperlink r:id="rId146">
        <w:r>
          <w:rPr>
            <w:rStyle w:val="Hyperlink"/>
            <w:rFonts w:ascii="Times New Roman" w:hAnsi="Times New Roman"/>
            <w:b w:val="false"/>
            <w:i w:val="false"/>
            <w:color w:val="000000"/>
            <w:sz w:val="22"/>
          </w:rPr>
          <w:t>502.29(2)</w:t>
        </w:r>
      </w:hyperlink>
      <w:r>
        <w:rPr>
          <w:rFonts w:ascii="Times New Roman" w:hAnsi="Times New Roman"/>
          <w:b w:val="false"/>
          <w:i/>
          <w:color w:val="000000"/>
          <w:sz w:val="22"/>
        </w:rPr>
        <w:t>“b”</w:t>
      </w:r>
      <w:r>
        <w:rPr>
          <w:rFonts w:ascii="Times New Roman" w:hAnsi="Times New Roman"/>
          <w:b w:val="false"/>
          <w:i w:val="false"/>
          <w:color w:val="000000"/>
          <w:sz w:val="22"/>
        </w:rPr>
        <w:t xml:space="preserve">(2)“1” (non-Iowa partnerships), these carried-forward amounts must be added back in computing Iowa income. These prior deductions and current adjustments are calculated and tracked on the IA 101 Nonconformity Adjustments form. Note that shareholders of non-Iowa S corporations should not be required to add back 2018 carryforward amounts deducted by the S corporation in 2019, because the shareholders were not permitted to deduct these excess amounts for Iowa purposes in 2018. See numbered paragraph </w:t>
      </w:r>
      <w:hyperlink r:id="rId147">
        <w:r>
          <w:rPr>
            <w:rStyle w:val="Hyperlink"/>
            <w:rFonts w:ascii="Times New Roman" w:hAnsi="Times New Roman"/>
            <w:b w:val="false"/>
            <w:i w:val="false"/>
            <w:color w:val="000000"/>
            <w:sz w:val="22"/>
          </w:rPr>
          <w:t>502.29(2)</w:t>
        </w:r>
      </w:hyperlink>
      <w:r>
        <w:rPr>
          <w:rFonts w:ascii="Times New Roman" w:hAnsi="Times New Roman"/>
          <w:b w:val="false"/>
          <w:i/>
          <w:color w:val="000000"/>
          <w:sz w:val="22"/>
        </w:rPr>
        <w:t>“b”</w:t>
      </w:r>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Example 4: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 partner in P under the same facts described in Example 1 above. For tax year 2019,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completes federal Form 8990 and is eligible to deduct $1,000 of the excess business interest expense allocated to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from P in 2018 on QRS, Inc.’s 2019 federal income tax return. This $1,000 federal deduction for prior-year excess business interest expense allocated from P must be added back in computing QRS, Inc.’s 2019 Iowa income. The same add-back would be required if this scenario was applied to the facts in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502.29(4)</w:t>
      </w:r>
      <w:r>
        <w:rPr>
          <w:rFonts w:ascii="Times New Roman" w:hAnsi="Times New Roman"/>
          <w:b w:val="false"/>
          <w:i w:val="false"/>
          <w:color w:val="000000"/>
          <w:sz w:val="22"/>
        </w:rPr>
        <w:t> </w:t>
      </w:r>
      <w:r>
        <w:rPr>
          <w:rFonts w:ascii="Times New Roman" w:hAnsi="Times New Roman"/>
          <w:b w:val="false"/>
          <w:i/>
          <w:color w:val="000000"/>
          <w:sz w:val="22"/>
        </w:rPr>
        <w:t xml:space="preserve">Tax years beginning on or after January 1, 2020. </w:t>
      </w:r>
      <w:r>
        <w:rPr>
          <w:rFonts w:ascii="Times New Roman" w:hAnsi="Times New Roman"/>
          <w:b w:val="false"/>
          <w:i w:val="false"/>
          <w:color w:val="000000"/>
          <w:sz w:val="22"/>
        </w:rPr>
        <w:t xml:space="preserve">For tax years beginning on or after January 1, 2020, Iowa does not conform with the IRC Section 163(j) business interest expense deduction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Current-year business interest expense. </w:t>
      </w:r>
      <w:r>
        <w:rPr>
          <w:rFonts w:ascii="Times New Roman" w:hAnsi="Times New Roman"/>
          <w:b w:val="false"/>
          <w:i w:val="false"/>
          <w:color w:val="000000"/>
          <w:sz w:val="22"/>
        </w:rPr>
        <w:t>For tax years beginning on or after January 1, 2020, a taxpayer’s current-year business interest expense is fully deductible to the extent permitted by IRC Section 163 for Iowa purposes without regard to any limitation under IRC Section 163(j). Even though Iowa does not conform to IRC Section 163(j), provisions of the IRC other than Section 163(j) may subject interest expense to disallowance, deferral, capitalization, or other limitations, and those other provisions of the IRC still generally apply for Iowa purposes. No additional Iowa adjustments are permitted for federal limitations such as those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1.163(j)-3(b)(4), which are determined after the application of IRC Section 163(j) for federal purposes.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1.163(j)-3 for examples of other provisions of the IRC that may restrict interest expense deductions for federal and Iowa purposes, independent of the IRC Section 163(j)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Carryforward.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one-time carryforward catch-up (tax year 2020 only). For tax years beginning on or after January 1, 2020, but before January 1, 2021 (tax year 2020), taxpayers who filed a 2019 Iowa return are permitted to deduct all interest expense deduction amounts that were disallowed and carried forward under IRC Section 163(j) for Iowa purposes in tax year 2019. This deduction shall be calculated and reported on the taxpayer’s 2020 Iowa income tax return using form IA 163A. Excess business interest expense amounts carried over from tax year 2018 at the federal level shall not be deducted for Iowa tax purposes in tax year 2020. </w:t>
      </w:r>
    </w:p>
    <w:p>
      <w:pPr>
        <w:spacing w:before="0" w:after="0"/>
        <w:ind w:left="120"/>
        <w:jc w:val="both"/>
      </w:pPr>
      <w:r>
        <w:rPr>
          <w:rFonts w:ascii="Times New Roman" w:hAnsi="Times New Roman"/>
          <w:b w:val="false"/>
          <w:i w:val="false"/>
          <w:color w:val="000000"/>
          <w:sz w:val="22"/>
        </w:rPr>
        <w:t>Example 5: In 2019,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had $100,000 in current-year business interest expense. QRS, Inc.’s business interest expense deduction was limited to $50,000 for federal purposes and limited to $30,000 for Iowa purposes due to Iowa’s nonconformity with the CARES Act for that year. See paragraph </w:t>
      </w:r>
      <w:hyperlink r:id="rId148">
        <w:r>
          <w:rPr>
            <w:rStyle w:val="Hyperlink"/>
            <w:rFonts w:ascii="Times New Roman" w:hAnsi="Times New Roman"/>
            <w:b w:val="false"/>
            <w:i w:val="false"/>
            <w:color w:val="000000"/>
            <w:sz w:val="22"/>
          </w:rPr>
          <w:t>502.29(3)</w:t>
        </w:r>
        <w:r>
          <w:rPr>
            <w:rFonts w:ascii="Times New Roman" w:hAnsi="Times New Roman"/>
            <w:b w:val="false"/>
            <w:i/>
            <w:color w:val="000000"/>
            <w:sz w:val="22"/>
          </w:rPr>
          <w:t>“a.”</w:t>
        </w:r>
      </w:hyperlink>
      <w:r>
        <w:rPr>
          <w:rFonts w:ascii="Times New Roman" w:hAnsi="Times New Roman"/>
          <w:b w:val="false"/>
          <w:i w:val="false"/>
          <w:color w:val="000000"/>
          <w:sz w:val="22"/>
        </w:rPr>
        <w:t xml:space="preserve"> In 2020,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again subject to an IRC Section 163(j) limitation and is not permitted to deduct any prior-year carryforward amounts for federal purposes. However, because Iowa does not conform to the IRC Section 163(j) limitation for 2020,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may deduct all of the company’s current-year business interest expense and all $70,000 ($100,000 - $30,000) of QRS, Inc.’s disallowed Iowa interest expense carried over from 2019.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must complete the IA 163 in order to calculate the company’s current-year business interest expense deduction, and the IA 163A to determine the total amount of 2019 disallowed Iowa interest expense amounts, which may be deducted in full on QRS, Inc.’s 2020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 to income for prior-year federal carryforward amounts deducted in the current year. When current-year interest expense is limited at the federal level, the disallowed business interest expense is carried forward to be deducted in future years for federal purposes, when certain conditions are met.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1.163(j)-1(b)(10) for the definition of “disallowed business interest expense.” Iowa law allows taxpayers to fully deduct current-year business interest expense, and no amounts are carried forward for Iowa purposes. Disallowed business interest expense carryforward amounts from prior years, including excess business interest expense allocated to a partner in a prior year, cannot be deducted for Iowa purposes except as described in </w:t>
      </w:r>
      <w:hyperlink r:id="rId149">
        <w:r>
          <w:rPr>
            <w:rStyle w:val="Hyperlink"/>
            <w:rFonts w:ascii="Times New Roman" w:hAnsi="Times New Roman"/>
            <w:b w:val="false"/>
            <w:i w:val="false"/>
            <w:color w:val="000000"/>
            <w:sz w:val="22"/>
          </w:rPr>
          <w:t>subparagraph 502.29(4)</w:t>
        </w:r>
      </w:hyperlink>
      <w:r>
        <w:rPr>
          <w:rFonts w:ascii="Times New Roman" w:hAnsi="Times New Roman"/>
          <w:b w:val="false"/>
          <w:i/>
          <w:color w:val="000000"/>
          <w:sz w:val="22"/>
        </w:rPr>
        <w:t>“b”</w:t>
      </w:r>
      <w:r>
        <w:rPr>
          <w:rFonts w:ascii="Times New Roman" w:hAnsi="Times New Roman"/>
          <w:b w:val="false"/>
          <w:i w:val="false"/>
          <w:color w:val="000000"/>
          <w:sz w:val="22"/>
        </w:rPr>
        <w:t xml:space="preserve">(1). All prior-year disallowed business interest expense carryforward amounts deductible under IRC Section 163(j) in the current year at the federal level, including excess business interest expense allocated to a partner in a prior year, must be added back in computing the taxpayer’s Iowa income for the year. </w:t>
      </w:r>
    </w:p>
    <w:p>
      <w:pPr>
        <w:spacing w:before="0" w:after="0"/>
        <w:ind w:left="120"/>
        <w:jc w:val="both"/>
      </w:pPr>
      <w:r>
        <w:rPr>
          <w:rFonts w:ascii="Times New Roman" w:hAnsi="Times New Roman"/>
          <w:b w:val="false"/>
          <w:i w:val="false"/>
          <w:color w:val="000000"/>
          <w:sz w:val="22"/>
        </w:rPr>
        <w:t>Example 6: In 2020,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has $100,000 in current-year business interest expense. For federal purposes,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subject to the IRC Section 163(j) limitation.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deducts $70,000 in business interest expense on QRS, Inc.’s 2020 federal return and carries the remaining $30,000 forward to be deducted in future years. For Iowa purposes,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deducts the full $100,000 in current-year business interest expense in 2020.</w:t>
      </w:r>
    </w:p>
    <w:p>
      <w:pPr>
        <w:spacing w:before="0" w:after="0"/>
        <w:ind w:left="120"/>
        <w:jc w:val="both"/>
      </w:pPr>
      <w:r>
        <w:rPr>
          <w:rFonts w:ascii="Times New Roman" w:hAnsi="Times New Roman"/>
          <w:b w:val="false"/>
          <w:i w:val="false"/>
          <w:color w:val="000000"/>
          <w:sz w:val="22"/>
        </w:rPr>
        <w:t>In 2021,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has $50,000 in current-year business interest expense. For federal purposes, QRS, Inc.</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permitted to deduct the full $50,000 in interest expense generated in 2021, plus $5,000 of the amount that was disallowed in 2020 for a total federal deduction of $55,000 in 2021. QRS,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must add the federal carryforward amount ($5,000) back on the company’s 2021 Iowa return, limiting QRS, Inc.’s 2021 Iowa deduction to the $50,000 in current-year business interest expense.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Consolidated groups. </w:t>
      </w:r>
      <w:r>
        <w:rPr>
          <w:rFonts w:ascii="Times New Roman" w:hAnsi="Times New Roman"/>
          <w:b w:val="false"/>
          <w:i w:val="false"/>
          <w:color w:val="000000"/>
          <w:sz w:val="22"/>
        </w:rPr>
        <w:t xml:space="preserve">Corporations that were included on a federal consolidated return but that either file separate returns for Iowa purposes or file an Iowa consolidated return that does not include all members of the federal consolidated group are required to recalculate their proper current-year business interest expense deduction as described in </w:t>
      </w:r>
      <w:hyperlink r:id="rId150">
        <w:r>
          <w:rPr>
            <w:rStyle w:val="Hyperlink"/>
            <w:rFonts w:ascii="Times New Roman" w:hAnsi="Times New Roman"/>
            <w:b w:val="false"/>
            <w:i w:val="false"/>
            <w:color w:val="000000"/>
            <w:sz w:val="22"/>
          </w:rPr>
          <w:t>paragraph 502.29(4)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amount of any prior-year disallowed business interest expense carryforward which must be added back for Iowa purposes as described in </w:t>
      </w:r>
      <w:hyperlink r:id="rId151">
        <w:r>
          <w:rPr>
            <w:rStyle w:val="Hyperlink"/>
            <w:rFonts w:ascii="Times New Roman" w:hAnsi="Times New Roman"/>
            <w:b w:val="false"/>
            <w:i w:val="false"/>
            <w:color w:val="000000"/>
            <w:sz w:val="22"/>
          </w:rPr>
          <w:t>paragraph 502.29(4)</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the separate entity or Iowa consolidated group by completing pro forma federal interest expense deduction forms for the separate entity or Iowa consolidated group.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1.163(j)-4(d) and any other applicable federal regulations or guidance govern how Iowa consolidated groups should make this pro forma calculation. For more information about the election to file Iowa consolidated returns and group membership requirements, see rule </w:t>
      </w:r>
      <w:hyperlink r:id="rId152">
        <w:r>
          <w:rPr>
            <w:rStyle w:val="Hyperlink"/>
            <w:rFonts w:ascii="Times New Roman" w:hAnsi="Times New Roman"/>
            <w:b w:val="false"/>
            <w:i w:val="false"/>
            <w:color w:val="000000"/>
            <w:sz w:val="22"/>
          </w:rPr>
          <w:t>701—502.15</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Departure from group. In the event that a member leaves the consolidated group, both the newly separated member and the remaining group shall be required to include any carryforward amounts allocated to them under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1.163(j)-5(b)(3)(iii) in their respective Iowa incomes in the year or years the separate company or group actually deducts those amounts for federal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Carryforwards from separate return limitation years (SRLY). A consolidated group is not permitted to deduct any disallowed business interest expense carryforward amount of a member arising in a SRLY for Iowa purposes and must add back such amounts on the Iowa return in the same year in which the consolidated group is permitted to deduct the SRLY carryforward amount for federal purposes. See 26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1.163(j)-5(d) for more information about the federal treatment of these carryforward amounts.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502.29(5)</w:t>
      </w:r>
      <w:r>
        <w:rPr>
          <w:rFonts w:ascii="Times New Roman" w:hAnsi="Times New Roman"/>
          <w:b w:val="false"/>
          <w:i w:val="false"/>
          <w:color w:val="000000"/>
          <w:sz w:val="22"/>
        </w:rPr>
        <w:t> </w:t>
      </w:r>
      <w:r>
        <w:rPr>
          <w:rFonts w:ascii="Times New Roman" w:hAnsi="Times New Roman"/>
          <w:b w:val="false"/>
          <w:i/>
          <w:color w:val="000000"/>
          <w:sz w:val="22"/>
        </w:rPr>
        <w:t xml:space="preserve">Partners and partnerships.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Partnership-level adjustments. </w:t>
      </w:r>
      <w:r>
        <w:rPr>
          <w:rFonts w:ascii="Times New Roman" w:hAnsi="Times New Roman"/>
          <w:b w:val="false"/>
          <w:i w:val="false"/>
          <w:color w:val="000000"/>
          <w:sz w:val="22"/>
        </w:rPr>
        <w:t xml:space="preserve">For tax years beginning on or after January 1, 2020, partnerships that file an Iowa income tax return for a tax year in which the partnership is subject to the IRC Section 163(j) limitation for federal purposes are permitted to deduct all current-year business interest expense at the partnership level in that tax year. See </w:t>
      </w:r>
      <w:hyperlink r:id="rId153">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for more information about the calculation and reporting of partnership-level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Partner-level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expense from Iowa partnerships. Iowa adjustments related to excess business interest expense of an Iowa partnership are made at the entity level as described in </w:t>
      </w:r>
      <w:hyperlink r:id="rId154">
        <w:r>
          <w:rPr>
            <w:rStyle w:val="Hyperlink"/>
            <w:rFonts w:ascii="Times New Roman" w:hAnsi="Times New Roman"/>
            <w:b w:val="false"/>
            <w:i w:val="false"/>
            <w:color w:val="000000"/>
            <w:sz w:val="22"/>
          </w:rPr>
          <w:t>701—paragraph 302.85(5)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are reported to partners on an IA 1065 Schedule K-1. Partners are not permitted to make any Iowa adjustment at the partner level to their federal interest expense deduction for amounts of excess business interest expense allocated from an Iowa partnership on the partner’s federal Schedule K-1 related to that Iowa partnership. See Example 1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expense from non-Iowa partnerships. For tax years beginning on or after January 1, 2020, partners may include as part of their Iowa business interest expense deduction the total amount of current-year excess business interest expense deduction passed through to them from all non-Iowa partnerships as shown on the federal Schedule K-1 (Form 1065), line 13, code K. See Example 2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Partnership basis. A partner’s basis is reduced (but not below zero) by the amount of excess business interest expense the partnership passes through to the partner each year. See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Section 163(j)-6(h) for detailed information about how to make these basis adjustments. For federal purposes, immediately before disposition of the partnership interest, the partner’s basis is then increased by the amount of any passed-through business interest expense which has not yet been treated as paid or accrued by the partner as described in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Section 163(j)-6(h)(3). No basis increase at the time of disposition is allowed for Iowa purposes for passed-through business interest expense amounts that were deducted for Iowa, but not for federal, purposes due to Iowa’s nonconformity with IRC Section 163(j).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502.29(6)</w:t>
      </w:r>
      <w:r>
        <w:rPr>
          <w:rFonts w:ascii="Times New Roman" w:hAnsi="Times New Roman"/>
          <w:b w:val="false"/>
          <w:i w:val="false"/>
          <w:color w:val="000000"/>
          <w:sz w:val="22"/>
        </w:rPr>
        <w:t> </w:t>
      </w:r>
      <w:r>
        <w:rPr>
          <w:rFonts w:ascii="Times New Roman" w:hAnsi="Times New Roman"/>
          <w:b w:val="false"/>
          <w:i/>
          <w:color w:val="000000"/>
          <w:sz w:val="22"/>
        </w:rPr>
        <w:t xml:space="preserve">S corporation adjustments. </w:t>
      </w:r>
      <w:r>
        <w:rPr>
          <w:rFonts w:ascii="Times New Roman" w:hAnsi="Times New Roman"/>
          <w:b w:val="false"/>
          <w:i w:val="false"/>
          <w:color w:val="000000"/>
          <w:sz w:val="22"/>
        </w:rPr>
        <w:t>For federal purposes, IRC Section 163(j) limitations are applied at the S corporation level. Unlike partnerships, disallowed business interest expense amounts are carried forward and deducted in future years at the entity level rather than being passed through to shareholders. S corporations should calculate their entity-level business interest expense deduction for Iowa purposes under the provisions of this rule. See also Treas.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Reg.</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Section 1.163(j)-6(l) for more information about the application of IRC Section 163(j) to S corporations for federal purposes.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422.35(27)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5733C</w:t>
      </w:r>
      <w:r>
        <w:rPr>
          <w:rFonts w:ascii="Times New Roman" w:hAnsi="Times New Roman"/>
          <w:b w:val="false"/>
          <w:i w:val="false"/>
          <w:color w:val="000000"/>
          <w:sz w:val="16"/>
        </w:rPr>
        <w:t>, IAB 6/30/21, effective 8/4/21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701—502.30</w:t>
      </w:r>
      <w:r>
        <w:rPr>
          <w:rFonts w:ascii="Times New Roman" w:hAnsi="Times New Roman"/>
          <w:b/>
          <w:i w:val="false"/>
          <w:color w:val="000000"/>
          <w:sz w:val="22"/>
        </w:rPr>
        <w:t xml:space="preserve">(422) </w:t>
      </w:r>
      <w:r>
        <w:rPr>
          <w:rFonts w:ascii="Times New Roman" w:hAnsi="Times New Roman"/>
          <w:b/>
          <w:i w:val="false"/>
          <w:color w:val="000000"/>
          <w:sz w:val="22"/>
        </w:rPr>
        <w:t xml:space="preserve">COVID-19 grant exclusion.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“Administering agency” </w:t>
      </w:r>
      <w:r>
        <w:rPr>
          <w:rFonts w:ascii="Times New Roman" w:hAnsi="Times New Roman"/>
          <w:b w:val="false"/>
          <w:i w:val="false"/>
          <w:color w:val="000000"/>
          <w:sz w:val="22"/>
        </w:rPr>
        <w:t>means the economic development authority, the Iowa finance authority, or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recipient” </w:t>
      </w:r>
      <w:r>
        <w:rPr>
          <w:rFonts w:ascii="Times New Roman" w:hAnsi="Times New Roman"/>
          <w:b w:val="false"/>
          <w:i w:val="false"/>
          <w:color w:val="000000"/>
          <w:sz w:val="22"/>
        </w:rPr>
        <w:t>means a person who applies for and is issued a qualifying COVID-19 grant by an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“Issued” </w:t>
      </w:r>
      <w:r>
        <w:rPr>
          <w:rFonts w:ascii="Times New Roman" w:hAnsi="Times New Roman"/>
          <w:b w:val="false"/>
          <w:i w:val="false"/>
          <w:color w:val="000000"/>
          <w:sz w:val="22"/>
        </w:rPr>
        <w:t>means the approval of the grant recipient’s application and amount for a qualifying COVID-19 grant by an administering agency, regardless of when the grant funds were paid by the administering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502.30(2)</w:t>
      </w:r>
      <w:r>
        <w:rPr>
          <w:rFonts w:ascii="Times New Roman" w:hAnsi="Times New Roman"/>
          <w:b w:val="false"/>
          <w:i w:val="false"/>
          <w:color w:val="000000"/>
          <w:sz w:val="22"/>
        </w:rPr>
        <w:t> </w:t>
      </w:r>
      <w:r>
        <w:rPr>
          <w:rFonts w:ascii="Times New Roman" w:hAnsi="Times New Roman"/>
          <w:b w:val="false"/>
          <w:i/>
          <w:color w:val="000000"/>
          <w:sz w:val="22"/>
        </w:rPr>
        <w:t xml:space="preserve">Qualifying COVID-19 grant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is responsible for determining whether a grant program provides “qualifying COVID-19 grants” as defined in Iowa Code section </w:t>
      </w:r>
      <w:hyperlink r:id="rId156">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In making this determination, and for purposes of the definition of “qualifying COVID-19 grant,” a grant program is “created to primarily provide COVID-19 related financial assistance to economically impacted individuals and businesses located in this state” if that grant program, at the time of its inception, was intended by the administering agency to provide a majority (more than 50 percent) of its financial assistance to or for the benefit of businesses that are doing business in Iowa or are deriving income from sources within Iowa, and that are economically affected by the COVID-19 pandemic.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administering agency shall notify the director of the existence of any grant program it believes may be a qualifying COVID-19 grant program. Upon such notification, the department will request from the administering agency the information necessary to determine whether that program is a qualifying COVID-19 grant as defined in Iowa Code section </w:t>
      </w:r>
      <w:hyperlink r:id="rId157">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and this rule. The administering agency shall provide the department with the requested information within the time frame prescribed by the department in its request. Failure to provide the requested information to the department shall prevent the department from determining that the grant program is a qualifying COVID-19 grant. Grant programs not specifically listed below in paragraph </w:t>
      </w:r>
      <w:hyperlink r:id="rId158">
        <w:r>
          <w:rPr>
            <w:rStyle w:val="Hyperlink"/>
            <w:rFonts w:ascii="Times New Roman" w:hAnsi="Times New Roman"/>
            <w:b w:val="false"/>
            <w:i w:val="false"/>
            <w:color w:val="000000"/>
            <w:sz w:val="22"/>
          </w:rPr>
          <w:t>502.30(2)</w:t>
        </w:r>
      </w:hyperlink>
      <w:r>
        <w:rPr>
          <w:rFonts w:ascii="Times New Roman" w:hAnsi="Times New Roman"/>
          <w:b w:val="false"/>
          <w:i/>
          <w:color w:val="000000"/>
          <w:sz w:val="22"/>
        </w:rPr>
        <w:t>“c”</w:t>
      </w:r>
      <w:r>
        <w:rPr>
          <w:rFonts w:ascii="Times New Roman" w:hAnsi="Times New Roman"/>
          <w:b w:val="false"/>
          <w:i w:val="false"/>
          <w:color w:val="000000"/>
          <w:sz w:val="22"/>
        </w:rPr>
        <w:t xml:space="preserve"> are not qualifying COVID-19 grants and are not eligible for the exclusion provided in this rule, even if that program may otherwise meet the definition of “qualifying COVID-19 grant” in Iowa Code section </w:t>
      </w:r>
      <w:hyperlink r:id="rId159">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is an exhaustive list of programs that have been identified by the department as qualifying COVID-19 grants, including a general description of each program’s grant recipients, that may qualify for the exclusion from Iowa net income under subrule </w:t>
      </w:r>
      <w:hyperlink r:id="rId160">
        <w:r>
          <w:rPr>
            <w:rStyle w:val="Hyperlink"/>
            <w:rFonts w:ascii="Times New Roman" w:hAnsi="Times New Roman"/>
            <w:b w:val="false"/>
            <w:i w:val="false"/>
            <w:color w:val="000000"/>
            <w:sz w:val="22"/>
          </w:rPr>
          <w:t>502.30(3)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Beef up Iowa program administered by the department of agriculture and land stewardship. Grant recipient is Iowa State University.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beginning farmer debt relief fund administered by the Iowa finance authority. Grant recipients include Iowa beginning farmers.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biofuels relief program administered by the economic development authority. Grant recipients include Iowa biodiesel and ethanol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county fairs relief fund administered by the economic development authority. Grant recipients include Iowa county and district 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COVID-19 business disruption relief program administered by the economic development authority. Grant recipients include Iowa bars, taverns, breweries, distilleries, wineries, and other similar drinking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COVID-19 targeted small business sole operator fund administered by the economic development authority. Grant recipients include Iowa targeted small businesses.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Iowa disposal assistance program administered by the department of agriculture and land stewardship. Grant recipients include Iowa pork and egg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Iowa hospital COVID-19 relief fund administered by the economic development authority. Grant recipients include Iowa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Iowa livestock producer relief fund administered by the economic development authority. Grant recipients include Iowa livestock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Iowa movie theatre relief grant program administered by the economic development authority. Grant recipients include Iowa movie theaters.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Iowa nonprofit recovery fund administered by the economic development authority. Grant recipients include Iowa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renewable fuel retail recovery program administered by the department of agriculture and land stewardship. Grant recipients include Iowa fuel retailers.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restaurant and bar relief grant program administered by the economic development authority. Grant recipients include Iowa bars, breweries, brewpubs, distilleries, wineries, and restaurants.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Iowa small business relief grant program administered by the economic development authority. Grant recipients include Iowa small businesses.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Iowa small business utility disruption prevention program administered by the economic development authority. Grant recipients include Iowa small businesses and small nonprofit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 xml:space="preserve">Local produce and protein program administered by the department of agriculture and land stewardship. Grant recipients include Iowa schools, early childcare centers, specialty crop producers, and food hubs.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 xml:space="preserve">Meat processing expansion and development program administered by the department of agriculture and land stewardship. Grant recipients include Iowa meat and poultry processing businesses and employees and Iowa livestock producers.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Pack the pantry program administered by the department of agriculture and land stewardship. Grant recipients include Iowa food pantries.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 xml:space="preserve">Pass the pork program administered by the department of agriculture and land stewardship. Grant recipients include Iowa food banks.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 xml:space="preserve">Turkey to table program administered by the department of agriculture and land stewardship. Grant recipients include Iowa food banks.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Iowa bowling center relief fund administered by the economic development authority. Grant recipients include Iowa for-profit bowling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Iowa charter bus relief program administered by the economic development authority. Grant recipients include for-profit charter bus companies with a vehicle fleet registered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sports entertainment relief program administered by the economic development authority. Grant recipients include certain for-profit and nonprofit sports teams with a home venue located in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 xml:space="preserve">Iowa fitness center relief program administered by the economic development authority. Grant recipients include for-profit, nonprofit, and local government-owned fitness centers located in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502.30(3)</w:t>
      </w:r>
      <w:r>
        <w:rPr>
          <w:rFonts w:ascii="Times New Roman" w:hAnsi="Times New Roman"/>
          <w:b w:val="false"/>
          <w:i w:val="false"/>
          <w:color w:val="000000"/>
          <w:sz w:val="22"/>
        </w:rPr>
        <w:t> </w:t>
      </w:r>
      <w:r>
        <w:rPr>
          <w:rFonts w:ascii="Times New Roman" w:hAnsi="Times New Roman"/>
          <w:b w:val="false"/>
          <w:i/>
          <w:color w:val="000000"/>
          <w:sz w:val="22"/>
        </w:rPr>
        <w:t xml:space="preserve">Excluding qualifying COVID-19 grants from Iowa net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 grant recipient may subtract a qualifying COVID-19 grant when calculating Iowa net income if all of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as part of a qualifying COVID-19 grant program identified in paragraph </w:t>
      </w:r>
      <w:hyperlink r:id="rId161">
        <w:r>
          <w:rPr>
            <w:rStyle w:val="Hyperlink"/>
            <w:rFonts w:ascii="Times New Roman" w:hAnsi="Times New Roman"/>
            <w:b w:val="false"/>
            <w:i w:val="false"/>
            <w:color w:val="000000"/>
            <w:sz w:val="22"/>
          </w:rPr>
          <w:t>502.30(2)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grant was issued on or after March 17, 2020, and on or before December 31, 2021.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grant funds were included in the grant recipient’s net income for a tax year ending on or after March 17, 2020, but beginning before January 1, 2024. The grant may only be subtracted to the extent it is included in the grant recipient’s net income for that qualifying tax year. A qualifying COVID-19 grant that is exempt from federal income tax, and thus not included in the grant recipient’s Iowa net income, does not qualify for an additional subtraction on the grant recipient’s Iowa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Third-party payee of grant funds. </w:t>
      </w:r>
      <w:r>
        <w:rPr>
          <w:rFonts w:ascii="Times New Roman" w:hAnsi="Times New Roman"/>
          <w:b w:val="false"/>
          <w:i w:val="false"/>
          <w:color w:val="000000"/>
          <w:sz w:val="22"/>
        </w:rPr>
        <w:t xml:space="preserve">A third-party payee of qualifying COVID-19 grant funds is not eligible for this exemption from Iowa income. If the proceeds of a qualifying COVID-19 grant are paid to someone other than the grant recipient, only the grant recipient on whose behalf the grant proceeds were paid may qualify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Repayment. </w:t>
      </w:r>
      <w:r>
        <w:rPr>
          <w:rFonts w:ascii="Times New Roman" w:hAnsi="Times New Roman"/>
          <w:b w:val="false"/>
          <w:i w:val="false"/>
          <w:color w:val="000000"/>
          <w:sz w:val="22"/>
        </w:rPr>
        <w:t xml:space="preserve">Grant funds that were repaid to the administering agency for any reason are not eligible for this exemption from Iowa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 grant recipient who received qualifying COVID-19 grant funds and who excludes those funds when calculating Iowa net income should retain documentation to support the claimed exclusion. A grant recipient must provide such documentation to the department if requested. The required documentation may include, but is not limited to, documentation to support that the grant recipient was issued and received the grant within the qualifying periods.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2">
        <w:r>
          <w:rPr>
            <w:rStyle w:val="Hyperlink"/>
            <w:rFonts w:ascii="Times New Roman" w:hAnsi="Times New Roman"/>
            <w:b w:val="false"/>
            <w:i w:val="false"/>
            <w:color w:val="000000"/>
            <w:sz w:val="22"/>
          </w:rPr>
          <w:t>422.7(62)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5817C</w:t>
      </w:r>
      <w:r>
        <w:rPr>
          <w:rFonts w:ascii="Times New Roman" w:hAnsi="Times New Roman"/>
          <w:b w:val="false"/>
          <w:i w:val="false"/>
          <w:color w:val="000000"/>
          <w:sz w:val="16"/>
        </w:rPr>
        <w:t>, IAB 8/11/21, effective 7/13/21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6902C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emergency 1/6/76, Notice 12/1/75—published 1/26/76, effective 1/6/76]</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10/22/82, Notice 9/15/82—published 11/10/82, effective 12/15/82]</w:t>
      </w:r>
    </w:p>
    <w:p>
      <w:pPr>
        <w:spacing w:before="0" w:after="0"/>
        <w:ind w:left="120"/>
        <w:jc w:val="center"/>
      </w:pPr>
      <w:r>
        <w:rPr>
          <w:rFonts w:ascii="Times New Roman" w:hAnsi="Times New Roman"/>
          <w:b w:val="false"/>
          <w:i w:val="false"/>
          <w:color w:val="000000"/>
          <w:sz w:val="21"/>
        </w:rPr>
        <w:t>[Filed emergency 1/19/83—published 2/16/83, effective 1/19/83]</w:t>
      </w:r>
    </w:p>
    <w:p>
      <w:pPr>
        <w:spacing w:before="0" w:after="0"/>
        <w:ind w:left="120"/>
        <w:jc w:val="center"/>
      </w:pPr>
      <w:r>
        <w:rPr>
          <w:rFonts w:ascii="Times New Roman" w:hAnsi="Times New Roman"/>
          <w:b w:val="false"/>
          <w:i w:val="false"/>
          <w:color w:val="000000"/>
          <w:sz w:val="21"/>
        </w:rPr>
        <w:t>[Filed emergency 6/3/83—published 6/22/83, effective 6/3/83]</w:t>
      </w:r>
    </w:p>
    <w:p>
      <w:pPr>
        <w:spacing w:before="0" w:after="0"/>
        <w:ind w:left="120"/>
        <w:jc w:val="center"/>
      </w:pPr>
      <w:r>
        <w:rPr>
          <w:rFonts w:ascii="Times New Roman" w:hAnsi="Times New Roman"/>
          <w:b w:val="false"/>
          <w:i w:val="false"/>
          <w:color w:val="000000"/>
          <w:sz w:val="21"/>
        </w:rPr>
        <w:t>[Filed 2/10/84, Notice 1/4/84—published 2/29/84, effective 4/5/84]</w:t>
      </w:r>
    </w:p>
    <w:p>
      <w:pPr>
        <w:spacing w:before="0" w:after="0"/>
        <w:ind w:left="120"/>
        <w:jc w:val="center"/>
      </w:pPr>
      <w:r>
        <w:rPr>
          <w:rFonts w:ascii="Times New Roman" w:hAnsi="Times New Roman"/>
          <w:b w:val="false"/>
          <w:i w:val="false"/>
          <w:color w:val="000000"/>
          <w:sz w:val="21"/>
        </w:rPr>
        <w:t>[Filed 3/23/84, Notice 2/15/84—published 4/11/84, effective 5/16/84]</w:t>
      </w:r>
    </w:p>
    <w:p>
      <w:pPr>
        <w:spacing w:before="0" w:after="0"/>
        <w:ind w:left="120"/>
        <w:jc w:val="center"/>
      </w:pPr>
      <w:r>
        <w:rPr>
          <w:rFonts w:ascii="Times New Roman" w:hAnsi="Times New Roman"/>
          <w:b w:val="false"/>
          <w:i w:val="false"/>
          <w:color w:val="000000"/>
          <w:sz w:val="21"/>
        </w:rPr>
        <w:t>[Filed 7/27/84, Notice 6/20/84—published 8/15/84, effective 9/19/84]</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1/7/88, Notice 12/2/87—published 1/27/88, effective 3/2/88]</w:t>
      </w:r>
    </w:p>
    <w:p>
      <w:pPr>
        <w:spacing w:before="0" w:after="0"/>
        <w:ind w:left="120"/>
        <w:jc w:val="center"/>
      </w:pPr>
      <w:r>
        <w:rPr>
          <w:rFonts w:ascii="Times New Roman" w:hAnsi="Times New Roman"/>
          <w:b w:val="false"/>
          <w:i w:val="false"/>
          <w:color w:val="000000"/>
          <w:sz w:val="21"/>
        </w:rPr>
        <w:t>[Filed 2/5/88, Notice 12/30/87—published 2/24/88, effective 3/30/88]</w:t>
      </w:r>
    </w:p>
    <w:p>
      <w:pPr>
        <w:spacing w:before="0" w:after="0"/>
        <w:ind w:left="120"/>
        <w:jc w:val="center"/>
      </w:pPr>
      <w:r>
        <w:rPr>
          <w:rFonts w:ascii="Times New Roman" w:hAnsi="Times New Roman"/>
          <w:b w:val="false"/>
          <w:i w:val="false"/>
          <w:color w:val="000000"/>
          <w:sz w:val="21"/>
        </w:rPr>
        <w:t>[Filed 8/16/89, Notice 7/12/89—published 9/6/89, effective 10/11/89]</w:t>
      </w:r>
    </w:p>
    <w:p>
      <w:pPr>
        <w:spacing w:before="0" w:after="0"/>
        <w:ind w:left="120"/>
        <w:jc w:val="center"/>
      </w:pPr>
      <w:r>
        <w:rPr>
          <w:rFonts w:ascii="Times New Roman" w:hAnsi="Times New Roman"/>
          <w:b w:val="false"/>
          <w:i w:val="false"/>
          <w:color w:val="000000"/>
          <w:sz w:val="21"/>
        </w:rPr>
        <w:t>[Filed 9/29/89, Notice 8/23/89—published 10/18/89, effective 11/22/89]</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8/3/90, Notice 6/27/90—published 8/22/90, effective 9/26/90]</w:t>
      </w:r>
    </w:p>
    <w:p>
      <w:pPr>
        <w:spacing w:before="0" w:after="0"/>
        <w:ind w:left="120"/>
        <w:jc w:val="center"/>
      </w:pPr>
      <w:r>
        <w:rPr>
          <w:rFonts w:ascii="Times New Roman" w:hAnsi="Times New Roman"/>
          <w:b w:val="false"/>
          <w:i w:val="false"/>
          <w:color w:val="000000"/>
          <w:sz w:val="21"/>
        </w:rPr>
        <w:t>[Filed 9/13/90, Notice 8/8/90—published 10/3/90, effective 11/7/90]</w:t>
      </w:r>
    </w:p>
    <w:p>
      <w:pPr>
        <w:spacing w:before="0" w:after="0"/>
        <w:ind w:left="120"/>
        <w:jc w:val="center"/>
      </w:pPr>
      <w:r>
        <w:rPr>
          <w:rFonts w:ascii="Times New Roman" w:hAnsi="Times New Roman"/>
          <w:b w:val="false"/>
          <w:i w:val="false"/>
          <w:color w:val="000000"/>
          <w:sz w:val="21"/>
        </w:rPr>
        <w:t>[Filed 1/17/91, Notice 12/12/90—published 2/6/91, effective 3/13/91]</w:t>
      </w:r>
    </w:p>
    <w:p>
      <w:pPr>
        <w:spacing w:before="0" w:after="0"/>
        <w:ind w:left="120"/>
        <w:jc w:val="center"/>
      </w:pPr>
      <w:r>
        <w:rPr>
          <w:rFonts w:ascii="Times New Roman" w:hAnsi="Times New Roman"/>
          <w:b w:val="false"/>
          <w:i w:val="false"/>
          <w:color w:val="000000"/>
          <w:sz w:val="21"/>
        </w:rPr>
        <w:t>[Filed 11/7/91, Notice 10/2/91—published 11/27/91, effective 1/1/92]</w:t>
      </w:r>
    </w:p>
    <w:p>
      <w:pPr>
        <w:spacing w:before="0" w:after="0"/>
        <w:ind w:left="120"/>
        <w:jc w:val="center"/>
      </w:pPr>
      <w:r>
        <w:rPr>
          <w:rFonts w:ascii="Times New Roman" w:hAnsi="Times New Roman"/>
          <w:b w:val="false"/>
          <w:i w:val="false"/>
          <w:color w:val="000000"/>
          <w:sz w:val="21"/>
        </w:rPr>
        <w:t>[Filed 1/17/92, Notice 12/11/91—published 2/5/92, effective 3/11/92]</w:t>
      </w:r>
    </w:p>
    <w:p>
      <w:pPr>
        <w:spacing w:before="0" w:after="0"/>
        <w:ind w:left="120"/>
        <w:jc w:val="center"/>
      </w:pPr>
      <w:r>
        <w:rPr>
          <w:rFonts w:ascii="Times New Roman" w:hAnsi="Times New Roman"/>
          <w:b w:val="false"/>
          <w:i w:val="false"/>
          <w:color w:val="000000"/>
          <w:sz w:val="21"/>
        </w:rPr>
        <w:t>[Filed 7/2/92, Notice 5/27/92—published 7/22/92, effective 8/26/92]</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9/23/92, Notice 8/19/92—published 10/14/92, effective 11/18/92]</w:t>
      </w:r>
    </w:p>
    <w:p>
      <w:pPr>
        <w:spacing w:before="0" w:after="0"/>
        <w:ind w:left="120"/>
        <w:jc w:val="center"/>
      </w:pPr>
      <w:r>
        <w:rPr>
          <w:rFonts w:ascii="Times New Roman" w:hAnsi="Times New Roman"/>
          <w:b w:val="false"/>
          <w:i w:val="false"/>
          <w:color w:val="000000"/>
          <w:sz w:val="21"/>
        </w:rPr>
        <w:t>[Filed 4/9/93, Notice 3/3/93—published 4/28/93, effective 6/2/93]</w:t>
      </w:r>
    </w:p>
    <w:p>
      <w:pPr>
        <w:spacing w:before="0" w:after="0"/>
        <w:ind w:left="120"/>
        <w:jc w:val="center"/>
      </w:pPr>
      <w:r>
        <w:rPr>
          <w:rFonts w:ascii="Times New Roman" w:hAnsi="Times New Roman"/>
          <w:b w:val="false"/>
          <w:i w:val="false"/>
          <w:color w:val="000000"/>
          <w:sz w:val="21"/>
        </w:rPr>
        <w:t>[Filed 9/23/94, Notice 8/17/94—published 10/12/94, effective 11/16/94]</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9/19/97, Notice 8/13/97—published 10/8/97, effective 11/12/97]</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5/1/98, Notice 3/25/98—published 5/20/98, effective 6/24/98]</w:t>
      </w:r>
    </w:p>
    <w:p>
      <w:pPr>
        <w:spacing w:before="0" w:after="0"/>
        <w:ind w:left="120"/>
        <w:jc w:val="center"/>
      </w:pPr>
      <w:r>
        <w:rPr>
          <w:rFonts w:ascii="Times New Roman" w:hAnsi="Times New Roman"/>
          <w:b w:val="false"/>
          <w:i w:val="false"/>
          <w:color w:val="000000"/>
          <w:sz w:val="21"/>
        </w:rPr>
        <w:t>[Filed 8/5/98, Notice 7/1/98—published 8/26/98, effective 9/30/98]</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8/16/01, Notice 7/11/01—published 9/5/01, effective 10/10/01]</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3/15/02, Notice 1/23/02—published 4/3/02, effective 5/8/02]</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8/12/04, Notice 7/7/04—published 9/1/04, effective 10/6/04]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emergency 2/25/05—published 3/16/05, effective 2/25/05]</w:t>
      </w:r>
    </w:p>
    <w:p>
      <w:pPr>
        <w:spacing w:before="0" w:after="0"/>
        <w:ind w:left="120"/>
        <w:jc w:val="center"/>
      </w:pPr>
      <w:r>
        <w:rPr>
          <w:rFonts w:ascii="Times New Roman" w:hAnsi="Times New Roman"/>
          <w:b w:val="false"/>
          <w:i w:val="false"/>
          <w:color w:val="000000"/>
          <w:sz w:val="21"/>
        </w:rPr>
        <w:t>[Filed 9/22/05, Notice 8/3/05—published 10/12/05, effective 11/16/05]</w:t>
      </w:r>
    </w:p>
    <w:p>
      <w:pPr>
        <w:spacing w:before="0" w:after="0"/>
        <w:ind w:left="120"/>
        <w:jc w:val="center"/>
      </w:pPr>
      <w:r>
        <w:rPr>
          <w:rFonts w:ascii="Times New Roman" w:hAnsi="Times New Roman"/>
          <w:b w:val="false"/>
          <w:i w:val="false"/>
          <w:color w:val="000000"/>
          <w:sz w:val="21"/>
        </w:rPr>
        <w:t>[Filed 1/11/07, Notice 12/6/06—published 1/31/07, effective 3/7/07]</w:t>
      </w:r>
    </w:p>
    <w:p>
      <w:pPr>
        <w:spacing w:before="0" w:after="0"/>
        <w:ind w:left="120"/>
        <w:jc w:val="center"/>
      </w:pPr>
      <w:r>
        <w:rPr>
          <w:rFonts w:ascii="Times New Roman" w:hAnsi="Times New Roman"/>
          <w:b w:val="false"/>
          <w:i w:val="false"/>
          <w:color w:val="000000"/>
          <w:sz w:val="21"/>
        </w:rPr>
        <w:t>[Filed 10/5/07, Notice 8/15/07—published 10/24/07, effective 11/28/07]</w:t>
      </w:r>
    </w:p>
    <w:p>
      <w:pPr>
        <w:spacing w:before="0" w:after="0"/>
        <w:ind w:left="120"/>
        <w:jc w:val="center"/>
      </w:pPr>
      <w:r>
        <w:rPr>
          <w:rFonts w:ascii="Times New Roman" w:hAnsi="Times New Roman"/>
          <w:b w:val="false"/>
          <w:i w:val="false"/>
          <w:color w:val="000000"/>
          <w:sz w:val="21"/>
        </w:rPr>
        <w:t>[Filed 3/7/08, Notice 1/30/08—published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8589B</w:t>
      </w:r>
      <w:r>
        <w:rPr>
          <w:rFonts w:ascii="Times New Roman" w:hAnsi="Times New Roman"/>
          <w:b w:val="false"/>
          <w:i w:val="false"/>
          <w:color w:val="000000"/>
          <w:sz w:val="21"/>
        </w:rPr>
        <w:t xml:space="preserve"> (Notice ARC 8430B, IAB 12/30/09)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9103B</w:t>
      </w:r>
      <w:r>
        <w:rPr>
          <w:rFonts w:ascii="Times New Roman" w:hAnsi="Times New Roman"/>
          <w:b w:val="false"/>
          <w:i w:val="false"/>
          <w:color w:val="000000"/>
          <w:sz w:val="21"/>
        </w:rPr>
        <w:t xml:space="preserve"> (Notice ARC 8944B, IAB 7/28/10)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[Filed ARC 9821B</w:t>
      </w:r>
      <w:r>
        <w:rPr>
          <w:rFonts w:ascii="Times New Roman" w:hAnsi="Times New Roman"/>
          <w:b w:val="false"/>
          <w:i w:val="false"/>
          <w:color w:val="000000"/>
          <w:sz w:val="21"/>
        </w:rPr>
        <w:t xml:space="preserve"> (Notice ARC 9741B, IAB 9/7/11)</w:t>
      </w:r>
      <w:r>
        <w:rPr>
          <w:rFonts w:ascii="Times New Roman" w:hAnsi="Times New Roman"/>
          <w:b w:val="false"/>
          <w:i w:val="false"/>
          <w:color w:val="000000"/>
          <w:sz w:val="21"/>
        </w:rPr>
        <w:t>, IAB 11/2/11, effective 12/7/11]</w:t>
      </w:r>
      <w:r>
        <w:br/>
      </w:r>
      <w:r>
        <w:rPr>
          <w:rFonts w:ascii="Times New Roman" w:hAnsi="Times New Roman"/>
          <w:b w:val="false"/>
          <w:i w:val="false"/>
          <w:color w:val="000000"/>
          <w:sz w:val="21"/>
        </w:rPr>
        <w:t>[Filed ARC 9820B</w:t>
      </w:r>
      <w:r>
        <w:rPr>
          <w:rFonts w:ascii="Times New Roman" w:hAnsi="Times New Roman"/>
          <w:b w:val="false"/>
          <w:i w:val="false"/>
          <w:color w:val="000000"/>
          <w:sz w:val="21"/>
        </w:rPr>
        <w:t xml:space="preserve"> (Notice ARC 9740B,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0337C</w:t>
      </w:r>
      <w:r>
        <w:rPr>
          <w:rFonts w:ascii="Times New Roman" w:hAnsi="Times New Roman"/>
          <w:b w:val="false"/>
          <w:i w:val="false"/>
          <w:color w:val="000000"/>
          <w:sz w:val="21"/>
        </w:rPr>
        <w:t xml:space="preserve"> (Notice ARC 0232C, IAB 7/25/12)</w:t>
      </w:r>
      <w:r>
        <w:rPr>
          <w:rFonts w:ascii="Times New Roman" w:hAnsi="Times New Roman"/>
          <w:b w:val="false"/>
          <w:i w:val="false"/>
          <w:color w:val="000000"/>
          <w:sz w:val="21"/>
        </w:rPr>
        <w:t>, IAB 9/19/12, effective 10/24/12]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1101C</w:t>
      </w:r>
      <w:r>
        <w:rPr>
          <w:rFonts w:ascii="Times New Roman" w:hAnsi="Times New Roman"/>
          <w:b w:val="false"/>
          <w:i w:val="false"/>
          <w:color w:val="000000"/>
          <w:sz w:val="21"/>
        </w:rPr>
        <w:t xml:space="preserve"> (Notice ARC 0976C,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1303C</w:t>
      </w:r>
      <w:r>
        <w:rPr>
          <w:rFonts w:ascii="Times New Roman" w:hAnsi="Times New Roman"/>
          <w:b w:val="false"/>
          <w:i w:val="false"/>
          <w:color w:val="000000"/>
          <w:sz w:val="21"/>
        </w:rPr>
        <w:t xml:space="preserve"> (Notice ARC 1231C,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3664C</w:t>
      </w:r>
      <w:r>
        <w:rPr>
          <w:rFonts w:ascii="Times New Roman" w:hAnsi="Times New Roman"/>
          <w:b w:val="false"/>
          <w:i w:val="false"/>
          <w:color w:val="000000"/>
          <w:sz w:val="21"/>
        </w:rPr>
        <w:t xml:space="preserve"> (Notice ARC 3542C, IAB 1/3/18)</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4142C</w:t>
      </w:r>
      <w:r>
        <w:rPr>
          <w:rFonts w:ascii="Times New Roman" w:hAnsi="Times New Roman"/>
          <w:b w:val="false"/>
          <w:i w:val="false"/>
          <w:color w:val="000000"/>
          <w:sz w:val="21"/>
        </w:rPr>
        <w:t xml:space="preserve"> (Notice ARC 4022C, IAB 9/26/18)</w:t>
      </w:r>
      <w:r>
        <w:rPr>
          <w:rFonts w:ascii="Times New Roman" w:hAnsi="Times New Roman"/>
          <w:b w:val="false"/>
          <w:i w:val="false"/>
          <w:color w:val="000000"/>
          <w:sz w:val="21"/>
        </w:rPr>
        <w:t>, IAB 11/21/18, effective 12/26/18]</w:t>
      </w:r>
    </w:p>
    <w:p>
      <w:pPr>
        <w:spacing w:before="0" w:after="0"/>
        <w:ind w:left="120"/>
        <w:jc w:val="center"/>
      </w:pPr>
      <w:r>
        <w:rPr>
          <w:rFonts w:ascii="Times New Roman" w:hAnsi="Times New Roman"/>
          <w:b w:val="false"/>
          <w:i w:val="false"/>
          <w:color w:val="000000"/>
          <w:sz w:val="21"/>
        </w:rPr>
        <w:t>[Filed ARC 4517C</w:t>
      </w:r>
      <w:r>
        <w:rPr>
          <w:rFonts w:ascii="Times New Roman" w:hAnsi="Times New Roman"/>
          <w:b w:val="false"/>
          <w:i w:val="false"/>
          <w:color w:val="000000"/>
          <w:sz w:val="21"/>
        </w:rPr>
        <w:t xml:space="preserve"> (Notice ARC 4406C, IAB 4/24/19)</w:t>
      </w:r>
      <w:r>
        <w:rPr>
          <w:rFonts w:ascii="Times New Roman" w:hAnsi="Times New Roman"/>
          <w:b w:val="false"/>
          <w:i w:val="false"/>
          <w:color w:val="000000"/>
          <w:sz w:val="21"/>
        </w:rPr>
        <w:t>, IAB 6/19/19, effective 7/24/19]</w:t>
      </w:r>
    </w:p>
    <w:p>
      <w:pPr>
        <w:spacing w:before="0" w:after="0"/>
        <w:ind w:left="120"/>
        <w:jc w:val="center"/>
      </w:pPr>
      <w:r>
        <w:rPr>
          <w:rFonts w:ascii="Times New Roman" w:hAnsi="Times New Roman"/>
          <w:b w:val="false"/>
          <w:i w:val="false"/>
          <w:color w:val="000000"/>
          <w:sz w:val="21"/>
        </w:rPr>
        <w:t>[Filed ARC 4614C</w:t>
      </w:r>
      <w:r>
        <w:rPr>
          <w:rFonts w:ascii="Times New Roman" w:hAnsi="Times New Roman"/>
          <w:b w:val="false"/>
          <w:i w:val="false"/>
          <w:color w:val="000000"/>
          <w:sz w:val="21"/>
        </w:rPr>
        <w:t xml:space="preserve"> (Notice ARC 4500C, IAB 6/19/19)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5606C</w:t>
      </w:r>
      <w:r>
        <w:rPr>
          <w:rFonts w:ascii="Times New Roman" w:hAnsi="Times New Roman"/>
          <w:b w:val="false"/>
          <w:i w:val="false"/>
          <w:color w:val="000000"/>
          <w:sz w:val="21"/>
        </w:rPr>
        <w:t xml:space="preserve"> (Amended Notice ARC 5503C, IAB 3/10/21; </w:t>
      </w:r>
      <w:r>
        <w:rPr>
          <w:rFonts w:ascii="Times New Roman" w:hAnsi="Times New Roman"/>
          <w:b w:val="false"/>
          <w:i w:val="false"/>
          <w:color w:val="000000"/>
          <w:sz w:val="21"/>
        </w:rPr>
        <w:t>Notice ARC 5399C, IAB 1/27/21)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5733C</w:t>
      </w:r>
      <w:r>
        <w:rPr>
          <w:rFonts w:ascii="Times New Roman" w:hAnsi="Times New Roman"/>
          <w:b w:val="false"/>
          <w:i w:val="false"/>
          <w:color w:val="000000"/>
          <w:sz w:val="21"/>
        </w:rPr>
        <w:t xml:space="preserve"> (Notice ARC 5612C, IAB 5/5/21)</w:t>
      </w:r>
      <w:r>
        <w:rPr>
          <w:rFonts w:ascii="Times New Roman" w:hAnsi="Times New Roman"/>
          <w:b w:val="false"/>
          <w:i w:val="false"/>
          <w:color w:val="000000"/>
          <w:sz w:val="21"/>
        </w:rPr>
        <w:t>, IAB 6/30/21, effective 8/4/21]</w:t>
      </w:r>
    </w:p>
    <w:p>
      <w:pPr>
        <w:spacing w:before="0" w:after="0"/>
        <w:ind w:left="120"/>
        <w:jc w:val="center"/>
      </w:pPr>
      <w:r>
        <w:rPr>
          <w:rFonts w:ascii="Times New Roman" w:hAnsi="Times New Roman"/>
          <w:b w:val="false"/>
          <w:i w:val="false"/>
          <w:color w:val="000000"/>
          <w:sz w:val="21"/>
        </w:rPr>
        <w:t>[Filed Emergency ARC 5817C, IAB 8/11/21, effective 7/13/21]</w:t>
      </w:r>
    </w:p>
    <w:p>
      <w:pPr>
        <w:spacing w:before="0" w:after="0"/>
        <w:ind w:left="120"/>
        <w:jc w:val="center"/>
      </w:pPr>
      <w:r>
        <w:rPr>
          <w:rFonts w:ascii="Times New Roman" w:hAnsi="Times New Roman"/>
          <w:b w:val="false"/>
          <w:i w:val="false"/>
          <w:color w:val="000000"/>
          <w:sz w:val="21"/>
        </w:rPr>
        <w:t>[Filed ARC 5915C</w:t>
      </w:r>
      <w:r>
        <w:rPr>
          <w:rFonts w:ascii="Times New Roman" w:hAnsi="Times New Roman"/>
          <w:b w:val="false"/>
          <w:i w:val="false"/>
          <w:color w:val="000000"/>
          <w:sz w:val="21"/>
        </w:rPr>
        <w:t xml:space="preserve"> (Notice ARC 5790C, IAB 7/28/21)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6902C</w:t>
      </w:r>
      <w:r>
        <w:rPr>
          <w:rFonts w:ascii="Times New Roman" w:hAnsi="Times New Roman"/>
          <w:b w:val="false"/>
          <w:i w:val="false"/>
          <w:color w:val="000000"/>
          <w:sz w:val="21"/>
        </w:rPr>
        <w:t xml:space="preserve"> (Notice ARC 6700C, IAB 11/30/22)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01.502.2.pdf" Type="http://schemas.openxmlformats.org/officeDocument/2006/relationships/hyperlink" Id="rId5"/>
    <Relationship TargetMode="External" Target="https://www.legis.iowa.gov/docs/iac/rule/701.502.13.pdf" Type="http://schemas.openxmlformats.org/officeDocument/2006/relationships/hyperlink" Id="rId6"/>
    <Relationship TargetMode="External" Target="https://www.legis.iowa.gov/docs/iac/rule/701.502.17.pdf" Type="http://schemas.openxmlformats.org/officeDocument/2006/relationships/hyperlink" Id="rId7"/>
    <Relationship TargetMode="External" Target="https://www.legis.iowa.gov/docs/iac/rule/701.502.26.pdf" Type="http://schemas.openxmlformats.org/officeDocument/2006/relationships/hyperlink" Id="rId8"/>
    <Relationship TargetMode="External" Target="https://www.legis.iowa.gov/docs/iac/rule/701.502.14.pdf" Type="http://schemas.openxmlformats.org/officeDocument/2006/relationships/hyperlink" Id="rId9"/>
    <Relationship TargetMode="External" Target="https://www.legis.iowa.gov/docs/iac/rule/701.502.16.pdf" Type="http://schemas.openxmlformats.org/officeDocument/2006/relationships/hyperlink" Id="rId10"/>
    <Relationship TargetMode="External" Target="https://www.legis.iowa.gov/docs/ico/chapter/422.35.pdf" Type="http://schemas.openxmlformats.org/officeDocument/2006/relationships/hyperlink" Id="rId11"/>
    <Relationship TargetMode="External" Target="https://www.legis.iowa.gov/docs/iac/rule/701.502.2.pdf" Type="http://schemas.openxmlformats.org/officeDocument/2006/relationships/hyperlink" Id="rId12"/>
    <Relationship TargetMode="External" Target="https://www.legis.iowa.gov/docs/iac/rule/701.502.2.pdf" Type="http://schemas.openxmlformats.org/officeDocument/2006/relationships/hyperlink" Id="rId13"/>
    <Relationship TargetMode="External" Target="https://www.legis.iowa.gov/docs/iac/rule/701.502.2.pdf" Type="http://schemas.openxmlformats.org/officeDocument/2006/relationships/hyperlink" Id="rId14"/>
    <Relationship TargetMode="External" Target="https://www.legis.iowa.gov/docs/iac/rule/701.502.2.pdf" Type="http://schemas.openxmlformats.org/officeDocument/2006/relationships/hyperlink" Id="rId15"/>
    <Relationship TargetMode="External" Target="https://www.legis.iowa.gov/docs/iac/rule/701.503.5.pdf" Type="http://schemas.openxmlformats.org/officeDocument/2006/relationships/hyperlink" Id="rId16"/>
    <Relationship TargetMode="External" Target="https://www.legis.iowa.gov/docs/iac/rule/701.503.6.pdf" Type="http://schemas.openxmlformats.org/officeDocument/2006/relationships/hyperlink" Id="rId17"/>
    <Relationship TargetMode="External" Target="https://www.legis.iowa.gov/docs/iac/rule/701.503.7.pdf" Type="http://schemas.openxmlformats.org/officeDocument/2006/relationships/hyperlink" Id="rId18"/>
    <Relationship TargetMode="External" Target="https://www.legis.iowa.gov/docs/iac/rule/701.502.2.pdf" Type="http://schemas.openxmlformats.org/officeDocument/2006/relationships/hyperlink" Id="rId19"/>
    <Relationship TargetMode="External" Target="https://www.legis.iowa.gov/docs/iac/rule/701.502.2.pdf" Type="http://schemas.openxmlformats.org/officeDocument/2006/relationships/hyperlink" Id="rId20"/>
    <Relationship TargetMode="External" Target="https://www.legis.iowa.gov/docs/iac/rule/701.502.2.pdf" Type="http://schemas.openxmlformats.org/officeDocument/2006/relationships/hyperlink" Id="rId21"/>
    <Relationship TargetMode="External" Target="https://www.legis.iowa.gov/docs/iac/rule/701.502.2.pdf" Type="http://schemas.openxmlformats.org/officeDocument/2006/relationships/hyperlink" Id="rId22"/>
    <Relationship TargetMode="External" Target="https://www.legis.iowa.gov/docs/ico/chapter/422.35.pdf" Type="http://schemas.openxmlformats.org/officeDocument/2006/relationships/hyperlink" Id="rId23"/>
    <Relationship TargetMode="External" Target="https://www.legis.iowa.gov/docs/ico/chapter/422.35.pdf" Type="http://schemas.openxmlformats.org/officeDocument/2006/relationships/hyperlink" Id="rId24"/>
    <Relationship TargetMode="External" Target="https://www.legis.iowa.gov/docs/ico/chapter/422.37.pdf" Type="http://schemas.openxmlformats.org/officeDocument/2006/relationships/hyperlink" Id="rId25"/>
    <Relationship TargetMode="External" Target="https://www.legis.iowa.gov/docs/ico/chapter/422.35.pdf" Type="http://schemas.openxmlformats.org/officeDocument/2006/relationships/hyperlink" Id="rId26"/>
    <Relationship TargetMode="External" Target="https://www.legis.iowa.gov/docs/iac/rule/701.302.2.pdf" Type="http://schemas.openxmlformats.org/officeDocument/2006/relationships/hyperlink" Id="rId27"/>
    <Relationship TargetMode="External" Target="https://www.legis.iowa.gov/docs/ico/chapter/422.35.pdf" Type="http://schemas.openxmlformats.org/officeDocument/2006/relationships/hyperlink" Id="rId28"/>
    <Relationship TargetMode="External" Target="https://www.legis.iowa.gov/docs/iac/rule/701.302.3.pdf" Type="http://schemas.openxmlformats.org/officeDocument/2006/relationships/hyperlink" Id="rId29"/>
    <Relationship TargetMode="External" Target="https://www.legis.iowa.gov/docs/iac/rule/701.302.3.pdf" Type="http://schemas.openxmlformats.org/officeDocument/2006/relationships/hyperlink" Id="rId30"/>
    <Relationship TargetMode="External" Target="https://www.legis.iowa.gov/docs/iac/rule/701.302.52.pdf" Type="http://schemas.openxmlformats.org/officeDocument/2006/relationships/hyperlink" Id="rId31"/>
    <Relationship TargetMode="External" Target="https://www.legis.iowa.gov/docs/ico/chapter/422.35.pdf" Type="http://schemas.openxmlformats.org/officeDocument/2006/relationships/hyperlink" Id="rId32"/>
    <Relationship TargetMode="External" Target="https://www.legis.iowa.gov/docs/ico/chapter/422.35.pdf" Type="http://schemas.openxmlformats.org/officeDocument/2006/relationships/hyperlink" Id="rId33"/>
    <Relationship TargetMode="External" Target="https://www.legis.iowa.gov/docs/iac/rule/701.501.37.pdf" Type="http://schemas.openxmlformats.org/officeDocument/2006/relationships/hyperlink" Id="rId34"/>
    <Relationship TargetMode="External" Target="https://www.legis.iowa.gov/docs/iac/rule/701.501.38.pdf" Type="http://schemas.openxmlformats.org/officeDocument/2006/relationships/hyperlink" Id="rId35"/>
    <Relationship TargetMode="External" Target="https://www.legis.iowa.gov/docs/iac/rule/701.501.23.pdf" Type="http://schemas.openxmlformats.org/officeDocument/2006/relationships/hyperlink" Id="rId36"/>
    <Relationship TargetMode="External" Target="https://www.legis.iowa.gov/docs/iac/rule/701.501.45.pdf" Type="http://schemas.openxmlformats.org/officeDocument/2006/relationships/hyperlink" Id="rId37"/>
    <Relationship TargetMode="External" Target="https://www.legis.iowa.gov/docs/ico/chapter/422.35.pdf" Type="http://schemas.openxmlformats.org/officeDocument/2006/relationships/hyperlink" Id="rId38"/>
    <Relationship TargetMode="External" Target="https://www.legis.iowa.gov/docs/ico/chapter/422.35.pdf" Type="http://schemas.openxmlformats.org/officeDocument/2006/relationships/hyperlink" Id="rId39"/>
    <Relationship TargetMode="External" Target="https://www.legis.iowa.gov/docs/ico/chapter/422.35.pdf" Type="http://schemas.openxmlformats.org/officeDocument/2006/relationships/hyperlink" Id="rId40"/>
    <Relationship TargetMode="External" Target="https://www.legis.iowa.gov/docs/iac/rule/701.502.11.pdf" Type="http://schemas.openxmlformats.org/officeDocument/2006/relationships/hyperlink" Id="rId41"/>
    <Relationship TargetMode="External" Target="https://www.legis.iowa.gov/docs/ico/chapter/906.pdf" Type="http://schemas.openxmlformats.org/officeDocument/2006/relationships/hyperlink" Id="rId42"/>
    <Relationship TargetMode="External" Target="https://www.legis.iowa.gov/docs/ico/chapter/907.pdf" Type="http://schemas.openxmlformats.org/officeDocument/2006/relationships/hyperlink" Id="rId43"/>
    <Relationship TargetMode="External" Target="https://www.legis.iowa.gov/docs/ico/chapter/904.pdf" Type="http://schemas.openxmlformats.org/officeDocument/2006/relationships/hyperlink" Id="rId44"/>
    <Relationship TargetMode="External" Target="https://www.legis.iowa.gov/docs/ico/chapter/913.pdf" Type="http://schemas.openxmlformats.org/officeDocument/2006/relationships/hyperlink" Id="rId45"/>
    <Relationship TargetMode="External" Target="https://www.legis.iowa.gov/docs/iac/rule/701.502.11.pdf" Type="http://schemas.openxmlformats.org/officeDocument/2006/relationships/hyperlink" Id="rId46"/>
    <Relationship TargetMode="External" Target="https://www.legis.iowa.gov/docs/ico/chapter/906.pdf" Type="http://schemas.openxmlformats.org/officeDocument/2006/relationships/hyperlink" Id="rId47"/>
    <Relationship TargetMode="External" Target="https://www.legis.iowa.gov/docs/ico/chapter/907.pdf" Type="http://schemas.openxmlformats.org/officeDocument/2006/relationships/hyperlink" Id="rId48"/>
    <Relationship TargetMode="External" Target="https://www.legis.iowa.gov/docs/ico/chapter/904.pdf" Type="http://schemas.openxmlformats.org/officeDocument/2006/relationships/hyperlink" Id="rId49"/>
    <Relationship TargetMode="External" Target="https://www.legis.iowa.gov/docs/ico/chapter/907A.1.pdf" Type="http://schemas.openxmlformats.org/officeDocument/2006/relationships/hyperlink" Id="rId50"/>
    <Relationship TargetMode="External" Target="https://www.legis.iowa.gov/docs/ico/chapter/907A.1.pdf" Type="http://schemas.openxmlformats.org/officeDocument/2006/relationships/hyperlink" Id="rId51"/>
    <Relationship TargetMode="External" Target="https://www.legis.iowa.gov/docs/ico/chapter/907B.pdf" Type="http://schemas.openxmlformats.org/officeDocument/2006/relationships/hyperlink" Id="rId52"/>
    <Relationship TargetMode="External" Target="https://www.legis.iowa.gov/docs/iac/rule/701.502.11.pdf" Type="http://schemas.openxmlformats.org/officeDocument/2006/relationships/hyperlink" Id="rId53"/>
    <Relationship TargetMode="External" Target="https://www.legis.iowa.gov/docs/ico/chapter/422.35.pdf" Type="http://schemas.openxmlformats.org/officeDocument/2006/relationships/hyperlink" Id="rId54"/>
    <Relationship TargetMode="External" Target="https://www.legis.iowa.gov/docs/ico/chapter/422.35.pdf" Type="http://schemas.openxmlformats.org/officeDocument/2006/relationships/hyperlink" Id="rId55"/>
    <Relationship TargetMode="External" Target="https://www.legis.iowa.gov/docs/iac/rule/701.501.3.pdf" Type="http://schemas.openxmlformats.org/officeDocument/2006/relationships/hyperlink" Id="rId56"/>
    <Relationship TargetMode="External" Target="https://www.legis.iowa.gov/docs/iac/rule/701.502.12.pdf" Type="http://schemas.openxmlformats.org/officeDocument/2006/relationships/hyperlink" Id="rId57"/>
    <Relationship TargetMode="External" Target="https://www.legis.iowa.gov/docs/ico/chapter/422.35.pdf" Type="http://schemas.openxmlformats.org/officeDocument/2006/relationships/hyperlink" Id="rId58"/>
    <Relationship TargetMode="External" Target="https://www.legis.iowa.gov/docs/ico/chapter/422.35.pdf" Type="http://schemas.openxmlformats.org/officeDocument/2006/relationships/hyperlink" Id="rId59"/>
    <Relationship TargetMode="External" Target="https://www.legis.iowa.gov/docs/ico/chapter/422.35.pdf" Type="http://schemas.openxmlformats.org/officeDocument/2006/relationships/hyperlink" Id="rId60"/>
    <Relationship TargetMode="External" Target="https://www.legis.iowa.gov/docs/iac/rule/701.501.1.pdf" Type="http://schemas.openxmlformats.org/officeDocument/2006/relationships/hyperlink" Id="rId61"/>
    <Relationship TargetMode="External" Target="https://www.legis.iowa.gov/docs/ico/chapter/422.34.pdf" Type="http://schemas.openxmlformats.org/officeDocument/2006/relationships/hyperlink" Id="rId62"/>
    <Relationship TargetMode="External" Target="https://www.legis.iowa.gov/docs/iac/rule/701.502.15.pdf" Type="http://schemas.openxmlformats.org/officeDocument/2006/relationships/hyperlink" Id="rId63"/>
    <Relationship TargetMode="External" Target="https://www.legis.iowa.gov/docs/ico/chapter/422.21.pdf" Type="http://schemas.openxmlformats.org/officeDocument/2006/relationships/hyperlink" Id="rId64"/>
    <Relationship TargetMode="External" Target="https://www.legis.iowa.gov/docs/iac/rule/701.502.15.pdf" Type="http://schemas.openxmlformats.org/officeDocument/2006/relationships/hyperlink" Id="rId65"/>
    <Relationship TargetMode="External" Target="https://www.legis.iowa.gov/docs/iac/rule/701.502.15.pdf" Type="http://schemas.openxmlformats.org/officeDocument/2006/relationships/hyperlink" Id="rId66"/>
    <Relationship TargetMode="External" Target="https://www.legis.iowa.gov/docs/ico/chapter/422.37.pdf" Type="http://schemas.openxmlformats.org/officeDocument/2006/relationships/hyperlink" Id="rId67"/>
    <Relationship TargetMode="External" Target="https://www.legis.iowa.gov/docs/ico/chapter/422.34.pdf" Type="http://schemas.openxmlformats.org/officeDocument/2006/relationships/hyperlink" Id="rId68"/>
    <Relationship TargetMode="External" Target="https://www.legis.iowa.gov/docs/iac/rule/701.502.15.pdf" Type="http://schemas.openxmlformats.org/officeDocument/2006/relationships/hyperlink" Id="rId69"/>
    <Relationship TargetMode="External" Target="https://www.legis.iowa.gov/docs/iac/rule/701.502.15.pdf" Type="http://schemas.openxmlformats.org/officeDocument/2006/relationships/hyperlink" Id="rId70"/>
    <Relationship TargetMode="External" Target="https://www.legis.iowa.gov/docs/iac/rule/701.502.15.pdf" Type="http://schemas.openxmlformats.org/officeDocument/2006/relationships/hyperlink" Id="rId71"/>
    <Relationship TargetMode="External" Target="https://www.legis.iowa.gov/docs/iac/rule/701.53.12.pdf" Type="http://schemas.openxmlformats.org/officeDocument/2006/relationships/hyperlink" Id="rId72"/>
    <Relationship TargetMode="External" Target="https://www.legis.iowa.gov/docs/iac/rule/701.502.12.pdf" Type="http://schemas.openxmlformats.org/officeDocument/2006/relationships/hyperlink" Id="rId73"/>
    <Relationship TargetMode="External" Target="https://www.legis.iowa.gov/docs/ico/chapter/422.33.pdf" Type="http://schemas.openxmlformats.org/officeDocument/2006/relationships/hyperlink" Id="rId74"/>
    <Relationship TargetMode="External" Target="https://www.legis.iowa.gov/docs/iac/rule/701.503.2.pdf" Type="http://schemas.openxmlformats.org/officeDocument/2006/relationships/hyperlink" Id="rId75"/>
    <Relationship TargetMode="External" Target="https://www.legis.iowa.gov/docs/iac/rule/701.503.8.pdf" Type="http://schemas.openxmlformats.org/officeDocument/2006/relationships/hyperlink" Id="rId76"/>
    <Relationship TargetMode="External" Target="https://www.legis.iowa.gov/docs/iac/chapter/701.276.pdf" Type="http://schemas.openxmlformats.org/officeDocument/2006/relationships/hyperlink" Id="rId77"/>
    <Relationship TargetMode="External" Target="https://www.legis.iowa.gov/docs/ico/chapter/29C.24.pdf" Type="http://schemas.openxmlformats.org/officeDocument/2006/relationships/hyperlink" Id="rId78"/>
    <Relationship TargetMode="External" Target="https://www.legis.iowa.gov/docs/iac/rule/701.502.15.pdf" Type="http://schemas.openxmlformats.org/officeDocument/2006/relationships/hyperlink" Id="rId79"/>
    <Relationship TargetMode="External" Target="https://www.legis.iowa.gov/docs/ico/chapter/422.pdf" Type="http://schemas.openxmlformats.org/officeDocument/2006/relationships/hyperlink" Id="rId80"/>
    <Relationship TargetMode="External" Target="https://www.legis.iowa.gov/docs/iac/rule/701.502.15.pdf" Type="http://schemas.openxmlformats.org/officeDocument/2006/relationships/hyperlink" Id="rId81"/>
    <Relationship TargetMode="External" Target="https://www.legis.iowa.gov/docs/iac/rule/701.502.15.pdf" Type="http://schemas.openxmlformats.org/officeDocument/2006/relationships/hyperlink" Id="rId82"/>
    <Relationship TargetMode="External" Target="https://www.legis.iowa.gov/docs/ico/chapter/422.34.pdf" Type="http://schemas.openxmlformats.org/officeDocument/2006/relationships/hyperlink" Id="rId83"/>
    <Relationship TargetMode="External" Target="https://www.legis.iowa.gov/docs/iac/rule/701.502.15.pdf" Type="http://schemas.openxmlformats.org/officeDocument/2006/relationships/hyperlink" Id="rId84"/>
    <Relationship TargetMode="External" Target="https://www.legis.iowa.gov/docs/iac/rule/701.502.15.pdf" Type="http://schemas.openxmlformats.org/officeDocument/2006/relationships/hyperlink" Id="rId85"/>
    <Relationship TargetMode="External" Target="https://www.legis.iowa.gov/docs/iac/rule/701.502.15.pdf" Type="http://schemas.openxmlformats.org/officeDocument/2006/relationships/hyperlink" Id="rId86"/>
    <Relationship TargetMode="External" Target="https://www.legis.iowa.gov/docs/iac/rule/701.502.15.pdf" Type="http://schemas.openxmlformats.org/officeDocument/2006/relationships/hyperlink" Id="rId87"/>
    <Relationship TargetMode="External" Target="https://www.legis.iowa.gov/docs/ico/chapter/422.35.pdf" Type="http://schemas.openxmlformats.org/officeDocument/2006/relationships/hyperlink" Id="rId88"/>
    <Relationship TargetMode="External" Target="https://www.legis.iowa.gov/docs/ico/chapter/422.37.pdf" Type="http://schemas.openxmlformats.org/officeDocument/2006/relationships/hyperlink" Id="rId89"/>
    <Relationship TargetMode="External" Target="https://www.legis.iowa.gov/docs/ico/chapter/422.35.pdf" Type="http://schemas.openxmlformats.org/officeDocument/2006/relationships/hyperlink" Id="rId90"/>
    <Relationship TargetMode="External" Target="https://www.legis.iowa.gov/docs/ico/chapter/427.1.pdf" Type="http://schemas.openxmlformats.org/officeDocument/2006/relationships/hyperlink" Id="rId91"/>
    <Relationship TargetMode="External" Target="https://www.legis.iowa.gov/docs/ico/chapter/422.35.pdf" Type="http://schemas.openxmlformats.org/officeDocument/2006/relationships/hyperlink" Id="rId92"/>
    <Relationship TargetMode="External" Target="https://www.legis.iowa.gov/docs/ico/chapter/321.124.pdf" Type="http://schemas.openxmlformats.org/officeDocument/2006/relationships/hyperlink" Id="rId93"/>
    <Relationship TargetMode="External" Target="https://www.legis.iowa.gov/docs/ico/chapter/422.35.pdf" Type="http://schemas.openxmlformats.org/officeDocument/2006/relationships/hyperlink" Id="rId94"/>
    <Relationship TargetMode="External" Target="https://www.legis.iowa.gov/docs/ico/chapter/422.35.pdf" Type="http://schemas.openxmlformats.org/officeDocument/2006/relationships/hyperlink" Id="rId95"/>
    <Relationship TargetMode="External" Target="https://www.legis.iowa.gov/docs/ico/chapter/422.35.pdf" Type="http://schemas.openxmlformats.org/officeDocument/2006/relationships/hyperlink" Id="rId96"/>
    <Relationship TargetMode="External" Target="https://www.legis.iowa.gov/docs/ico/chapter/12D.pdf" Type="http://schemas.openxmlformats.org/officeDocument/2006/relationships/hyperlink" Id="rId97"/>
    <Relationship TargetMode="External" Target="https://www.legis.iowa.gov/docs/ico/chapter/422.35.pdf" Type="http://schemas.openxmlformats.org/officeDocument/2006/relationships/hyperlink" Id="rId98"/>
    <Relationship TargetMode="External" Target="https://www.legis.iowa.gov/docs/iac/rule/701.302.60.pdf" Type="http://schemas.openxmlformats.org/officeDocument/2006/relationships/hyperlink" Id="rId99"/>
    <Relationship TargetMode="External" Target="https://www.legis.iowa.gov/docs/iac/rule/701.502.22.pdf" Type="http://schemas.openxmlformats.org/officeDocument/2006/relationships/hyperlink" Id="rId100"/>
    <Relationship TargetMode="External" Target="https://www.legis.iowa.gov/docs/ico/chapter/422.35.pdf" Type="http://schemas.openxmlformats.org/officeDocument/2006/relationships/hyperlink" Id="rId101"/>
    <Relationship TargetMode="External" Target="https://www.legis.iowa.gov/docs/iac/rule/701.302.65.pdf" Type="http://schemas.openxmlformats.org/officeDocument/2006/relationships/hyperlink" Id="rId102"/>
    <Relationship TargetMode="External" Target="https://www.legis.iowa.gov/docs/iac/rule/701.602.24.pdf" Type="http://schemas.openxmlformats.org/officeDocument/2006/relationships/hyperlink" Id="rId103"/>
    <Relationship TargetMode="External" Target="https://www.legis.iowa.gov/docs/iac/rule/701.502.23.pdf" Type="http://schemas.openxmlformats.org/officeDocument/2006/relationships/hyperlink" Id="rId104"/>
    <Relationship TargetMode="External" Target="https://www.legis.iowa.gov/docs/iac/rule/701.502.23.pdf" Type="http://schemas.openxmlformats.org/officeDocument/2006/relationships/hyperlink" Id="rId105"/>
    <Relationship TargetMode="External" Target="https://www.legis.iowa.gov/docs/iac/rule/701.502.23.pdf" Type="http://schemas.openxmlformats.org/officeDocument/2006/relationships/hyperlink" Id="rId106"/>
    <Relationship TargetMode="External" Target="https://www.legis.iowa.gov/docs/iac/rule/701.502.23.pdf" Type="http://schemas.openxmlformats.org/officeDocument/2006/relationships/hyperlink" Id="rId107"/>
    <Relationship TargetMode="External" Target="https://www.legis.iowa.gov/docs/iac/rule/701.302.65.pdf" Type="http://schemas.openxmlformats.org/officeDocument/2006/relationships/hyperlink" Id="rId108"/>
    <Relationship TargetMode="External" Target="https://www.legis.iowa.gov/docs/iac/rule/701.502.23.pdf" Type="http://schemas.openxmlformats.org/officeDocument/2006/relationships/hyperlink" Id="rId109"/>
    <Relationship TargetMode="External" Target="https://www.legis.iowa.gov/docs/iac/rule/701.502.23.pdf" Type="http://schemas.openxmlformats.org/officeDocument/2006/relationships/hyperlink" Id="rId110"/>
    <Relationship TargetMode="External" Target="https://www.legis.iowa.gov/docs/iac/rule/701.502.23.pdf" Type="http://schemas.openxmlformats.org/officeDocument/2006/relationships/hyperlink" Id="rId111"/>
    <Relationship TargetMode="External" Target="https://www.legis.iowa.gov/docs/iac/rule/701.502.23.pdf" Type="http://schemas.openxmlformats.org/officeDocument/2006/relationships/hyperlink" Id="rId112"/>
    <Relationship TargetMode="External" Target="https://www.legis.iowa.gov/docs/iac/rule/701.502.23.pdf" Type="http://schemas.openxmlformats.org/officeDocument/2006/relationships/hyperlink" Id="rId113"/>
    <Relationship TargetMode="External" Target="https://www.legis.iowa.gov/docs/iac/rule/701.302.65.pdf" Type="http://schemas.openxmlformats.org/officeDocument/2006/relationships/hyperlink" Id="rId114"/>
    <Relationship TargetMode="External" Target="https://www.legis.iowa.gov/docs/iac/rule/701.602.24.pdf" Type="http://schemas.openxmlformats.org/officeDocument/2006/relationships/hyperlink" Id="rId115"/>
    <Relationship TargetMode="External" Target="https://www.legis.iowa.gov/docs/iac/rule/701.502.23.pdf" Type="http://schemas.openxmlformats.org/officeDocument/2006/relationships/hyperlink" Id="rId116"/>
    <Relationship TargetMode="External" Target="https://www.legis.iowa.gov/docs/iac/rule/701.502.23.pdf" Type="http://schemas.openxmlformats.org/officeDocument/2006/relationships/hyperlink" Id="rId117"/>
    <Relationship TargetMode="External" Target="https://www.legis.iowa.gov/docs/iac/rule/701.502.23.pdf" Type="http://schemas.openxmlformats.org/officeDocument/2006/relationships/hyperlink" Id="rId118"/>
    <Relationship TargetMode="External" Target="https://www.legis.iowa.gov/docs/ico/chapter/422.35.pdf" Type="http://schemas.openxmlformats.org/officeDocument/2006/relationships/hyperlink" Id="rId119"/>
    <Relationship TargetMode="External" Target="https://www.legis.iowa.gov/docs/iac/rule/701.502.24.pdf" Type="http://schemas.openxmlformats.org/officeDocument/2006/relationships/hyperlink" Id="rId120"/>
    <Relationship TargetMode="External" Target="https://www.legis.iowa.gov/docs/ico/chapter/422.35.pdf" Type="http://schemas.openxmlformats.org/officeDocument/2006/relationships/hyperlink" Id="rId121"/>
    <Relationship TargetMode="External" Target="https://www.legis.iowa.gov/docs/iac/rule/701.501.34.pdf" Type="http://schemas.openxmlformats.org/officeDocument/2006/relationships/hyperlink" Id="rId122"/>
    <Relationship TargetMode="External" Target="https://www.legis.iowa.gov/docs/ico/chapter/422.32.pdf" Type="http://schemas.openxmlformats.org/officeDocument/2006/relationships/hyperlink" Id="rId123"/>
    <Relationship TargetMode="External" Target="https://www.legis.iowa.gov/docs/iac/rule/701.501.34.pdf" Type="http://schemas.openxmlformats.org/officeDocument/2006/relationships/hyperlink" Id="rId124"/>
    <Relationship TargetMode="External" Target="https://www.legis.iowa.gov/docs/iac/rule/701.502.25.pdf" Type="http://schemas.openxmlformats.org/officeDocument/2006/relationships/hyperlink" Id="rId125"/>
    <Relationship TargetMode="External" Target="https://www.legis.iowa.gov/docs/ico/chapter/422.35.pdf" Type="http://schemas.openxmlformats.org/officeDocument/2006/relationships/hyperlink" Id="rId126"/>
    <Relationship TargetMode="External" Target="https://www.legis.iowa.gov/docs/iac/rule/701.277.1.pdf" Type="http://schemas.openxmlformats.org/officeDocument/2006/relationships/hyperlink" Id="rId127"/>
    <Relationship TargetMode="External" Target="https://www.legis.iowa.gov/docs/ico/chapter/422.35.pdf" Type="http://schemas.openxmlformats.org/officeDocument/2006/relationships/hyperlink" Id="rId128"/>
    <Relationship TargetMode="External" Target="https://www.legis.iowa.gov/docs/iac/rule/701.502.27.pdf" Type="http://schemas.openxmlformats.org/officeDocument/2006/relationships/hyperlink" Id="rId129"/>
    <Relationship TargetMode="External" Target="https://www.legis.iowa.gov/docs/iac/rule/701.502.27.pdf" Type="http://schemas.openxmlformats.org/officeDocument/2006/relationships/hyperlink" Id="rId130"/>
    <Relationship TargetMode="External" Target="https://www.legis.iowa.gov/docs/iac/rule/701.502.22.pdf" Type="http://schemas.openxmlformats.org/officeDocument/2006/relationships/hyperlink" Id="rId131"/>
    <Relationship TargetMode="External" Target="https://www.legis.iowa.gov/docs/iac/rule/701.502.23.pdf" Type="http://schemas.openxmlformats.org/officeDocument/2006/relationships/hyperlink" Id="rId132"/>
    <Relationship TargetMode="External" Target="https://www.legis.iowa.gov/docs/iac/rule/701.502.23.pdf" Type="http://schemas.openxmlformats.org/officeDocument/2006/relationships/hyperlink" Id="rId133"/>
    <Relationship TargetMode="External" Target="https://www.legis.iowa.gov/docs/iac/rule/701.502.23.pdf" Type="http://schemas.openxmlformats.org/officeDocument/2006/relationships/hyperlink" Id="rId134"/>
    <Relationship TargetMode="External" Target="https://www.legis.iowa.gov/docs/iac/rule/701.502.23.pdf" Type="http://schemas.openxmlformats.org/officeDocument/2006/relationships/hyperlink" Id="rId135"/>
    <Relationship TargetMode="External" Target="https://www.legis.iowa.gov/docs/ico/chapter/422.35.pdf" Type="http://schemas.openxmlformats.org/officeDocument/2006/relationships/hyperlink" Id="rId136"/>
    <Relationship TargetMode="External" Target="https://www.legis.iowa.gov/docs/ico/chapter/8B.1.pdf" Type="http://schemas.openxmlformats.org/officeDocument/2006/relationships/hyperlink" Id="rId137"/>
    <Relationship TargetMode="External" Target="https://www.legis.iowa.gov/docs/ico/chapter/422.35.pdf" Type="http://schemas.openxmlformats.org/officeDocument/2006/relationships/hyperlink" Id="rId138"/>
    <Relationship TargetMode="External" Target="https://www.legis.iowa.gov/docs/iac/rule/701.502.29.pdf" Type="http://schemas.openxmlformats.org/officeDocument/2006/relationships/hyperlink" Id="rId139"/>
    <Relationship TargetMode="External" Target="https://www.legis.iowa.gov/docs/iac/rule/701.502.29.pdf" Type="http://schemas.openxmlformats.org/officeDocument/2006/relationships/hyperlink" Id="rId140"/>
    <Relationship TargetMode="External" Target="https://www.legis.iowa.gov/docs/iac/rule/701.502.29.pdf" Type="http://schemas.openxmlformats.org/officeDocument/2006/relationships/hyperlink" Id="rId141"/>
    <Relationship TargetMode="External" Target="https://www.legis.iowa.gov/docs/iac/rule/701.502.29.pdf" Type="http://schemas.openxmlformats.org/officeDocument/2006/relationships/hyperlink" Id="rId142"/>
    <Relationship TargetMode="External" Target="https://www.legis.iowa.gov/docs/iac/rule/701.302.85.pdf" Type="http://schemas.openxmlformats.org/officeDocument/2006/relationships/hyperlink" Id="rId143"/>
    <Relationship TargetMode="External" Target="https://www.legis.iowa.gov/docs/iac/rule/701.502.29.pdf" Type="http://schemas.openxmlformats.org/officeDocument/2006/relationships/hyperlink" Id="rId144"/>
    <Relationship TargetMode="External" Target="https://www.legis.iowa.gov/docs/iac/rule/701.502.29.pdf" Type="http://schemas.openxmlformats.org/officeDocument/2006/relationships/hyperlink" Id="rId145"/>
    <Relationship TargetMode="External" Target="https://www.legis.iowa.gov/docs/iac/rule/701.502.29.pdf" Type="http://schemas.openxmlformats.org/officeDocument/2006/relationships/hyperlink" Id="rId146"/>
    <Relationship TargetMode="External" Target="https://www.legis.iowa.gov/docs/iac/rule/701.502.29.pdf" Type="http://schemas.openxmlformats.org/officeDocument/2006/relationships/hyperlink" Id="rId147"/>
    <Relationship TargetMode="External" Target="https://www.legis.iowa.gov/docs/iac/rule/701.502.29.pdf" Type="http://schemas.openxmlformats.org/officeDocument/2006/relationships/hyperlink" Id="rId148"/>
    <Relationship TargetMode="External" Target="https://www.legis.iowa.gov/docs/iac/rule/701.502.29.pdf" Type="http://schemas.openxmlformats.org/officeDocument/2006/relationships/hyperlink" Id="rId149"/>
    <Relationship TargetMode="External" Target="https://www.legis.iowa.gov/docs/iac/rule/701.502.29.pdf" Type="http://schemas.openxmlformats.org/officeDocument/2006/relationships/hyperlink" Id="rId150"/>
    <Relationship TargetMode="External" Target="https://www.legis.iowa.gov/docs/iac/rule/701.502.29.pdf" Type="http://schemas.openxmlformats.org/officeDocument/2006/relationships/hyperlink" Id="rId151"/>
    <Relationship TargetMode="External" Target="https://www.legis.iowa.gov/docs/iac/rule/701.502.15.pdf" Type="http://schemas.openxmlformats.org/officeDocument/2006/relationships/hyperlink" Id="rId152"/>
    <Relationship TargetMode="External" Target="https://www.legis.iowa.gov/docs/iac/rule/701.302.85.pdf" Type="http://schemas.openxmlformats.org/officeDocument/2006/relationships/hyperlink" Id="rId153"/>
    <Relationship TargetMode="External" Target="https://www.legis.iowa.gov/docs/iac/rule/701.302.85.pdf" Type="http://schemas.openxmlformats.org/officeDocument/2006/relationships/hyperlink" Id="rId154"/>
    <Relationship TargetMode="External" Target="https://www.legis.iowa.gov/docs/ico/chapter/422.35.pdf" Type="http://schemas.openxmlformats.org/officeDocument/2006/relationships/hyperlink" Id="rId155"/>
    <Relationship TargetMode="External" Target="https://www.legis.iowa.gov/docs/ico/chapter/422.7.pdf" Type="http://schemas.openxmlformats.org/officeDocument/2006/relationships/hyperlink" Id="rId156"/>
    <Relationship TargetMode="External" Target="https://www.legis.iowa.gov/docs/ico/chapter/422.7.pdf" Type="http://schemas.openxmlformats.org/officeDocument/2006/relationships/hyperlink" Id="rId157"/>
    <Relationship TargetMode="External" Target="https://www.legis.iowa.gov/docs/iac/rule/701.502.30.pdf" Type="http://schemas.openxmlformats.org/officeDocument/2006/relationships/hyperlink" Id="rId158"/>
    <Relationship TargetMode="External" Target="https://www.legis.iowa.gov/docs/ico/chapter/422.7.pdf" Type="http://schemas.openxmlformats.org/officeDocument/2006/relationships/hyperlink" Id="rId159"/>
    <Relationship TargetMode="External" Target="https://www.legis.iowa.gov/docs/iac/rule/701.502.30.pdf" Type="http://schemas.openxmlformats.org/officeDocument/2006/relationships/hyperlink" Id="rId160"/>
    <Relationship TargetMode="External" Target="https://www.legis.iowa.gov/docs/iac/rule/701.502.30.pdf" Type="http://schemas.openxmlformats.org/officeDocument/2006/relationships/hyperlink" Id="rId161"/>
    <Relationship TargetMode="External" Target="https://www.legis.iowa.gov/docs/ico/chapter/422.7.pdf" Type="http://schemas.openxmlformats.org/officeDocument/2006/relationships/hyperlink" Id="rId1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