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501</w:t>
      </w:r>
    </w:p>
    <w:p>
      <w:pPr>
        <w:spacing w:before="0" w:after="0"/>
        <w:ind w:left="120"/>
        <w:jc w:val="center"/>
      </w:pPr>
      <w:r>
        <w:rPr>
          <w:rFonts w:ascii="Times New Roman" w:hAnsi="Times New Roman"/>
          <w:b w:val="false"/>
          <w:i w:val="false"/>
          <w:color w:val="000000"/>
          <w:sz w:val="21"/>
        </w:rPr>
        <w:t>FILING RETURNS, PAYMENT OF TAX,</w:t>
      </w:r>
      <w:r>
        <w:br/>
      </w:r>
      <w:r>
        <w:rPr>
          <w:rFonts w:ascii="Times New Roman" w:hAnsi="Times New Roman"/>
          <w:b w:val="false"/>
          <w:i w:val="false"/>
          <w:color w:val="000000"/>
          <w:sz w:val="21"/>
        </w:rPr>
        <w:t>PENALTY AND INTEREST, AND TAX CREDITS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52]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701—501.1</w:t>
      </w:r>
      <w:r>
        <w:rPr>
          <w:rFonts w:ascii="Times New Roman" w:hAnsi="Times New Roman"/>
          <w:b/>
          <w:i w:val="false"/>
          <w:color w:val="000000"/>
          <w:sz w:val="22"/>
        </w:rPr>
        <w:t xml:space="preserve">(422) </w:t>
      </w:r>
      <w:r>
        <w:rPr>
          <w:rFonts w:ascii="Times New Roman" w:hAnsi="Times New Roman"/>
          <w:b/>
          <w:i w:val="false"/>
          <w:color w:val="000000"/>
          <w:sz w:val="22"/>
        </w:rPr>
        <w:t xml:space="preserve">Who must file. </w:t>
      </w:r>
      <w:r>
        <w:rPr>
          <w:rFonts w:ascii="Times New Roman" w:hAnsi="Times New Roman"/>
          <w:b w:val="false"/>
          <w:i w:val="false"/>
          <w:color w:val="000000"/>
          <w:sz w:val="22"/>
        </w:rPr>
        <w:t>Every corporation, organized under the laws of Iowa or qualified to do business within this state or doing business within Iowa, regardless of net income, shall file a true and accurate return of its income or loss for the taxable period. The return shall be signed by the president or other duly authorized officer. If the corporation was inactive or not doing business within Iowa, although qualified to do so, during the taxable year, the return must contain a statement to that effect.</w:t>
      </w:r>
    </w:p>
    <w:p>
      <w:pPr>
        <w:spacing w:before="0" w:after="0"/>
        <w:ind w:left="120"/>
        <w:jc w:val="both"/>
      </w:pPr>
      <w:r>
        <w:rPr>
          <w:rFonts w:ascii="Times New Roman" w:hAnsi="Times New Roman"/>
          <w:b w:val="false"/>
          <w:i w:val="false"/>
          <w:color w:val="000000"/>
          <w:sz w:val="22"/>
        </w:rPr>
        <w:t>For tax years beginning on or after January 1, 1989, every corporation organized under the laws of Iowa, doing business within Iowa, or deriving income from sources consisting of real or tangible property located or having a situs within Iowa, shall file a true and accurate return of its income or loss for the taxable period. The return shall be signed by the president or other duly authorized officer.</w:t>
      </w:r>
    </w:p>
    <w:p>
      <w:pPr>
        <w:spacing w:before="0" w:after="0"/>
        <w:ind w:left="120"/>
        <w:jc w:val="both"/>
      </w:pPr>
      <w:r>
        <w:rPr>
          <w:rFonts w:ascii="Times New Roman" w:hAnsi="Times New Roman"/>
          <w:b w:val="false"/>
          <w:i w:val="false"/>
          <w:color w:val="000000"/>
          <w:sz w:val="22"/>
        </w:rPr>
        <w:t>For tax years beginning on or after January 1, 1995, every corporation organized under the laws of Iowa, doing business within Iowa, or deriving income from sources consisting of real, tangible, or intangible property located or having a situs within Iowa, shall file a true and accurate return of its income or loss for the taxable period. The return shall be signed by the president or other duly authorized officer. For tax years beginning on or after January 1, 1999, every corporation doing business within Iowa, or deriving income from sources consisting of real, tangible, or intangible property located or having a situs within Iowa, shall file a true and accurate return of its income or loss for the taxable period. The return shall be signed by the president or other duly authorized officer.</w:t>
      </w:r>
    </w:p>
    <w:p>
      <w:pPr>
        <w:spacing w:before="0" w:after="0"/>
        <w:ind w:left="120"/>
        <w:jc w:val="both"/>
      </w:pPr>
      <w:r>
        <w:rPr>
          <w:rFonts w:ascii="Times New Roman" w:hAnsi="Times New Roman"/>
          <w:b w:val="false"/>
          <w:i w:val="false"/>
          <w:color w:val="000000"/>
          <w:sz w:val="22"/>
        </w:rPr>
        <w:t xml:space="preserve">Political organizations described in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527 which are domiciled in this state and are required to file federal Form 1120POL and pay federal corporation income tax are subject to Iowa corporation income tax to the same extent as they are subject to federal corporation income tax.</w:t>
      </w:r>
    </w:p>
    <w:p>
      <w:pPr>
        <w:spacing w:before="0" w:after="0"/>
        <w:ind w:left="120"/>
        <w:jc w:val="both"/>
      </w:pPr>
      <w:r>
        <w:rPr>
          <w:rFonts w:ascii="Times New Roman" w:hAnsi="Times New Roman"/>
          <w:b w:val="false"/>
          <w:i w:val="false"/>
          <w:color w:val="000000"/>
          <w:sz w:val="22"/>
        </w:rPr>
        <w:t xml:space="preserve">Homeowners associations described in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528 which are domiciled in this state and are required to file federal Form 1120H and pay federal corporation income tax are subject to Iowa corporation income tax to the same extent as they are subject to federal corporation income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Doing business. </w:t>
      </w:r>
      <w:r>
        <w:rPr>
          <w:rFonts w:ascii="Times New Roman" w:hAnsi="Times New Roman"/>
          <w:b w:val="false"/>
          <w:i w:val="false"/>
          <w:color w:val="000000"/>
          <w:sz w:val="22"/>
        </w:rPr>
        <w:t>The term “doing business” is used in a comprehensive sense and includes all activities or any transactions for the purpose of financial or pecuniary gain or profit. Irrespective of the nature of its activities, every corporation organized for profit and carrying out any of the purposes of its organization shall be deemed to be “doing business.” In determining whether a corporation is doing business, it is immaterial whether its activities actually result in a profit or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Representative. </w:t>
      </w:r>
      <w:r>
        <w:rPr>
          <w:rFonts w:ascii="Times New Roman" w:hAnsi="Times New Roman"/>
          <w:b w:val="false"/>
          <w:i w:val="false"/>
          <w:color w:val="000000"/>
          <w:sz w:val="22"/>
        </w:rPr>
        <w:t>A person may be considered a representative even though that person may not be considered an employee for other purposes such as withholding of income tax from commissions.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Tangible property having a situs within this state. </w:t>
      </w:r>
      <w:r>
        <w:rPr>
          <w:rFonts w:ascii="Times New Roman" w:hAnsi="Times New Roman"/>
          <w:b w:val="false"/>
          <w:i w:val="false"/>
          <w:color w:val="000000"/>
          <w:sz w:val="22"/>
        </w:rPr>
        <w:t xml:space="preserve">The term “tangible property having a situs within this state” means that tangible property owned or used by a foreign corporation is habitually present in Iowa or it maintains a fixed and regular route through Iowa sufficient so that Iowa could constitutionally under the 14th Amendment and Commerce Clause of the United States Constitution impose an apportioned ad valorem tax on the property. </w:t>
      </w:r>
      <w:r>
        <w:rPr>
          <w:rFonts w:ascii="Times New Roman" w:hAnsi="Times New Roman"/>
          <w:b w:val="false"/>
          <w:i/>
          <w:color w:val="000000"/>
          <w:sz w:val="22"/>
        </w:rPr>
        <w:t>Central R.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Pennsylvania,</w:t>
      </w:r>
      <w:r>
        <w:rPr>
          <w:rFonts w:ascii="Times New Roman" w:hAnsi="Times New Roman"/>
          <w:b w:val="false"/>
          <w:i w:val="false"/>
          <w:color w:val="000000"/>
          <w:sz w:val="22"/>
        </w:rPr>
        <w:t xml:space="preserve"> 370 U.S. 607, 82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1297, 8 L.Ed.2d (1962); </w:t>
      </w:r>
      <w:r>
        <w:rPr>
          <w:rFonts w:ascii="Times New Roman" w:hAnsi="Times New Roman"/>
          <w:b w:val="false"/>
          <w:i/>
          <w:color w:val="000000"/>
          <w:sz w:val="22"/>
        </w:rPr>
        <w:t>New York Central &amp; H. Railroad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Miller,</w:t>
      </w:r>
      <w:r>
        <w:rPr>
          <w:rFonts w:ascii="Times New Roman" w:hAnsi="Times New Roman"/>
          <w:b w:val="false"/>
          <w:i w:val="false"/>
          <w:color w:val="000000"/>
          <w:sz w:val="22"/>
        </w:rPr>
        <w:t xml:space="preserve"> 202 U.S. 584, 26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714, 50 L.Ed.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1155 (1906); </w:t>
      </w:r>
      <w:r>
        <w:rPr>
          <w:rFonts w:ascii="Times New Roman" w:hAnsi="Times New Roman"/>
          <w:b w:val="false"/>
          <w:i/>
          <w:color w:val="000000"/>
          <w:sz w:val="22"/>
        </w:rPr>
        <w:t>American Refrigerator Transit Company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State Tax Commission,</w:t>
      </w:r>
      <w:r>
        <w:rPr>
          <w:rFonts w:ascii="Times New Roman" w:hAnsi="Times New Roman"/>
          <w:b w:val="false"/>
          <w:i w:val="false"/>
          <w:color w:val="000000"/>
          <w:sz w:val="22"/>
        </w:rPr>
        <w:t xml:space="preserve"> 395 P.2d 127 (Or. 1964); </w:t>
      </w:r>
      <w:r>
        <w:rPr>
          <w:rFonts w:ascii="Times New Roman" w:hAnsi="Times New Roman"/>
          <w:b w:val="false"/>
          <w:i/>
          <w:color w:val="000000"/>
          <w:sz w:val="22"/>
        </w:rPr>
        <w:t>Upper Missouri River Corporation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Board of Review,</w:t>
      </w:r>
      <w:r>
        <w:rPr>
          <w:rFonts w:ascii="Times New Roman" w:hAnsi="Times New Roman"/>
          <w:b w:val="false"/>
          <w:i w:val="false"/>
          <w:color w:val="000000"/>
          <w:sz w:val="22"/>
        </w:rPr>
        <w:t xml:space="preserve"> Woodbury County, 210 N.W.2d 828.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Intangible property located or having a situs within Iowa. </w:t>
      </w:r>
      <w:r>
        <w:rPr>
          <w:rFonts w:ascii="Times New Roman" w:hAnsi="Times New Roman"/>
          <w:b w:val="false"/>
          <w:i w:val="false"/>
          <w:color w:val="000000"/>
          <w:sz w:val="22"/>
        </w:rPr>
        <w:t xml:space="preserve">Intangible property does not have a situs in the physical sense in any particular place. </w:t>
      </w:r>
      <w:r>
        <w:rPr>
          <w:rFonts w:ascii="Times New Roman" w:hAnsi="Times New Roman"/>
          <w:b w:val="false"/>
          <w:i/>
          <w:color w:val="000000"/>
          <w:sz w:val="22"/>
        </w:rPr>
        <w:t>Wheeling Steel Corporation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Fox,</w:t>
      </w:r>
      <w:r>
        <w:rPr>
          <w:rFonts w:ascii="Times New Roman" w:hAnsi="Times New Roman"/>
          <w:b w:val="false"/>
          <w:i w:val="false"/>
          <w:color w:val="000000"/>
          <w:sz w:val="22"/>
        </w:rPr>
        <w:t xml:space="preserve"> 298 U.S. 193, 80 L.Ed.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1143, 56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773 (1936); </w:t>
      </w:r>
      <w:r>
        <w:rPr>
          <w:rFonts w:ascii="Times New Roman" w:hAnsi="Times New Roman"/>
          <w:b w:val="false"/>
          <w:i/>
          <w:color w:val="000000"/>
          <w:sz w:val="22"/>
        </w:rPr>
        <w:t>McNamara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George Engine Company, Inc.,</w:t>
      </w:r>
      <w:r>
        <w:rPr>
          <w:rFonts w:ascii="Times New Roman" w:hAnsi="Times New Roman"/>
          <w:b w:val="false"/>
          <w:i w:val="false"/>
          <w:color w:val="000000"/>
          <w:sz w:val="22"/>
        </w:rPr>
        <w:t xml:space="preserve"> 519 So.2d 217 (La.</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1988). The term “intangible property located or having a situs within Iowa” means generally that the intangible property belongs to a corporation with its commercial domicile in Iowa or, regardless of where the corporation which owns the intangible property has its commercial domicile, the intangible property has become an integral part of some business activity occurring regularly in Iowa. </w:t>
      </w:r>
      <w:r>
        <w:rPr>
          <w:rFonts w:ascii="Times New Roman" w:hAnsi="Times New Roman"/>
          <w:b w:val="false"/>
          <w:i/>
          <w:color w:val="000000"/>
          <w:sz w:val="22"/>
        </w:rPr>
        <w:t>Beidler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South Carolina Tax Commission,</w:t>
      </w:r>
      <w:r>
        <w:rPr>
          <w:rFonts w:ascii="Times New Roman" w:hAnsi="Times New Roman"/>
          <w:b w:val="false"/>
          <w:i w:val="false"/>
          <w:color w:val="000000"/>
          <w:sz w:val="22"/>
        </w:rPr>
        <w:t xml:space="preserve"> 282 U.S. 1, 75 L.Ed.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131, 51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54 (1930); </w:t>
      </w:r>
      <w:r>
        <w:rPr>
          <w:rFonts w:ascii="Times New Roman" w:hAnsi="Times New Roman"/>
          <w:b w:val="false"/>
          <w:i/>
          <w:color w:val="000000"/>
          <w:sz w:val="22"/>
        </w:rPr>
        <w:t>Geoffrey,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South Carolina Tax Commission,</w:t>
      </w:r>
      <w:r>
        <w:rPr>
          <w:rFonts w:ascii="Times New Roman" w:hAnsi="Times New Roman"/>
          <w:b w:val="false"/>
          <w:i w:val="false"/>
          <w:color w:val="000000"/>
          <w:sz w:val="22"/>
        </w:rPr>
        <w:t xml:space="preserve"> 437 S.E.2d 13 (S.C. 1993),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114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550 (1993); </w:t>
      </w:r>
      <w:r>
        <w:rPr>
          <w:rFonts w:ascii="Times New Roman" w:hAnsi="Times New Roman"/>
          <w:b w:val="false"/>
          <w:i/>
          <w:color w:val="000000"/>
          <w:sz w:val="22"/>
        </w:rPr>
        <w:t>Kmart Properties,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Taxation &amp; Revenue Department of New Mexico,</w:t>
      </w:r>
      <w:r>
        <w:rPr>
          <w:rFonts w:ascii="Times New Roman" w:hAnsi="Times New Roman"/>
          <w:b w:val="false"/>
          <w:i w:val="false"/>
          <w:color w:val="000000"/>
          <w:sz w:val="22"/>
        </w:rPr>
        <w:t xml:space="preserve"> 131 P. 3d 27 (N.M. 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2001), rev’d on other issues, 131 P. 3d 22 (N.M. 2005); </w:t>
      </w:r>
      <w:r>
        <w:rPr>
          <w:rFonts w:ascii="Times New Roman" w:hAnsi="Times New Roman"/>
          <w:b w:val="false"/>
          <w:i/>
          <w:color w:val="000000"/>
          <w:sz w:val="22"/>
        </w:rPr>
        <w:t>Secretary, Department of Revenue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Gap (Apparel), Inc.,</w:t>
      </w:r>
      <w:r>
        <w:rPr>
          <w:rFonts w:ascii="Times New Roman" w:hAnsi="Times New Roman"/>
          <w:b w:val="false"/>
          <w:i w:val="false"/>
          <w:color w:val="000000"/>
          <w:sz w:val="22"/>
        </w:rPr>
        <w:t xml:space="preserve"> 886 So.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2d 459 (La.Ct.App.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2004); </w:t>
      </w:r>
      <w:r>
        <w:rPr>
          <w:rFonts w:ascii="Times New Roman" w:hAnsi="Times New Roman"/>
          <w:b w:val="false"/>
          <w:i/>
          <w:color w:val="000000"/>
          <w:sz w:val="22"/>
        </w:rPr>
        <w:t>A &amp; F Trademark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Tolson,</w:t>
      </w:r>
      <w:r>
        <w:rPr>
          <w:rFonts w:ascii="Times New Roman" w:hAnsi="Times New Roman"/>
          <w:b w:val="false"/>
          <w:i w:val="false"/>
          <w:color w:val="000000"/>
          <w:sz w:val="22"/>
        </w:rPr>
        <w:t xml:space="preserve"> 605 S.E. 2d 187 (N.C.App.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2004),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126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353 (2005); </w:t>
      </w:r>
      <w:r>
        <w:rPr>
          <w:rFonts w:ascii="Times New Roman" w:hAnsi="Times New Roman"/>
          <w:b w:val="false"/>
          <w:i/>
          <w:color w:val="000000"/>
          <w:sz w:val="22"/>
        </w:rPr>
        <w:t>Lanco,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Director, Division of Taxation,</w:t>
      </w:r>
      <w:r>
        <w:rPr>
          <w:rFonts w:ascii="Times New Roman" w:hAnsi="Times New Roman"/>
          <w:b w:val="false"/>
          <w:i w:val="false"/>
          <w:color w:val="000000"/>
          <w:sz w:val="22"/>
        </w:rPr>
        <w:t xml:space="preserve"> 879 A.2d 1234 (N.J.Super.A.D. 2005), aff’d, 908 A.2d 176 (N.J. 2006) (per curiam),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127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2974 (June 18, 2007); </w:t>
      </w:r>
      <w:r>
        <w:rPr>
          <w:rFonts w:ascii="Times New Roman" w:hAnsi="Times New Roman"/>
          <w:b w:val="false"/>
          <w:i/>
          <w:color w:val="000000"/>
          <w:sz w:val="22"/>
        </w:rPr>
        <w:t>Geoffrey,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Oklahoma Tax Commission,</w:t>
      </w:r>
      <w:r>
        <w:rPr>
          <w:rFonts w:ascii="Times New Roman" w:hAnsi="Times New Roman"/>
          <w:b w:val="false"/>
          <w:i w:val="false"/>
          <w:color w:val="000000"/>
          <w:sz w:val="22"/>
        </w:rPr>
        <w:t xml:space="preserve"> 132 P. 3d 632 (Okla.</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Civ.</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2005),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(Mar.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20, 2006), as corrected (Apr.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12, 2006); </w:t>
      </w:r>
      <w:r>
        <w:rPr>
          <w:rFonts w:ascii="Times New Roman" w:hAnsi="Times New Roman"/>
          <w:b w:val="false"/>
          <w:i/>
          <w:color w:val="000000"/>
          <w:sz w:val="22"/>
        </w:rPr>
        <w:t>FIA Card Services,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Tax Comm’r,</w:t>
      </w:r>
      <w:r>
        <w:rPr>
          <w:rFonts w:ascii="Times New Roman" w:hAnsi="Times New Roman"/>
          <w:b w:val="false"/>
          <w:i w:val="false"/>
          <w:color w:val="000000"/>
          <w:sz w:val="22"/>
        </w:rPr>
        <w:t xml:space="preserve"> 640 S.E.2d 226 (W. Va.</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2006),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127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2997 (June 18, 2007); </w:t>
      </w:r>
      <w:r>
        <w:rPr>
          <w:rFonts w:ascii="Times New Roman" w:hAnsi="Times New Roman"/>
          <w:b w:val="false"/>
          <w:i/>
          <w:color w:val="000000"/>
          <w:sz w:val="22"/>
        </w:rPr>
        <w:t>Capital One Bank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Commissioner of Revenue,</w:t>
      </w:r>
      <w:r>
        <w:rPr>
          <w:rFonts w:ascii="Times New Roman" w:hAnsi="Times New Roman"/>
          <w:b w:val="false"/>
          <w:i w:val="false"/>
          <w:color w:val="000000"/>
          <w:sz w:val="22"/>
        </w:rPr>
        <w:t xml:space="preserve"> 899 N.E.2d 76 (Mass.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2009); </w:t>
      </w:r>
      <w:r>
        <w:rPr>
          <w:rFonts w:ascii="Times New Roman" w:hAnsi="Times New Roman"/>
          <w:b w:val="false"/>
          <w:i/>
          <w:color w:val="000000"/>
          <w:sz w:val="22"/>
        </w:rPr>
        <w:t>Geoffrey,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Commissioner of Revenue,</w:t>
      </w:r>
      <w:r>
        <w:rPr>
          <w:rFonts w:ascii="Times New Roman" w:hAnsi="Times New Roman"/>
          <w:b w:val="false"/>
          <w:i w:val="false"/>
          <w:color w:val="000000"/>
          <w:sz w:val="22"/>
        </w:rPr>
        <w:t xml:space="preserve"> 899 N.E.2d 87 (Mass.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2009); </w:t>
      </w:r>
      <w:r>
        <w:rPr>
          <w:rFonts w:ascii="Times New Roman" w:hAnsi="Times New Roman"/>
          <w:b w:val="false"/>
          <w:i/>
          <w:color w:val="000000"/>
          <w:sz w:val="22"/>
        </w:rPr>
        <w:t>KFC Corporation v. Iowa Department of Revenue,</w:t>
      </w:r>
      <w:r>
        <w:rPr>
          <w:rFonts w:ascii="Times New Roman" w:hAnsi="Times New Roman"/>
          <w:b w:val="false"/>
          <w:i w:val="false"/>
          <w:color w:val="000000"/>
          <w:sz w:val="22"/>
        </w:rPr>
        <w:t xml:space="preserve"> 792 N.W. 2d 308 (Iowa 2010),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132 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97 (October 3, 2011). The following is a noninclusive list of types of intangible property: copyrights, patents, processes, trademarks, trade names, franchises, contracts, bank deposits including certificates of deposit, repurchase agreements, mortgage loans, consumer loans, business loans, shares of stocks, bonds, licenses, partnership interests including limited partnership interests, leaseholds, money, evidences of an interest in property, evidences of debts such as credit card debt, leases, an undivided interest in a loan, rights-of-way, and interests in trusts.</w:t>
      </w:r>
    </w:p>
    <w:p>
      <w:pPr>
        <w:spacing w:before="0" w:after="0"/>
        <w:ind w:left="120"/>
        <w:jc w:val="both"/>
      </w:pPr>
      <w:r>
        <w:rPr>
          <w:rFonts w:ascii="Times New Roman" w:hAnsi="Times New Roman"/>
          <w:b w:val="false"/>
          <w:i w:val="false"/>
          <w:color w:val="000000"/>
          <w:sz w:val="22"/>
        </w:rPr>
        <w:t>The term also includes every foreign corporation which has acquired a commercial domicile in Iowa and whose property has not acquired a constitutional tax situs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501.1(2)</w:t>
      </w:r>
      <w:r>
        <w:rPr>
          <w:rFonts w:ascii="Times New Roman" w:hAnsi="Times New Roman"/>
          <w:b w:val="false"/>
          <w:i w:val="false"/>
          <w:color w:val="000000"/>
          <w:sz w:val="22"/>
        </w:rPr>
        <w:t> </w:t>
      </w:r>
      <w:r>
        <w:rPr>
          <w:rFonts w:ascii="Times New Roman" w:hAnsi="Times New Roman"/>
          <w:b w:val="false"/>
          <w:i/>
          <w:color w:val="000000"/>
          <w:sz w:val="22"/>
        </w:rPr>
        <w:t xml:space="preserve">Corporate activities not creating taxability. </w:t>
      </w:r>
      <w:r>
        <w:rPr>
          <w:rFonts w:ascii="Times New Roman" w:hAnsi="Times New Roman"/>
          <w:b w:val="false"/>
          <w:i w:val="false"/>
          <w:color w:val="000000"/>
          <w:sz w:val="22"/>
        </w:rPr>
        <w:t xml:space="preserve">Public Law 86-272, </w:t>
      </w:r>
      <w:r>
        <w:rPr>
          <w:rFonts w:ascii="Times New Roman" w:hAnsi="Times New Roman"/>
          <w:b w:val="false"/>
          <w:i w:val="false"/>
          <w:color w:val="000000"/>
          <w:sz w:val="22"/>
        </w:rPr>
        <w:t>15 U.S.C.</w:t>
      </w:r>
      <w:r>
        <w:rPr>
          <w:rFonts w:ascii="Times New Roman" w:hAnsi="Times New Roman"/>
          <w:b w:val="false"/>
          <w:i w:val="false"/>
          <w:color w:val="000000"/>
          <w:sz w:val="22"/>
        </w:rPr>
        <w:t>A., Sections 381-385, in general prohibits any state from imposing an income tax on income derived within the state from interstate commerce if the only business activity within the state consists of the solicitation of orders of tangible personal property by or on behalf of a corporation by its employees or representatives. Such orders must be sent outside the state for approval or rejection and, if approved, must be filled by shipment or delivery from a point outside the state to be within the purview of Public Law 86-272. Public Law 86-272 does not extend to those corporations which sell services, real estate, or intangibles in more than one state or to domestic corporations. For example, Public Law 86-272 does not extend to brokers or manufacturers’ representatives or other persons or entities selling products for another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only activities in Iowa of a foreign corporation selling tangible personal property are those of the type described in the noninclusive listing below, the corporation is protected from the Iowa corporation income tax law by Public Law 86-272.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free distribution by salespersons of product samples, brochures, and catalogues which explain the use of or laud the product,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lease or ownership of motor vehicles for use by salespersons in soliciting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Salespersons’ negotiation of a price for a product, subject to approval or rejection outside the taxing state of such negotiated price and solicited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Demonstration by salesperson, prior to the sale, of how the corporation’s product 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placement of advertising in newspapers, radio, and television.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Delivery of goods to customers by foreign corporation in its own or leased vehicles from a point outside the taxing state. Delivery does not include nonimmune activities, such as picking up damaged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Collection of state or local-option sales taxes or state use taxes from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Audit of inventory levels by salespersons to determine if corporation’s customer needs more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Recruitment, training, evaluation, and management of salespersons pertaining to solicitation of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Salespersons’ intervention/mediation in credit disputes between customers and non-Iowa located corporate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Use of hotel rooms and homes for sales-related meetings pertaining to solicitation of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Salespersons’ assistance to wholesalers in obtaining suitable displays for products at retail stores.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Salespersons’ furnishing of display racks to retailers.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Salespersons’ advice to retailers on the art of displaying goods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Rental of hotel rooms for short-term display of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Mere forwarding of customer questions, concerns, or problems by salespersons to non-Iowa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1996, a foreign corporation will not be considered doing business in this state or deriving income from sources within this state if its only activities within this state are one or more of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Holding meetings of the board of directors or shareholders, or holiday parties, or employee appreciation dinners.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Maintaining bank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Borrowing money, with or without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Utilizing Iowa courts for litigation.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Owning and controlling a subsidiary corporation which is incorporated in or which is transacting business within this state where the holding or parent company has no physical presence in the state as that presence relates to the ownership or control of the subsidiary.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Recruiting personnel where hiring occurs outside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on or after January 1, 1997, a foreign corporation will not be considered doing business in this state or deriving income from sources within this state if its only activities within this state, in addition to the activities listed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above, are training its employees or educating its employees, or using facilities in this state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2006, a foreign corporation will not be considered to be doing business in Iowa or deriving income from sources within Iowa if its only activities within Iowa, in addition to the activities listed in paragraphs “b” and “c” of this subrule, are utilizing a distribution facility in Iowa, owning or leasing property at a distribution facility in Iowa, or selling property shipped or distributed from a distribution facility in Iowa.</w:t>
      </w:r>
    </w:p>
    <w:p>
      <w:pPr>
        <w:spacing w:before="0" w:after="0"/>
        <w:ind w:left="120"/>
        <w:jc w:val="both"/>
      </w:pPr>
      <w:r>
        <w:rPr>
          <w:rFonts w:ascii="Times New Roman" w:hAnsi="Times New Roman"/>
          <w:b w:val="false"/>
          <w:i w:val="false"/>
          <w:color w:val="000000"/>
          <w:sz w:val="22"/>
        </w:rPr>
        <w:t>A distribution facility is an establishment at which shipments of tangible personal property are processed for delivery to customers. A distribution facility does not include an establishment at which retail sales of tangible personal property or returns of such property are undertaken with respect to retail customers more than 12 days in a year. However, an exception to the 12-day requirement is allowed for distribution facilities that process customer orders by mail, telephone, or electronic means, if the distribution facility also processes shipments of tangible personal property to customers, as long as no more than 10 percent of the goods are delivered or shipped to a purchaser in Iowa.</w:t>
      </w:r>
    </w:p>
    <w:p>
      <w:pPr>
        <w:spacing w:before="0" w:after="0"/>
        <w:ind w:left="120"/>
        <w:jc w:val="both"/>
      </w:pPr>
      <w:r>
        <w:rPr>
          <w:rFonts w:ascii="Times New Roman" w:hAnsi="Times New Roman"/>
          <w:b w:val="false"/>
          <w:i w:val="false"/>
          <w:color w:val="000000"/>
          <w:sz w:val="22"/>
        </w:rPr>
        <w:t>The following nonexclusive examples illustrate how this subrule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a foreign corporation, stores its inventory of books at a facility in Iowa. The facility processes orders for these books solely by mail, telephone and the Internet on behalf of A, and customers are not allowed to purchase books at the facility’s site in Iowa. The facility processes shipments of these books, and 5 percent of the books at this facility are delivered to purchasers located in Iowa. A does not conduct any other business activities in Iowa. A is not considered to be doing business in Iowa because less than 10 percent of the books at the facility are delivered to an Iowa customer.</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B, a foreign corporation, stores its inventory of compact disks at a facility in Iowa. The facility processes orders for these compact disks solely by mail, telephone and the Internet on behalf of B, and customers are not allowed to purchase compact disks at the facility’s site in Iowa. The facility processes shipments of these compact disks, and 15 percent of the compact disks at the facility are delivered to purchasers located in Iowa. B does not conduct any other business activities in Iowa. B is considered to be doing business in Iowa because more than 10 percent of the compact disks at the facility are delivered to an Iowa customer.</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C, a foreign corporation, stores its inventory of doors and windows at a facility in Iowa. The facility processes orders for these windows and doors solely by mail, telephone and the Internet, and customers are not allowed to purchase these windows and doors at the facility’s site in Iowa. The facility processes shipments of these windows and doors, and 7 percent of the windows and doors are delivered to purchasers located in Iowa. C will also install these windows and doors in Iowa upon customer request. C is considered to be doing business in Iowa even though less than 10 percent of the windows and doors are delivered to Iowa customers because C is also conducting installation activities in Iowa which are not protected under Public Law 86-272.</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D, a foreign corporation, stores its inventory of home decorating and craft kits at a facility in Iowa. The facility does not process any customer orders by mail, telephone or the Internet, and does not process any shipments of these kits directly to customers. D allows customers to come to the facility 14 days each year to directly purchase these kits, and customers must arrange for their own delivery of the kits. D is considered to be doing business in Iowa because sales to retail customers are conducted more than 12 days in a year, and the facility does not process customer orders or shipments to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501.1(3)</w:t>
      </w:r>
      <w:r>
        <w:rPr>
          <w:rFonts w:ascii="Times New Roman" w:hAnsi="Times New Roman"/>
          <w:b w:val="false"/>
          <w:i w:val="false"/>
          <w:color w:val="000000"/>
          <w:sz w:val="22"/>
        </w:rPr>
        <w:t> </w:t>
      </w:r>
      <w:r>
        <w:rPr>
          <w:rFonts w:ascii="Times New Roman" w:hAnsi="Times New Roman"/>
          <w:b w:val="false"/>
          <w:i/>
          <w:color w:val="000000"/>
          <w:sz w:val="22"/>
        </w:rPr>
        <w:t xml:space="preserve">Corporate activities creating taxability. </w:t>
      </w:r>
      <w:r>
        <w:rPr>
          <w:rFonts w:ascii="Times New Roman" w:hAnsi="Times New Roman"/>
          <w:b w:val="false"/>
          <w:i w:val="false"/>
          <w:color w:val="000000"/>
          <w:sz w:val="22"/>
        </w:rPr>
        <w:t xml:space="preserve">“Solicitation of orders” within Public Law 86-272 is limited to those activities which explicitly or implicitly propose a sale or which are entirely ancillary to requests for purchases. Activities that are entirely ancillary to requests for purchases are ones that serve no independent business function apart from their connection to the soliciting of orders. An activity that is not ancillary to requests for purchases is one that a corporation (taxpayer) has a reason to do anyway whether or not it chooses to allocate it to its sales force operating in Iowa (such as repair, installation, service-type activities, or collection on accounts). Activities that take place after a sale ordinarily will not be entirely ancillary to a request for purchases and, therefore, ordinarily will not be considered in “solicitation of orders.” </w:t>
      </w:r>
      <w:r>
        <w:rPr>
          <w:rFonts w:ascii="Times New Roman" w:hAnsi="Times New Roman"/>
          <w:b w:val="false"/>
          <w:i/>
          <w:color w:val="000000"/>
          <w:sz w:val="22"/>
        </w:rPr>
        <w:t>Wisconsin Department of Revenue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William Wrigley, Jr.</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Company,</w:t>
      </w:r>
      <w:r>
        <w:rPr>
          <w:rFonts w:ascii="Times New Roman" w:hAnsi="Times New Roman"/>
          <w:b w:val="false"/>
          <w:i w:val="false"/>
          <w:color w:val="000000"/>
          <w:sz w:val="22"/>
        </w:rPr>
        <w:t xml:space="preserve"> 505 U.S. 214, 120 L.Ed.2d 174, 112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2447 (1992).</w:t>
      </w:r>
    </w:p>
    <w:p>
      <w:pPr>
        <w:spacing w:before="0" w:after="0"/>
        <w:ind w:left="120"/>
        <w:jc w:val="both"/>
      </w:pPr>
      <w:r>
        <w:rPr>
          <w:rFonts w:ascii="Times New Roman" w:hAnsi="Times New Roman"/>
          <w:b w:val="false"/>
          <w:i w:val="false"/>
          <w:color w:val="000000"/>
          <w:sz w:val="22"/>
        </w:rPr>
        <w:t xml:space="preserve">De minimis activities which are not “solicitation of orders” are protected under Public Law 86-272. Whether in-state nonsolicitation activities are sufficiently de minimis to avoid loss of tax immunity depends upon whether those activities establish only a trivial additional connection with the taxing state. Whether a corporation’s nonsolicitation in-state activities are de minimis should not be decided solely by the quantity of one type of such activity but, rather, all types of nonsolicitation activities of the taxpayer should be considered in their totality. </w:t>
      </w:r>
      <w:r>
        <w:rPr>
          <w:rFonts w:ascii="Times New Roman" w:hAnsi="Times New Roman"/>
          <w:b w:val="false"/>
          <w:i/>
          <w:color w:val="000000"/>
          <w:sz w:val="22"/>
        </w:rPr>
        <w:t>Wisconsin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Wrigley,</w:t>
      </w:r>
      <w:r>
        <w:rPr>
          <w:rFonts w:ascii="Times New Roman" w:hAnsi="Times New Roman"/>
          <w:b w:val="false"/>
          <w:i w:val="false"/>
          <w:color w:val="000000"/>
          <w:sz w:val="22"/>
        </w:rPr>
        <w:t xml:space="preserve"> 505 U.S. 214, 120 L.Ed.2d 174, 112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2447 (1992). Frequency of the activity may be relevant, but an isolated activity is not invariably trivial. The mere fact that an activity involves small amounts of money or property does not invariably mean it is trivial.</w:t>
      </w:r>
    </w:p>
    <w:p>
      <w:pPr>
        <w:spacing w:before="0" w:after="0"/>
        <w:ind w:left="120"/>
        <w:jc w:val="both"/>
      </w:pPr>
      <w:r>
        <w:rPr>
          <w:rFonts w:ascii="Times New Roman" w:hAnsi="Times New Roman"/>
          <w:b w:val="false"/>
          <w:i w:val="false"/>
          <w:color w:val="000000"/>
          <w:sz w:val="22"/>
        </w:rPr>
        <w:t>If a foreign corporation has greater than a de minimis amount of Iowa nonsolicitation activity which includes activity of the types described in the noninclusive listing below, whether done by the salesperson, other employee, or other representative, it is not immunized from the Iowa corporation income tax by Public Law 86-272.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Installation or assembly of the corporate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Ownership or lease of real estate by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Solicitation of orders for, or sale of, services or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Sale of tangible personal property (as opposed to solicitation of orders) or performance of services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Maintenance of a stock of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Existence of an office or other business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Managerial activities pertaining to nonsolicitation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Collections on regular or delinquent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Technical assistance and training given after the sale to purchaser and user of corporate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repair or replacement of faulty or damaged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pickup of damaged, obsolete, or returned merchandise from purchaser or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Rectification of or assistance in rectifying any product complaints, shipping complaints, etc., if more is involved than relaying complaints to a non-Iowa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Delivery of corporate merchandise inventory to corporation’s distributors or dealers on consignment.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Maintenance of personal property which is not related to solicitation of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Participation in recruitment, training, monitoring, or approval of servicing distributors, dealers, or others where purchasers of corporation’s products can have such products serviced or repaired.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Inspection or verification of faulty or damaged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Inspection of the customer’s installation of the corporate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Salespersons’ use of part of their homes or other places as an office if the corporation pays for such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The use of samples for replacement or sale; storage of such samples at home or in rented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Removal of old or defective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Verification of the destruction of damaged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Independent contractors, agents, brokers, representatives and other individuals or entities who act on behalf of or at the direction of the corporation (taxpayer) and who do non-de minimis amounts of nonsolicitation activities remove the corporation from the protection of Public Law 86-272. However, the maintenance of an office in Iowa or the making of sales in Iowa by independent contractors does not remove the corporation from the protection of Public Law 86-272. The term “independent contractors” means commission agents, brokers, or other independent contractors who are engaged in selling or soliciting orders for the sale of tangible personal property or perform other services for more than one principal and who hold themselves out as such in the regular course of their business activities. If a person is subject to the direct control of the foreign corporation that person may not qualify as an independent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501.1(4)</w:t>
      </w:r>
      <w:r>
        <w:rPr>
          <w:rFonts w:ascii="Times New Roman" w:hAnsi="Times New Roman"/>
          <w:b w:val="false"/>
          <w:i w:val="false"/>
          <w:color w:val="000000"/>
          <w:sz w:val="22"/>
        </w:rPr>
        <w:t> </w:t>
      </w:r>
      <w:r>
        <w:rPr>
          <w:rFonts w:ascii="Times New Roman" w:hAnsi="Times New Roman"/>
          <w:b w:val="false"/>
          <w:i/>
          <w:color w:val="000000"/>
          <w:sz w:val="22"/>
        </w:rPr>
        <w:t xml:space="preserve">Taxation of corporations having only intangible property located or having a situs in Iowa. </w:t>
      </w:r>
      <w:r>
        <w:rPr>
          <w:rFonts w:ascii="Times New Roman" w:hAnsi="Times New Roman"/>
          <w:b w:val="false"/>
          <w:i w:val="false"/>
          <w:color w:val="000000"/>
          <w:sz w:val="22"/>
        </w:rPr>
        <w:t xml:space="preserve">For tax years beginning on or after January 1, 1995, corporations whose only connection with Iowa is their ownership of intangible property located or having a situs in Iowa are subject to Iowa income tax and must file an Iowa income tax return. Intangible property is located or has a situs in Iowa if the corporation’s commercial domicile is in Iowa and the intangible property has not become an integral part of some business activity occurring regularly within or without Iowa. Regardless whether the corporation’s commercial domicile is in or out of Iowa, intangible property is located or has a situs in Iowa if the intangible property has become an integral part of some business activity occurring regularly in Iowa. </w:t>
      </w:r>
      <w:r>
        <w:rPr>
          <w:rFonts w:ascii="Times New Roman" w:hAnsi="Times New Roman"/>
          <w:b w:val="false"/>
          <w:i/>
          <w:color w:val="000000"/>
          <w:sz w:val="22"/>
        </w:rPr>
        <w:t>Geoffrey,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South Carolina Tax Commission,</w:t>
      </w:r>
      <w:r>
        <w:rPr>
          <w:rFonts w:ascii="Times New Roman" w:hAnsi="Times New Roman"/>
          <w:b w:val="false"/>
          <w:i w:val="false"/>
          <w:color w:val="000000"/>
          <w:sz w:val="22"/>
        </w:rPr>
        <w:t xml:space="preserve"> 437 S.E.2d 13 (S.C. 1993),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114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550 (1993); </w:t>
      </w:r>
      <w:r>
        <w:rPr>
          <w:rFonts w:ascii="Times New Roman" w:hAnsi="Times New Roman"/>
          <w:b w:val="false"/>
          <w:i/>
          <w:color w:val="000000"/>
          <w:sz w:val="22"/>
        </w:rPr>
        <w:t>Arizona Tractor Company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Arizona State Tax Commission,</w:t>
      </w:r>
      <w:r>
        <w:rPr>
          <w:rFonts w:ascii="Times New Roman" w:hAnsi="Times New Roman"/>
          <w:b w:val="false"/>
          <w:i w:val="false"/>
          <w:color w:val="000000"/>
          <w:sz w:val="22"/>
        </w:rPr>
        <w:t xml:space="preserve"> 115 Ariz.</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602, 566 P.2d 1348 (Ariz.</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1977); </w:t>
      </w:r>
      <w:r>
        <w:rPr>
          <w:rFonts w:ascii="Times New Roman" w:hAnsi="Times New Roman"/>
          <w:b w:val="false"/>
          <w:i/>
          <w:color w:val="000000"/>
          <w:sz w:val="22"/>
        </w:rPr>
        <w:t>KFC Corporation v. Iowa Department of Revenue,</w:t>
      </w:r>
      <w:r>
        <w:rPr>
          <w:rFonts w:ascii="Times New Roman" w:hAnsi="Times New Roman"/>
          <w:b w:val="false"/>
          <w:i w:val="false"/>
          <w:color w:val="000000"/>
          <w:sz w:val="22"/>
        </w:rPr>
        <w:t xml:space="preserve"> 792 N.W. 2d 308 (Iowa 2010),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132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97 (October 3, 2011). In the event that the intangible property interest is a general or limited partnership interest, the location or situs of that partnership interest is the place(s) where the partnership conducts business. </w:t>
      </w:r>
      <w:r>
        <w:rPr>
          <w:rFonts w:ascii="Times New Roman" w:hAnsi="Times New Roman"/>
          <w:b w:val="false"/>
          <w:i/>
          <w:color w:val="000000"/>
          <w:sz w:val="22"/>
        </w:rPr>
        <w:t>Arizona Tractor Company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Arizona State Tax Commission,</w:t>
      </w:r>
      <w:r>
        <w:rPr>
          <w:rFonts w:ascii="Times New Roman" w:hAnsi="Times New Roman"/>
          <w:b w:val="false"/>
          <w:i w:val="false"/>
          <w:color w:val="000000"/>
          <w:sz w:val="22"/>
        </w:rPr>
        <w:t xml:space="preserve"> supra.</w:t>
      </w:r>
    </w:p>
    <w:p>
      <w:pPr>
        <w:spacing w:before="0" w:after="0"/>
        <w:ind w:left="120"/>
        <w:jc w:val="both"/>
      </w:pPr>
      <w:r>
        <w:rPr>
          <w:rFonts w:ascii="Times New Roman" w:hAnsi="Times New Roman"/>
          <w:b w:val="false"/>
          <w:i w:val="false"/>
          <w:color w:val="000000"/>
          <w:sz w:val="22"/>
        </w:rPr>
        <w:t>The following nonexclusive examples illustrate how this subrule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 xml:space="preserve">A, a corporation with a commercial domicile in State X, has a limited partnership interest in a partnership which does a regular business in Iowa. A has no physical presence in Iowa and has no other contact with Iowa. A’s interest in the limited partnership is intangible personal property. A is required to file an Iowa income tax return because A’s intangible personal property limited partnership interest has a business situs in Iowa. </w:t>
      </w:r>
      <w:r>
        <w:rPr>
          <w:rFonts w:ascii="Times New Roman" w:hAnsi="Times New Roman"/>
          <w:b w:val="false"/>
          <w:i/>
          <w:color w:val="000000"/>
          <w:sz w:val="22"/>
        </w:rPr>
        <w:t>Arizona Tractor Company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Arizona State Tax Commission,</w:t>
      </w:r>
      <w:r>
        <w:rPr>
          <w:rFonts w:ascii="Times New Roman" w:hAnsi="Times New Roman"/>
          <w:b w:val="false"/>
          <w:i w:val="false"/>
          <w:color w:val="000000"/>
          <w:sz w:val="22"/>
        </w:rPr>
        <w:t xml:space="preserve"> supra.</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 xml:space="preserve">B, a corporation with a commercial domicile in State X, owns stock in a subsidiary corporation doing business regularly in Iowa. B has no physical presence in Iowa and has no other contact with Iowa. B controls the subsidiary and has a unitary relationship with it. B pledged the subsidiary stock to secure a line of credit from a bank and used the loaned funds in B’s business. Under these circumstances, the subsidiary stock is not an integral part of the subsidiary’s business and, therefore, the stock does not have a location or situs in Iowa. Accordingly, B is not required to file an Iowa income tax return as a result of any dividends received by B or capital gains received by B from the sale of the stock. </w:t>
      </w:r>
      <w:r>
        <w:rPr>
          <w:rFonts w:ascii="Times New Roman" w:hAnsi="Times New Roman"/>
          <w:b w:val="false"/>
          <w:i/>
          <w:color w:val="000000"/>
          <w:sz w:val="22"/>
        </w:rPr>
        <w:t>McNamara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George Engine Company, Inc.,</w:t>
      </w:r>
      <w:r>
        <w:rPr>
          <w:rFonts w:ascii="Times New Roman" w:hAnsi="Times New Roman"/>
          <w:b w:val="false"/>
          <w:i w:val="false"/>
          <w:color w:val="000000"/>
          <w:sz w:val="22"/>
        </w:rPr>
        <w:t xml:space="preserve"> 519 So.2d 217 (La.</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1988).</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 xml:space="preserve">C, a corporation with a commercial domicile in State X, owns trademarks and trade names which it, by license agreements, allows other corporations to use. Some of those other corporations do business in Iowa. The trademarks and trade names are used by these other corporations at their Iowa stores in connection with their business activities at those stores. C has no physical presence in Iowa and has no other contact with Iowa. C is paid royalties of 1 percent of net sales of the licensed products or services. C is required to file an Iowa income tax return because C’s intangible property interests in the trademarks and trade names have situses in Iowa. </w:t>
      </w:r>
      <w:r>
        <w:rPr>
          <w:rFonts w:ascii="Times New Roman" w:hAnsi="Times New Roman"/>
          <w:b w:val="false"/>
          <w:i/>
          <w:color w:val="000000"/>
          <w:sz w:val="22"/>
        </w:rPr>
        <w:t>Geoffrey,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South Carolina Tax Commission,</w:t>
      </w:r>
      <w:r>
        <w:rPr>
          <w:rFonts w:ascii="Times New Roman" w:hAnsi="Times New Roman"/>
          <w:b w:val="false"/>
          <w:i w:val="false"/>
          <w:color w:val="000000"/>
          <w:sz w:val="22"/>
        </w:rPr>
        <w:t xml:space="preserve"> 437 S.E.2d 13 (S.C. 1993), cert.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denied, 114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550 (1993).</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D, a corporation with a commercial domicile in Iowa, is a holding company which does not sell any tangible personal property or sell any business service but which does own the stock of five subsidiaries, all of which do business outside of Iowa. D has no physical presence outside of Iowa and has no other contact outside of Iowa. D has a unitary relationship with each subsidiary. Under these circumstances, the stock is not an integral part of each subsidiary’s business so the stock does not have a location or situs outside of Iowa. The location or situs of the stock is in Iowa because D’s commercial domicile is in Iowa. Accordingly, all of the dividends from the stock paid to D and any capital gains incurred as a result of D’s sale of the stock are wholly taxed by Iowa.</w:t>
      </w:r>
    </w:p>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E, a corporation with a commercial domicile in Iowa, owns trademarks and trade names which it, by license agreements, allows other corporations, located outside of Iowa, to use. The trademarks and trade names are used by these other corporations at their non-Iowa stores in connection with their business activities at those stores. E has no physical presence outside of Iowa and has no other contact outside of Iowa. E has business activities in Iowa. The fees and royalties paid to E are part of E’s unitary business income. Under these circumstances, E is entitled to apportion its net income within and without Iowa because E’s intangible property interests in the trademarks and trade names have situses outside of Iowa and E has business activities in Iowa.</w:t>
      </w:r>
    </w:p>
    <w:p>
      <w:pPr>
        <w:spacing w:before="0" w:after="0"/>
        <w:ind w:left="120"/>
        <w:jc w:val="both"/>
      </w:pPr>
      <w:r>
        <w:rPr>
          <w:rFonts w:ascii="Times New Roman" w:hAnsi="Times New Roman"/>
          <w:b w:val="false"/>
          <w:i w:val="false"/>
          <w:color w:val="000000"/>
          <w:sz w:val="22"/>
        </w:rPr>
        <w:t xml:space="preserve">EXAMPLE 6: </w:t>
      </w:r>
      <w:r>
        <w:rPr>
          <w:rFonts w:ascii="Times New Roman" w:hAnsi="Times New Roman"/>
          <w:b w:val="false"/>
          <w:i w:val="false"/>
          <w:color w:val="000000"/>
          <w:sz w:val="22"/>
        </w:rPr>
        <w:t xml:space="preserve">F, a corporation with a commercial domicile in State X, owns all of the stock of a subsidiary corporation doing business in Iowa. F has no physical presence in Iowa and no other contact with Iowa. F loans funds to the subsidiary which the subsidiary uses in its Iowa business. Under these circumstances, the interest-bearing asset is not an integral part of the subsidiary’s business and, therefore, that intangible asset does not have a location or situs in Iowa. Accordingly, F is not required to file an Iowa income tax return. </w:t>
      </w:r>
      <w:r>
        <w:rPr>
          <w:rFonts w:ascii="Times New Roman" w:hAnsi="Times New Roman"/>
          <w:b w:val="false"/>
          <w:i/>
          <w:color w:val="000000"/>
          <w:sz w:val="22"/>
        </w:rPr>
        <w:t>Beidler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South Carolina Tax Commission,</w:t>
      </w:r>
      <w:r>
        <w:rPr>
          <w:rFonts w:ascii="Times New Roman" w:hAnsi="Times New Roman"/>
          <w:b w:val="false"/>
          <w:i w:val="false"/>
          <w:color w:val="000000"/>
          <w:sz w:val="22"/>
        </w:rPr>
        <w:t xml:space="preserve"> 282 U.S. 1, 75 L.Ed.131, 51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54 (1930).</w:t>
      </w:r>
    </w:p>
    <w:p>
      <w:pPr>
        <w:spacing w:before="0" w:after="0"/>
        <w:ind w:left="120"/>
        <w:jc w:val="both"/>
      </w:pPr>
      <w:r>
        <w:rPr>
          <w:rFonts w:ascii="Times New Roman" w:hAnsi="Times New Roman"/>
          <w:b w:val="false"/>
          <w:i w:val="false"/>
          <w:color w:val="000000"/>
          <w:sz w:val="22"/>
        </w:rPr>
        <w:t xml:space="preserve">EXAMPLE 7: </w:t>
      </w:r>
      <w:r>
        <w:rPr>
          <w:rFonts w:ascii="Times New Roman" w:hAnsi="Times New Roman"/>
          <w:b w:val="false"/>
          <w:i w:val="false"/>
          <w:color w:val="000000"/>
          <w:sz w:val="22"/>
        </w:rPr>
        <w:t>G, a corporation with a commercial domicile in State X, earns fees from the licensing of custom computer software. G has no physical presence in Iowa and no other contact with Iowa. G licenses the software to other corporations which do business in Iowa and which use the software in that business in Iowa. Under these circumstances, regardless whether the fees constitute royalties or something else, the license fees are earned from intangible personal property with a location or situs in Iowa. Accordingly, G is required to file an Iowa income tax return.</w:t>
      </w:r>
    </w:p>
    <w:p>
      <w:pPr>
        <w:spacing w:before="0" w:after="0"/>
        <w:ind w:left="120"/>
        <w:jc w:val="both"/>
      </w:pPr>
      <w:r>
        <w:rPr>
          <w:rFonts w:ascii="Times New Roman" w:hAnsi="Times New Roman"/>
          <w:b w:val="false"/>
          <w:i w:val="false"/>
          <w:color w:val="000000"/>
          <w:sz w:val="22"/>
        </w:rPr>
        <w:t xml:space="preserve">EXAMPLE 8: </w:t>
      </w:r>
      <w:r>
        <w:rPr>
          <w:rFonts w:ascii="Times New Roman" w:hAnsi="Times New Roman"/>
          <w:b w:val="false"/>
          <w:i w:val="false"/>
          <w:color w:val="000000"/>
          <w:sz w:val="22"/>
        </w:rPr>
        <w:t>H, a corporation with a commercial domicile in State X, has no physical presence in Iowa. H has entered into a contract with an independent contractor to solicit sales of H’s magazines in Iowa. The independent contractor does business in Iowa and receives payment for the magazines and deposits the funds in an Iowa bank for H’s account. H earns interest on this account. Under these circumstances which are H’s only contact with Iowa, H’s interest-bearing account is an integral part of business activity in Iowa. Accordingly, H is required to file an Iowa income tax return and include the interest income in the numerator of the business activity formula.</w:t>
      </w:r>
    </w:p>
    <w:p>
      <w:pPr>
        <w:spacing w:before="0" w:after="0"/>
        <w:ind w:left="120"/>
        <w:jc w:val="both"/>
      </w:pPr>
      <w:r>
        <w:rPr>
          <w:rFonts w:ascii="Times New Roman" w:hAnsi="Times New Roman"/>
          <w:b w:val="false"/>
          <w:i w:val="false"/>
          <w:color w:val="000000"/>
          <w:sz w:val="22"/>
        </w:rPr>
        <w:t xml:space="preserve">EXAMPLE 9: </w:t>
      </w:r>
      <w:r>
        <w:rPr>
          <w:rFonts w:ascii="Times New Roman" w:hAnsi="Times New Roman"/>
          <w:b w:val="false"/>
          <w:i w:val="false"/>
          <w:color w:val="000000"/>
          <w:sz w:val="22"/>
        </w:rPr>
        <w:t>J, a corporation with a commercial domicile in State X, earns income from mortgages that the corporation has purchased. J has no physical presence in Iowa and no other contact with Iowa. J earns interest income from the mortgages on property located in Iowa. Under these circumstances, the interest income is an integral part of business activity in Iowa. Accordingly, J is required to file an Iowa income tax return and include the interest income from the mortgages related to Iowa property in the numerator of the apportionment factor.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501.1(5)</w:t>
      </w:r>
      <w:r>
        <w:rPr>
          <w:rFonts w:ascii="Times New Roman" w:hAnsi="Times New Roman"/>
          <w:b w:val="false"/>
          <w:i w:val="false"/>
          <w:color w:val="000000"/>
          <w:sz w:val="22"/>
        </w:rPr>
        <w:t> </w:t>
      </w:r>
      <w:r>
        <w:rPr>
          <w:rFonts w:ascii="Times New Roman" w:hAnsi="Times New Roman"/>
          <w:b w:val="false"/>
          <w:i/>
          <w:color w:val="000000"/>
          <w:sz w:val="22"/>
        </w:rPr>
        <w:t xml:space="preserve">Taxation of “S” corporations, domestic international sales corporations and real estate investment trusts. </w:t>
      </w:r>
      <w:r>
        <w:rPr>
          <w:rFonts w:ascii="Times New Roman" w:hAnsi="Times New Roman"/>
          <w:b w:val="false"/>
          <w:i w:val="false"/>
          <w:color w:val="000000"/>
          <w:sz w:val="22"/>
        </w:rPr>
        <w:t xml:space="preserve">Certain corporations and other types of entities, which are taxable as corporations for federal purposes, may by federal election and qualification have a portion or all of their income taxable to the shareholders or the beneficiaries. Generally, the state of Iowa follows the federal provisions (with adjustments provided by Iowa law) for determining the amount and to whom the income is taxable. Examples of entities which may avail themselves of pass-through provisions for taxation of at least part of their net income are real estate investment trusts, small business corporations electing to file under Sections 1371-1378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domestic international sales corporations as authorized under Sections 991-997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and certain types of cooperatives and regulated investment companies. The entity’s portion of the net income which is taxable as corporation net income for federal purposes is generally also taxable as Iowa corporation income (with adjustments as provided by Iowa law) and the shareholders or beneficiaries will report on their Iowa returns their share of the organization’s income reportable for federal purposes as shareholder income (with adjustments provided by Iowa law). Nonresident shareholders or beneficiaries are required to report their distributive share of said income reasonably attributable to Iowa sources. Schedules shall be filed with the individual’s return showing the computation of the income attributable to Iowa sources and the computation of the nonresident taxpayer’s distributive share thereof. Entities with a nonresident beneficiary or shareholder shall include a schedule in the return computing the amount of income as determined under </w:t>
      </w:r>
      <w:hyperlink r:id="rId5">
        <w:r>
          <w:rPr>
            <w:rStyle w:val="Hyperlink"/>
            <w:rFonts w:ascii="Times New Roman" w:hAnsi="Times New Roman"/>
            <w:b w:val="false"/>
            <w:i w:val="false"/>
            <w:color w:val="000000"/>
            <w:sz w:val="22"/>
          </w:rPr>
          <w:t>701—Chapter 503</w:t>
        </w:r>
      </w:hyperlink>
      <w:r>
        <w:rPr>
          <w:rFonts w:ascii="Times New Roman" w:hAnsi="Times New Roman"/>
          <w:b w:val="false"/>
          <w:i w:val="false"/>
          <w:color w:val="000000"/>
          <w:sz w:val="22"/>
        </w:rPr>
        <w:t>. It will be the responsibility of the entity to make the apportionment of the income and supply the nonresident taxpayer with information regarding the nonresident taxpayer’s Iowa taxable income.</w:t>
      </w:r>
    </w:p>
    <w:p>
      <w:pPr>
        <w:spacing w:before="0" w:after="0"/>
        <w:ind w:left="120"/>
        <w:jc w:val="both"/>
      </w:pPr>
      <w:r>
        <w:rPr>
          <w:rFonts w:ascii="Times New Roman" w:hAnsi="Times New Roman"/>
          <w:b w:val="false"/>
          <w:i w:val="false"/>
          <w:color w:val="000000"/>
          <w:sz w:val="22"/>
        </w:rPr>
        <w:t xml:space="preserve">For tax years beginning on or after January 1, 1995, S corporations which are subject to tax on built-in gains under </w:t>
      </w:r>
      <w:r>
        <w:rPr>
          <w:rFonts w:ascii="Times New Roman" w:hAnsi="Times New Roman"/>
          <w:b w:val="false"/>
          <w:i w:val="false"/>
          <w:color w:val="000000"/>
          <w:sz w:val="22"/>
        </w:rPr>
        <w:t>Section 1374 of the Internal Revenue Code</w:t>
      </w:r>
      <w:r>
        <w:rPr>
          <w:rFonts w:ascii="Times New Roman" w:hAnsi="Times New Roman"/>
          <w:b w:val="false"/>
          <w:i w:val="false"/>
          <w:color w:val="000000"/>
          <w:sz w:val="22"/>
        </w:rPr>
        <w:t xml:space="preserve"> or passive investment income under </w:t>
      </w:r>
      <w:r>
        <w:rPr>
          <w:rFonts w:ascii="Times New Roman" w:hAnsi="Times New Roman"/>
          <w:b w:val="false"/>
          <w:i w:val="false"/>
          <w:color w:val="000000"/>
          <w:sz w:val="22"/>
        </w:rPr>
        <w:t>Section 1375 of the Internal Revenue Code</w:t>
      </w:r>
      <w:r>
        <w:rPr>
          <w:rFonts w:ascii="Times New Roman" w:hAnsi="Times New Roman"/>
          <w:b w:val="false"/>
          <w:i w:val="false"/>
          <w:color w:val="000000"/>
          <w:sz w:val="22"/>
        </w:rPr>
        <w:t xml:space="preserve"> are subject to Iowa corporation income tax on this income to the extent received from business carried on in this state or from sources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starting point for computing the Iowa tax on built-in gains is the amount of built-in gains subject to federal tax after considering the federal income limitation. The starting point for computing the capital gains subject to Iowa tax is the amount of capital gains subject to federal tax. The starting point for computing the passive investment income subject to Iowa income tax is the amount of passive investment income subject to federal tax. To the extent that any of the above three types of income exist for federal income tax purposes, they are combined for Iowa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adjustment is made to the above amounts for either 50 percent of federal income tax or Iowa corporation income tax deducted in computing the federal net income of the S corporation for tax years beginning prior to January 1, 2008, and for tax years beginning on or after January 1, 2014. The 50 percent of federal income tax and Iowa corporation income tax deducted in computing federal net income are adjustments to the Iowa net income which flows through to the shareholders for tax years beginning prior to January 1, 2008, and for tax years beginning on or after January 1, 2014. For tax years beginning on or after January 1, 2008, but before January 1, 2014, an adjustment is made to the above amounts for either 50 percent of federal income tax or Iowa corporation income tax deducted in computing the federal net income of the S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allocation and apportionment rules of </w:t>
      </w:r>
      <w:hyperlink r:id="rId6">
        <w:r>
          <w:rPr>
            <w:rStyle w:val="Hyperlink"/>
            <w:rFonts w:ascii="Times New Roman" w:hAnsi="Times New Roman"/>
            <w:b w:val="false"/>
            <w:i w:val="false"/>
            <w:color w:val="000000"/>
            <w:sz w:val="22"/>
          </w:rPr>
          <w:t>701—Chapter 503</w:t>
        </w:r>
      </w:hyperlink>
      <w:r>
        <w:rPr>
          <w:rFonts w:ascii="Times New Roman" w:hAnsi="Times New Roman"/>
          <w:b w:val="false"/>
          <w:i w:val="false"/>
          <w:color w:val="000000"/>
          <w:sz w:val="22"/>
        </w:rPr>
        <w:t xml:space="preserve"> apply to nonresident shareholders if the S corporation is carrying on business within and without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net operating loss carryforward arising in a taxable year for which the corporation was a C corporation shall be allowed as a deduction against the net recognized built-in gain, capital gains, or passive investment income of the S corporation for the taxable year. For purposes of determining the amount of any such loss which may be carried to any of the 15 subsequent taxable years, after the year of the net operating loss, the amount of the net recognized built-in gain shall be treated as taxable income. For taxable years beginning after August 5, 1997, a net operating loss can be carried forward 20 taxable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estimated and other advance tax payments and any credit carryforward under Iowa Code section </w:t>
      </w:r>
      <w:hyperlink r:id="rId7">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arising in a taxable year for which the corporation was a C corporation no credits shall be allowed against the built-in gains tax or the tax on capital gains or passive investment income.</w:t>
      </w:r>
    </w:p>
    <w:p>
      <w:pPr>
        <w:spacing w:before="0" w:after="0"/>
        <w:ind w:left="120"/>
        <w:jc w:val="both"/>
      </w:pPr>
      <w:r>
        <w:rPr>
          <w:rFonts w:ascii="Times New Roman" w:hAnsi="Times New Roman"/>
          <w:b w:val="false"/>
          <w:i w:val="false"/>
          <w:color w:val="000000"/>
          <w:sz w:val="22"/>
        </w:rPr>
        <w:t>For tax years beginning after 1996, Iowa recognizes the federal election to treat subsidiaries of a parent corporation that has elected S corporation status as “qualified subchapter S subsidiaries” (QSSSs). To the extent that, for federal income tax purposes, the incomes and expenses of the QSSSs are combined with the parent’s income and expenses, they must be combined for Iowa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501.1(6)</w:t>
      </w:r>
      <w:r>
        <w:rPr>
          <w:rFonts w:ascii="Times New Roman" w:hAnsi="Times New Roman"/>
          <w:b w:val="false"/>
          <w:i w:val="false"/>
          <w:color w:val="000000"/>
          <w:sz w:val="22"/>
        </w:rPr>
        <w:t> </w:t>
      </w:r>
      <w:r>
        <w:rPr>
          <w:rFonts w:ascii="Times New Roman" w:hAnsi="Times New Roman"/>
          <w:b w:val="false"/>
          <w:i/>
          <w:color w:val="000000"/>
          <w:sz w:val="22"/>
        </w:rPr>
        <w:t xml:space="preserve">Exempted corporations and organizations filing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Exempt status. </w:t>
      </w:r>
      <w:r>
        <w:rPr>
          <w:rFonts w:ascii="Times New Roman" w:hAnsi="Times New Roman"/>
          <w:b w:val="false"/>
          <w:i w:val="false"/>
          <w:color w:val="000000"/>
          <w:sz w:val="22"/>
        </w:rPr>
        <w:t xml:space="preserve">An organization that is exempt from federal income tax under </w:t>
      </w:r>
      <w:r>
        <w:rPr>
          <w:rFonts w:ascii="Times New Roman" w:hAnsi="Times New Roman"/>
          <w:b w:val="false"/>
          <w:i w:val="false"/>
          <w:color w:val="000000"/>
          <w:sz w:val="22"/>
        </w:rPr>
        <w:t>Section 501 of the Internal Revenue Code</w:t>
      </w:r>
      <w:r>
        <w:rPr>
          <w:rFonts w:ascii="Times New Roman" w:hAnsi="Times New Roman"/>
          <w:b w:val="false"/>
          <w:i w:val="false"/>
          <w:color w:val="000000"/>
          <w:sz w:val="22"/>
        </w:rPr>
        <w:t xml:space="preserve">, unless the exemption is denied under Section 501, 502, 503 or 504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is exempt from Iowa corporation income tax except as set forth in paragraph </w:t>
      </w:r>
      <w:r>
        <w:rPr>
          <w:rFonts w:ascii="Times New Roman" w:hAnsi="Times New Roman"/>
          <w:b w:val="false"/>
          <w:i/>
          <w:color w:val="000000"/>
          <w:sz w:val="22"/>
        </w:rPr>
        <w:t>“e”</w:t>
      </w:r>
      <w:r>
        <w:rPr>
          <w:rFonts w:ascii="Times New Roman" w:hAnsi="Times New Roman"/>
          <w:b w:val="false"/>
          <w:i w:val="false"/>
          <w:color w:val="000000"/>
          <w:sz w:val="22"/>
        </w:rPr>
        <w:t xml:space="preserve"> of this subrule. The department may, if a question arises regarding the exempt status of an organization, request a copy of the federal determination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returns. </w:t>
      </w:r>
      <w:r>
        <w:rPr>
          <w:rFonts w:ascii="Times New Roman" w:hAnsi="Times New Roman"/>
          <w:b w:val="false"/>
          <w:i w:val="false"/>
          <w:color w:val="000000"/>
          <w:sz w:val="22"/>
        </w:rPr>
        <w:t xml:space="preserve">Every corporation shall file returns of information as provided by Iowa Code sections </w:t>
      </w:r>
      <w:hyperlink r:id="rId8">
        <w:r>
          <w:rPr>
            <w:rStyle w:val="Hyperlink"/>
            <w:rFonts w:ascii="Times New Roman" w:hAnsi="Times New Roman"/>
            <w:b w:val="false"/>
            <w:i w:val="false"/>
            <w:color w:val="000000"/>
            <w:sz w:val="22"/>
          </w:rPr>
          <w:t>422.15</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and any regulations regarding information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Annual return. </w:t>
      </w:r>
      <w:r>
        <w:rPr>
          <w:rFonts w:ascii="Times New Roman" w:hAnsi="Times New Roman"/>
          <w:b w:val="false"/>
          <w:i w:val="false"/>
          <w:color w:val="000000"/>
          <w:sz w:val="22"/>
        </w:rPr>
        <w:t>An organization or association which is exempt from Iowa corporation income tax because it is exempt from federal income tax is not required to file an annual income tax return unless it is subject to the tax on unrelated business income. The organization shall inform the director in writing of any revocation of or change of exempt status by the Internal Revenue Service within 30 days after the federal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Tax on unrelated business income for tax years beginning on or after January 1, 1988. </w:t>
      </w:r>
      <w:r>
        <w:rPr>
          <w:rFonts w:ascii="Times New Roman" w:hAnsi="Times New Roman"/>
          <w:b w:val="false"/>
          <w:i w:val="false"/>
          <w:color w:val="000000"/>
          <w:sz w:val="22"/>
        </w:rPr>
        <w:t xml:space="preserve">A tax is imposed on the unrelated business income of corporations, associations, and organizations exempt from the general business tax on corporations by Iowa Code section </w:t>
      </w:r>
      <w:hyperlink r:id="rId10">
        <w:r>
          <w:rPr>
            <w:rStyle w:val="Hyperlink"/>
            <w:rFonts w:ascii="Times New Roman" w:hAnsi="Times New Roman"/>
            <w:b w:val="false"/>
            <w:i w:val="false"/>
            <w:color w:val="000000"/>
            <w:sz w:val="22"/>
          </w:rPr>
          <w:t>422.34(2)</w:t>
        </w:r>
      </w:hyperlink>
      <w:r>
        <w:rPr>
          <w:rFonts w:ascii="Times New Roman" w:hAnsi="Times New Roman"/>
          <w:b w:val="false"/>
          <w:i w:val="false"/>
          <w:color w:val="000000"/>
          <w:sz w:val="22"/>
        </w:rPr>
        <w:t xml:space="preserve"> to the extent this income is subject to tax under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The exempt organization is also subject to the alternative minimum tax imposed by Iowa Code section </w:t>
      </w:r>
      <w:hyperlink r:id="rId11">
        <w:r>
          <w:rPr>
            <w:rStyle w:val="Hyperlink"/>
            <w:rFonts w:ascii="Times New Roman" w:hAnsi="Times New Roman"/>
            <w:b w:val="false"/>
            <w:i w:val="false"/>
            <w:color w:val="000000"/>
            <w:sz w:val="22"/>
          </w:rPr>
          <w:t>422.33(4)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exempt corporation, association, or organization must file Form IA 1120, Iowa Corporation Income Tax Return, to report its income and complete Form IA 4626 if subject to the alternative minimum tax. The exempt organization must make estimated tax payments if its expected income tax liability for the year is $1,000 or more.</w:t>
      </w:r>
    </w:p>
    <w:p>
      <w:pPr>
        <w:spacing w:before="0" w:after="0"/>
        <w:ind w:left="120"/>
        <w:jc w:val="both"/>
      </w:pPr>
      <w:r>
        <w:rPr>
          <w:rFonts w:ascii="Times New Roman" w:hAnsi="Times New Roman"/>
          <w:b w:val="false"/>
          <w:i w:val="false"/>
          <w:color w:val="000000"/>
          <w:sz w:val="22"/>
        </w:rPr>
        <w:t>The tax return is due the last day of the fourth month following the last day of the tax year and may be extended for six months by filing Form IA 7004 prior to the due date. For tax years beginning on or after January 1, 1991, the tax return is due on the fifteenth day of the fifth month following close of the tax year and may be extended six months if 90 percent of the tax is paid prior to the due date.</w:t>
      </w:r>
    </w:p>
    <w:p>
      <w:pPr>
        <w:spacing w:before="0" w:after="0"/>
        <w:ind w:left="120"/>
        <w:jc w:val="both"/>
      </w:pPr>
      <w:r>
        <w:rPr>
          <w:rFonts w:ascii="Times New Roman" w:hAnsi="Times New Roman"/>
          <w:b w:val="false"/>
          <w:i w:val="false"/>
          <w:color w:val="000000"/>
          <w:sz w:val="22"/>
        </w:rPr>
        <w:t xml:space="preserve">The starting point for computing Iowa taxable income is federal taxable income as properly computed before deduction for net operating losses. Federal taxable income shall be adjusted as required in Iowa Code section </w:t>
      </w:r>
      <w:hyperlink r:id="rId12">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If the activities which generate the unrelated business income are carried on partly within and partly without the state, then the taxpayer should determine the portion of unrelated business income attributable to Iowa by the apportionment and allocation provisions of Iowa Code section </w:t>
      </w:r>
      <w:hyperlink r:id="rId13">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provisions of </w:t>
      </w:r>
      <w:hyperlink r:id="rId14">
        <w:r>
          <w:rPr>
            <w:rStyle w:val="Hyperlink"/>
            <w:rFonts w:ascii="Times New Roman" w:hAnsi="Times New Roman"/>
            <w:b w:val="false"/>
            <w:i w:val="false"/>
            <w:color w:val="000000"/>
            <w:sz w:val="22"/>
          </w:rPr>
          <w:t>701—Chapters 500</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502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503</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apply to the unrelated business income of organizations exempt from the general business tax on corporations.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Certain posts or organizations of past or present armed forces members may be tax-exempt corporations for tax years beginning after May 21, 2003. </w:t>
      </w:r>
      <w:r>
        <w:rPr>
          <w:rFonts w:ascii="Times New Roman" w:hAnsi="Times New Roman"/>
          <w:b w:val="false"/>
          <w:i w:val="false"/>
          <w:color w:val="000000"/>
          <w:sz w:val="22"/>
        </w:rPr>
        <w:t xml:space="preserve">An organization that would have qualified as an organization exempt from federal income tax under </w:t>
      </w:r>
      <w:r>
        <w:rPr>
          <w:rFonts w:ascii="Times New Roman" w:hAnsi="Times New Roman"/>
          <w:b w:val="false"/>
          <w:i w:val="false"/>
          <w:color w:val="000000"/>
          <w:sz w:val="22"/>
        </w:rPr>
        <w:t>Section 501(c)(19) of the Internal Revenue Code</w:t>
      </w:r>
      <w:r>
        <w:rPr>
          <w:rFonts w:ascii="Times New Roman" w:hAnsi="Times New Roman"/>
          <w:b w:val="false"/>
          <w:i w:val="false"/>
          <w:color w:val="000000"/>
          <w:sz w:val="22"/>
        </w:rPr>
        <w:t xml:space="preserve"> but for the fact that the requirement that 75 percent of the members need to be past or present armed forces members is not met because the membership includes ancestors or lineal descendants is considered to be an organization exempt from federal income tax.</w:t>
      </w:r>
    </w:p>
    <w:p>
      <w:pPr>
        <w:spacing w:before="0" w:after="0"/>
        <w:ind w:left="120"/>
        <w:jc w:val="both"/>
      </w:pPr>
      <w:r>
        <w:rPr>
          <w:rFonts w:ascii="Times New Roman" w:hAnsi="Times New Roman"/>
          <w:b w:val="false"/>
          <w:i w:val="false"/>
          <w:color w:val="000000"/>
          <w:sz w:val="22"/>
        </w:rPr>
        <w:t>This change is effective for tax years beginning after May 21,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Out-of-state business performing work in Iowa due to state-declared disaster. </w:t>
      </w:r>
      <w:r>
        <w:rPr>
          <w:rFonts w:ascii="Times New Roman" w:hAnsi="Times New Roman"/>
          <w:b w:val="false"/>
          <w:i w:val="false"/>
          <w:color w:val="000000"/>
          <w:sz w:val="22"/>
        </w:rPr>
        <w:t xml:space="preserve">On or after January 1, 2016, see </w:t>
      </w:r>
      <w:hyperlink r:id="rId20">
        <w:r>
          <w:rPr>
            <w:rStyle w:val="Hyperlink"/>
            <w:rFonts w:ascii="Times New Roman" w:hAnsi="Times New Roman"/>
            <w:b w:val="false"/>
            <w:i w:val="false"/>
            <w:color w:val="000000"/>
            <w:sz w:val="22"/>
          </w:rPr>
          <w:t>701—Chapter 276</w:t>
        </w:r>
      </w:hyperlink>
      <w:r>
        <w:rPr>
          <w:rFonts w:ascii="Times New Roman" w:hAnsi="Times New Roman"/>
          <w:b w:val="false"/>
          <w:i w:val="false"/>
          <w:color w:val="000000"/>
          <w:sz w:val="22"/>
        </w:rPr>
        <w:t xml:space="preserve"> for filing requirements for an out-of-state business who enters Iowa to perform disaster and emergency-related work during a disaster response period as those terms are defined in Iowa Code section </w:t>
      </w:r>
      <w:hyperlink r:id="rId21">
        <w:r>
          <w:rPr>
            <w:rStyle w:val="Hyperlink"/>
            <w:rFonts w:ascii="Times New Roman" w:hAnsi="Times New Roman"/>
            <w:b w:val="false"/>
            <w:i w:val="false"/>
            <w:color w:val="000000"/>
            <w:sz w:val="22"/>
          </w:rPr>
          <w:t>29C.24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501.1(7)</w:t>
      </w:r>
      <w:r>
        <w:rPr>
          <w:rFonts w:ascii="Times New Roman" w:hAnsi="Times New Roman"/>
          <w:b w:val="false"/>
          <w:i w:val="false"/>
          <w:color w:val="000000"/>
          <w:sz w:val="22"/>
        </w:rPr>
        <w:t> </w:t>
      </w:r>
      <w:r>
        <w:rPr>
          <w:rFonts w:ascii="Times New Roman" w:hAnsi="Times New Roman"/>
          <w:b w:val="false"/>
          <w:i/>
          <w:color w:val="000000"/>
          <w:sz w:val="22"/>
        </w:rPr>
        <w:t xml:space="preserve">Income tax of corporations in liquidation. </w:t>
      </w:r>
      <w:r>
        <w:rPr>
          <w:rFonts w:ascii="Times New Roman" w:hAnsi="Times New Roman"/>
          <w:b w:val="false"/>
          <w:i w:val="false"/>
          <w:color w:val="000000"/>
          <w:sz w:val="22"/>
        </w:rPr>
        <w:t>When a corporation is in the process of liquidation, or in the hands of a receiver, the income tax returns must be made under oath or affirmation of the persons responsible for the conduct of the affairs of such corporations, and must be filed at the same time and in the same manner as required of other corporations.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501.1(8)</w:t>
      </w:r>
      <w:r>
        <w:rPr>
          <w:rFonts w:ascii="Times New Roman" w:hAnsi="Times New Roman"/>
          <w:b w:val="false"/>
          <w:i w:val="false"/>
          <w:color w:val="000000"/>
          <w:sz w:val="22"/>
        </w:rPr>
        <w:t> </w:t>
      </w:r>
      <w:r>
        <w:rPr>
          <w:rFonts w:ascii="Times New Roman" w:hAnsi="Times New Roman"/>
          <w:b w:val="false"/>
          <w:i/>
          <w:color w:val="000000"/>
          <w:sz w:val="22"/>
        </w:rPr>
        <w:t xml:space="preserve">Income tax returns for corporations dissolved. </w:t>
      </w:r>
      <w:r>
        <w:rPr>
          <w:rFonts w:ascii="Times New Roman" w:hAnsi="Times New Roman"/>
          <w:b w:val="false"/>
          <w:i w:val="false"/>
          <w:color w:val="000000"/>
          <w:sz w:val="22"/>
        </w:rPr>
        <w:t>Corporations which have been dissolved during the income year must file income tax returns for the period prior to dissolution which has not already been covered by previous returns. Officers and directors are responsible for the filing of the returns and for the payment of taxes, if any, for the audit period provided by law.</w:t>
      </w:r>
    </w:p>
    <w:p>
      <w:pPr>
        <w:spacing w:before="0" w:after="0"/>
        <w:ind w:left="120"/>
        <w:jc w:val="both"/>
      </w:pPr>
      <w:r>
        <w:rPr>
          <w:rFonts w:ascii="Times New Roman" w:hAnsi="Times New Roman"/>
          <w:b w:val="false"/>
          <w:i w:val="false"/>
          <w:color w:val="000000"/>
          <w:sz w:val="22"/>
        </w:rPr>
        <w:t>Where a corporation dissolves and disposes of its assets without making provision for the payment of its accrued Iowa income tax, liability for the tax follows the assets so distributed and upon failure to secure the unpaid amount, suit to collect the tax may be instituted against the stockholders and other persons receiving the property, to the extent of the property received, except bona fide purchasers or others as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501.1(9)</w:t>
      </w:r>
      <w:r>
        <w:rPr>
          <w:rFonts w:ascii="Times New Roman" w:hAnsi="Times New Roman"/>
          <w:b w:val="false"/>
          <w:i w:val="false"/>
          <w:color w:val="000000"/>
          <w:sz w:val="22"/>
        </w:rPr>
        <w:t> </w:t>
      </w:r>
      <w:r>
        <w:rPr>
          <w:rFonts w:ascii="Times New Roman" w:hAnsi="Times New Roman"/>
          <w:b w:val="false"/>
          <w:i/>
          <w:color w:val="000000"/>
          <w:sz w:val="22"/>
        </w:rPr>
        <w:t xml:space="preserve">Income tax returns for corporations storing goods in an Iowa warehouse. </w:t>
      </w:r>
      <w:r>
        <w:rPr>
          <w:rFonts w:ascii="Times New Roman" w:hAnsi="Times New Roman"/>
          <w:b w:val="false"/>
          <w:i w:val="false"/>
          <w:color w:val="000000"/>
          <w:sz w:val="22"/>
        </w:rPr>
        <w:t>For tax years beginning on or after January 1, 2001, foreign corporations are not required to file income tax returns if their only activities in Iowa are the storage of goods for a period of 60 consecutive days or less in a warehouse for hire located in Iowa, provided that the foreign corporation transports or causes a carrier to transport such goods to that warehouse and that none of these goods are delivered or shipped to a purchaser in Iowa.</w:t>
      </w:r>
    </w:p>
    <w:p>
      <w:pPr>
        <w:spacing w:before="0" w:after="0"/>
        <w:ind w:left="120"/>
        <w:jc w:val="both"/>
      </w:pPr>
      <w:r>
        <w:rPr>
          <w:rFonts w:ascii="Times New Roman" w:hAnsi="Times New Roman"/>
          <w:b w:val="false"/>
          <w:i w:val="false"/>
          <w:color w:val="000000"/>
          <w:sz w:val="22"/>
        </w:rPr>
        <w:t>The following nonexclusive examples illustrate how this subrule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a foreign corporation, stores goods in a warehouse for hire in Iowa for a period of 45 consecutive days. The goods are then delivered to a purchaser outside Iowa. If this is A’s only activity in Iowa, A is not required to file an Iowa income tax return.</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B, a foreign corporation, stores goods in a warehouse for hire in Iowa for a period of 75 consecutive days. The goods are then delivered to a purchaser outside Iowa. B is required to file an Iowa income tax return because the goods were stored in Iowa for more than 60 consecutive days.</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C, a foreign corporation, stores goods in a warehouse for hire in Iowa for a period of 30 consecutive days. One percent of these goods are shipped to a purchaser in Iowa, and the other 99 percent are shipped to a purchaser outside Iowa. C is required to file an Iowa income tax return because a portion of the goods were shipped to a purchaser in Iowa.</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D, a foreign corporation, has retail stores in Iowa. D also stores goods in a warehouse for hire in Iowa for a period of 30 consecutive days. The goods are then delivered to a purchaser outside Iowa. D is required to file an Iowa income tax return because its Iowa activities are not limited to the storage of goods in a warehouse for hire in Iowa.</w:t>
      </w:r>
    </w:p>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E, a foreign corporation, has goods delivered by a common carrier, F, into a warehouse for hire in Iowa. The goods are stored in the warehouse for a period of 40 consecutive days, and are then delivered to a purchaser outside Iowa. If this is E’s only activity in Iowa, E is not required to file an Iowa income tax return. However, F is required to file an Iowa income tax return because it derives income from transportation operations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501.1(10)</w:t>
      </w:r>
      <w:r>
        <w:rPr>
          <w:rFonts w:ascii="Times New Roman" w:hAnsi="Times New Roman"/>
          <w:b w:val="false"/>
          <w:i w:val="false"/>
          <w:color w:val="000000"/>
          <w:sz w:val="22"/>
        </w:rPr>
        <w:t> </w:t>
      </w:r>
      <w:r>
        <w:rPr>
          <w:rFonts w:ascii="Times New Roman" w:hAnsi="Times New Roman"/>
          <w:b w:val="false"/>
          <w:i/>
          <w:color w:val="000000"/>
          <w:sz w:val="22"/>
        </w:rPr>
        <w:t xml:space="preserve">Deferment of income for start-up companies. </w:t>
      </w:r>
      <w:r>
        <w:rPr>
          <w:rFonts w:ascii="Times New Roman" w:hAnsi="Times New Roman"/>
          <w:b w:val="false"/>
          <w:i w:val="false"/>
          <w:color w:val="000000"/>
          <w:sz w:val="22"/>
        </w:rPr>
        <w:t>For tax periods beginning on or after January 1, 2002, but before January 1, 2008, a business that qualifies as a “start-up” business can defer taxable income for the first three years that the business is in operation. The deferment of income for start-up companies is repealed effective for tax years beginning on or after January 1,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of start-up business. </w:t>
      </w:r>
      <w:r>
        <w:rPr>
          <w:rFonts w:ascii="Times New Roman" w:hAnsi="Times New Roman"/>
          <w:b w:val="false"/>
          <w:i w:val="false"/>
          <w:color w:val="000000"/>
          <w:sz w:val="22"/>
        </w:rPr>
        <w:t>A start-up business for purposes of this subrule does not include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existing business locating in Iowa from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existing business locating in Iowa from another location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newly created business which is the result of the merger of two or more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newly created subsidiary or new business of a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previously existing business which has been dissolved and reincorporated.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existing business operating under a different name and located in a different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newly created partnership owned by two or more of the same partners as an existing business and engaging in similar business activity as the existing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business entity that reorganizes or experiences a change in either the legal or trade name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joint venture.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Criteria for deferment of taxable income. </w:t>
      </w:r>
      <w:r>
        <w:rPr>
          <w:rFonts w:ascii="Times New Roman" w:hAnsi="Times New Roman"/>
          <w:b w:val="false"/>
          <w:i w:val="false"/>
          <w:color w:val="000000"/>
          <w:sz w:val="22"/>
        </w:rPr>
        <w:t>In order to qualify for the deferment of taxable income for a start-up business, each of the following criteria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taxpayer is a business that is a wholly new start-up business beginning operations during the first tax year for which the deferment of taxable income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business has its commercial domicile, as defined by Iowa Code section </w:t>
      </w:r>
      <w:hyperlink r:id="rId22">
        <w:r>
          <w:rPr>
            <w:rStyle w:val="Hyperlink"/>
            <w:rFonts w:ascii="Times New Roman" w:hAnsi="Times New Roman"/>
            <w:b w:val="false"/>
            <w:i w:val="false"/>
            <w:color w:val="000000"/>
            <w:sz w:val="22"/>
          </w:rPr>
          <w:t>422.32</w:t>
        </w:r>
      </w:hyperlink>
      <w:r>
        <w:rPr>
          <w:rFonts w:ascii="Times New Roman" w:hAnsi="Times New Roman"/>
          <w:b w:val="false"/>
          <w:i w:val="false"/>
          <w:color w:val="000000"/>
          <w:sz w:val="22"/>
        </w:rPr>
        <w:t>,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operations of the business are funded by at least 25 percent venture capital moneys. “Venture capital moneys” means an equity investment from an individual or a private seed and venture capital fund whose only business is investing in seed and venture capital opportunities. “Venture capital moneys” does not mean a loan or other nonequity financing from a person, financial institution or other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taxpayer does not have any delinquent taxes or other debt outstanding and owing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 for deferment of income. </w:t>
      </w:r>
      <w:r>
        <w:rPr>
          <w:rFonts w:ascii="Times New Roman" w:hAnsi="Times New Roman"/>
          <w:b w:val="false"/>
          <w:i w:val="false"/>
          <w:color w:val="000000"/>
          <w:sz w:val="22"/>
        </w:rPr>
        <w:t>A taxpayer must submit a request to the department for the deferment of taxable income. The request must provide evidence that all of the criteria to qualify as a start-up business have been met. The request should be made as soon as possible after the close of the first tax year of the business. The request is to be filed with the Iowa Department of Revenue, Policy Section, Compliance Division, P.O. Box 10457, Des Moines, Iowa 50306-0457. Upon determination that the criteria have been met, the department will notify the taxpayer that the deferment of taxable income is approved. If the request for deferment of taxable income is denied, the taxpayer may file a protest within 60 days of the date of the letter denying the request for deferment of taxable income. The department’s determination letter shall set forth the taxpayer’s rights to protest the department’s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Filing of tax returns. </w:t>
      </w:r>
      <w:r>
        <w:rPr>
          <w:rFonts w:ascii="Times New Roman" w:hAnsi="Times New Roman"/>
          <w:b w:val="false"/>
          <w:i w:val="false"/>
          <w:color w:val="000000"/>
          <w:sz w:val="22"/>
        </w:rPr>
        <w:t>If the request for deferment of taxable income is approved, taxable income for the first three years that the business is in operation is deferred. The taxpayer shall pay taxes on the deferred taxable income in five equal annual installments during the five tax years following the three years of deferment. Tax returns must be filed for each tax year in which the deferment is approved. If the taxpayer has a net loss during any tax year during the three-year deferment period, the loss may be applied to any deferred taxable income during that period. For purposes of assessing penalty and interest, the tax on any deferred income is not due and payable until the tax years in which the five equal annual installments are due and payable.</w:t>
      </w:r>
    </w:p>
    <w:p>
      <w:pPr>
        <w:spacing w:before="0" w:after="0"/>
        <w:ind w:left="120"/>
        <w:jc w:val="both"/>
      </w:pPr>
      <w:r>
        <w:rPr>
          <w:rFonts w:ascii="Times New Roman" w:hAnsi="Times New Roman"/>
          <w:b w:val="false"/>
          <w:i w:val="false"/>
          <w:color w:val="000000"/>
          <w:sz w:val="22"/>
        </w:rPr>
        <w:t>The following nonexclusive examples illustrate how this subrule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qualifying start-up business reports Iowa taxable income of $1,000 in year one, $5,000 in year two and $10,000 in year three. The total tax deferred is $60 in year 1, $300 in year two and $600 in year three, or $960. The taxpayer shall pay $192 ($960 divided by 5) in deferred tax for each of the next five tax returns. No penalty or interest is due on the deferred annual tax of $192 if the returns for years four through eight are filed by the due date and the tax is timely paid. After the return for year three is filed, the department will issue a schedule to the qualifying business indicating that $192 of additional tax is due annually for years four through eight, and when the additional payments of $192 are due.</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qualifying start-up business reports an Iowa taxable loss of $10,000 in year one, a loss of $2,000 in year two and taxable income of $22,000 in year three. The losses for year one and year two can be netted against the income in year three, resulting in deferred taxable income of $10,000. The tax of $600 computed on income of $10,000 will be paid in five equal installments of $120 for the next five tax returns. No penalty or interest is due on the deferred annual tax of $120 if the returns for years four through eight are filed by the due date and the tax is timely paid. After the return for year three is filed, the department will issue a schedule to the qualifying business indicating that $120 of additional tax is due annually for years four through eight and when the additional payments of $120 are due.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422.32</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422.34</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422.34A</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422.36</w:t>
        </w:r>
      </w:hyperlink>
      <w:r>
        <w:rPr>
          <w:rFonts w:ascii="Times New Roman" w:hAnsi="Times New Roman"/>
          <w:b w:val="false"/>
          <w:i w:val="false"/>
          <w:color w:val="000000"/>
          <w:sz w:val="22"/>
        </w:rPr>
        <w:t xml:space="preserve"> and Iowa Code section </w:t>
      </w:r>
      <w:hyperlink r:id="rId29">
        <w:r>
          <w:rPr>
            <w:rStyle w:val="Hyperlink"/>
            <w:rFonts w:ascii="Times New Roman" w:hAnsi="Times New Roman"/>
            <w:b w:val="false"/>
            <w:i w:val="false"/>
            <w:color w:val="000000"/>
            <w:sz w:val="22"/>
          </w:rPr>
          <w:t>422.24A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Senate File 2400, section 66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3085C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w:t>
      </w:r>
      <w:r>
        <w:rPr>
          <w:rFonts w:ascii="Times New Roman" w:hAnsi="Times New Roman"/>
          <w:b/>
          <w:i w:val="false"/>
          <w:color w:val="000000"/>
          <w:sz w:val="22"/>
        </w:rPr>
        <w:t xml:space="preserve">(422) </w:t>
      </w:r>
      <w:r>
        <w:rPr>
          <w:rFonts w:ascii="Times New Roman" w:hAnsi="Times New Roman"/>
          <w:b/>
          <w:i w:val="false"/>
          <w:color w:val="000000"/>
          <w:sz w:val="22"/>
        </w:rPr>
        <w:t xml:space="preserve">Time and place for filing return.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501.2(1)</w:t>
      </w:r>
      <w:r>
        <w:rPr>
          <w:rFonts w:ascii="Times New Roman" w:hAnsi="Times New Roman"/>
          <w:b w:val="false"/>
          <w:i w:val="false"/>
          <w:color w:val="000000"/>
          <w:sz w:val="22"/>
        </w:rPr>
        <w:t> </w:t>
      </w:r>
      <w:r>
        <w:rPr>
          <w:rFonts w:ascii="Times New Roman" w:hAnsi="Times New Roman"/>
          <w:b w:val="false"/>
          <w:i/>
          <w:color w:val="000000"/>
          <w:sz w:val="22"/>
        </w:rPr>
        <w:t xml:space="preserve">Returns of corporations. </w:t>
      </w:r>
      <w:r>
        <w:rPr>
          <w:rFonts w:ascii="Times New Roman" w:hAnsi="Times New Roman"/>
          <w:b w:val="false"/>
          <w:i w:val="false"/>
          <w:color w:val="000000"/>
          <w:sz w:val="22"/>
        </w:rPr>
        <w:t xml:space="preserve">A return of income for all corporations must be filed on or before the due date. The due date for all corporations except for cooperative associations as defined in </w:t>
      </w:r>
      <w:r>
        <w:rPr>
          <w:rFonts w:ascii="Times New Roman" w:hAnsi="Times New Roman"/>
          <w:b w:val="false"/>
          <w:i w:val="false"/>
          <w:color w:val="000000"/>
          <w:sz w:val="22"/>
        </w:rPr>
        <w:t>Section 6072(d) of the Internal Revenue Code</w:t>
      </w:r>
      <w:r>
        <w:rPr>
          <w:rFonts w:ascii="Times New Roman" w:hAnsi="Times New Roman"/>
          <w:b w:val="false"/>
          <w:i w:val="false"/>
          <w:color w:val="000000"/>
          <w:sz w:val="22"/>
        </w:rPr>
        <w:t xml:space="preserve"> is the last day of the fourth month following the close of the taxpayer’s taxable year, whether the return be made on the basis of the calendar year or the fiscal year; or the last day of the period covered by an extension of time granted by the director. When the due date falls on a Saturday, Sunday, or holiday, the return will be due the following day that is not a Saturday, Sunday, or holiday. Iowa Code section 421.9A contains additional information on due dates that fall on a Saturday, Sunday, or holiday. If a return is placed in the mail, properly addressed and postage paid in ample time to reach the department on or before the due date for filing, no penalty will attach should the return not be received until after that date. Mailed returns should be addressed to Corporate Income Tax Processing, Hoover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501.2(2)</w:t>
      </w:r>
      <w:r>
        <w:rPr>
          <w:rFonts w:ascii="Times New Roman" w:hAnsi="Times New Roman"/>
          <w:b w:val="false"/>
          <w:i w:val="false"/>
          <w:color w:val="000000"/>
          <w:sz w:val="22"/>
        </w:rPr>
        <w:t> </w:t>
      </w:r>
      <w:r>
        <w:rPr>
          <w:rFonts w:ascii="Times New Roman" w:hAnsi="Times New Roman"/>
          <w:b w:val="false"/>
          <w:i/>
          <w:color w:val="000000"/>
          <w:sz w:val="22"/>
        </w:rPr>
        <w:t xml:space="preserve">Returns of cooperatives. </w:t>
      </w:r>
      <w:r>
        <w:rPr>
          <w:rFonts w:ascii="Times New Roman" w:hAnsi="Times New Roman"/>
          <w:b w:val="false"/>
          <w:i w:val="false"/>
          <w:color w:val="000000"/>
          <w:sz w:val="22"/>
        </w:rPr>
        <w:t xml:space="preserve">A return of income for cooperatives, defined in </w:t>
      </w:r>
      <w:r>
        <w:rPr>
          <w:rFonts w:ascii="Times New Roman" w:hAnsi="Times New Roman"/>
          <w:b w:val="false"/>
          <w:i w:val="false"/>
          <w:color w:val="000000"/>
          <w:sz w:val="22"/>
        </w:rPr>
        <w:t>Section 6072(d) of the Internal Revenue Code</w:t>
      </w:r>
      <w:r>
        <w:rPr>
          <w:rFonts w:ascii="Times New Roman" w:hAnsi="Times New Roman"/>
          <w:b w:val="false"/>
          <w:i w:val="false"/>
          <w:color w:val="000000"/>
          <w:sz w:val="22"/>
        </w:rPr>
        <w:t>, must be filed on or before the fifteenth day of the ninth month following the close of the taxpayer’s taxable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501.2(3)</w:t>
      </w:r>
      <w:r>
        <w:rPr>
          <w:rFonts w:ascii="Times New Roman" w:hAnsi="Times New Roman"/>
          <w:b w:val="false"/>
          <w:i w:val="false"/>
          <w:color w:val="000000"/>
          <w:sz w:val="22"/>
        </w:rPr>
        <w:t> </w:t>
      </w:r>
      <w:r>
        <w:rPr>
          <w:rFonts w:ascii="Times New Roman" w:hAnsi="Times New Roman"/>
          <w:b w:val="false"/>
          <w:i/>
          <w:color w:val="000000"/>
          <w:sz w:val="22"/>
        </w:rPr>
        <w:t xml:space="preserve">Short period returns. </w:t>
      </w:r>
      <w:r>
        <w:rPr>
          <w:rFonts w:ascii="Times New Roman" w:hAnsi="Times New Roman"/>
          <w:b w:val="false"/>
          <w:i w:val="false"/>
          <w:color w:val="000000"/>
          <w:sz w:val="22"/>
        </w:rPr>
        <w:t xml:space="preserve">Where under a provision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a corporation is required to file a tax return for a period of less than 12 months, a short period Iowa return must be filed for the same period. The short period Iowa return is due 45 days after the federal due date, not considering any federal extension of time to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501.2(4)</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for filing returns for tax years beginning on or after January 1, 1991. </w:t>
      </w:r>
      <w:r>
        <w:rPr>
          <w:rFonts w:ascii="Times New Roman" w:hAnsi="Times New Roman"/>
          <w:b w:val="false"/>
          <w:i w:val="false"/>
          <w:color w:val="000000"/>
          <w:sz w:val="22"/>
        </w:rPr>
        <w:t xml:space="preserve">See </w:t>
      </w:r>
      <w:hyperlink r:id="rId30">
        <w:r>
          <w:rPr>
            <w:rStyle w:val="Hyperlink"/>
            <w:rFonts w:ascii="Times New Roman" w:hAnsi="Times New Roman"/>
            <w:b w:val="false"/>
            <w:i w:val="false"/>
            <w:color w:val="000000"/>
            <w:sz w:val="22"/>
          </w:rPr>
          <w:t>701—subrule 301.2(4)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422.24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6551C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w:t>
      </w:r>
      <w:r>
        <w:rPr>
          <w:rFonts w:ascii="Times New Roman" w:hAnsi="Times New Roman"/>
          <w:b/>
          <w:i w:val="false"/>
          <w:color w:val="000000"/>
          <w:sz w:val="22"/>
        </w:rPr>
        <w:t xml:space="preserve">(422) </w:t>
      </w:r>
      <w:r>
        <w:rPr>
          <w:rFonts w:ascii="Times New Roman" w:hAnsi="Times New Roman"/>
          <w:b/>
          <w:i w:val="false"/>
          <w:color w:val="000000"/>
          <w:sz w:val="22"/>
        </w:rPr>
        <w:t xml:space="preserve">Form for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501.3(1)</w:t>
      </w:r>
      <w:r>
        <w:rPr>
          <w:rFonts w:ascii="Times New Roman" w:hAnsi="Times New Roman"/>
          <w:b w:val="false"/>
          <w:i w:val="false"/>
          <w:color w:val="000000"/>
          <w:sz w:val="22"/>
        </w:rPr>
        <w:t> </w:t>
      </w:r>
      <w:r>
        <w:rPr>
          <w:rFonts w:ascii="Times New Roman" w:hAnsi="Times New Roman"/>
          <w:b w:val="false"/>
          <w:i/>
          <w:color w:val="000000"/>
          <w:sz w:val="22"/>
        </w:rPr>
        <w:t xml:space="preserve">Use and completeness of prescribed forms. </w:t>
      </w:r>
      <w:r>
        <w:rPr>
          <w:rFonts w:ascii="Times New Roman" w:hAnsi="Times New Roman"/>
          <w:b w:val="false"/>
          <w:i w:val="false"/>
          <w:color w:val="000000"/>
          <w:sz w:val="22"/>
        </w:rPr>
        <w:t>Returns shall be made by corporations on forms supplied by the department. Taxpayers not supplied with the proper forms shall make application for same to the department in ample time to have their returns made, verified and filed on or before the due date. Each taxpayer shall carefully prepare the taxpayer’s return so as to fully and clearly set forth the data required. For lack of a prescribed form, a statement made by a taxpayer disclosing the taxpayer’s gross income and the deductions therefrom may be accepted as a tentative return, and if verified and filed within the prescribed time, will relieve the taxpayer from liability to penalties, provided that without unnecessary delay such a tentative return is replaced by a return made on the proper form. Each question shall be answered and each direction complied with in the same manner as if the forms and instructions were embodied in these rules.</w:t>
      </w:r>
    </w:p>
    <w:p>
      <w:pPr>
        <w:spacing w:before="0" w:after="0"/>
        <w:ind w:left="120"/>
        <w:jc w:val="both"/>
      </w:pPr>
      <w:r>
        <w:rPr>
          <w:rFonts w:ascii="Times New Roman" w:hAnsi="Times New Roman"/>
          <w:b w:val="false"/>
          <w:i w:val="false"/>
          <w:color w:val="000000"/>
          <w:sz w:val="22"/>
        </w:rPr>
        <w:t>Failure to receive the proper forms does not relieve the taxpayer from the obligation of making any return required by the statute.</w:t>
      </w:r>
    </w:p>
    <w:p>
      <w:pPr>
        <w:spacing w:before="0" w:after="0"/>
        <w:ind w:left="120"/>
        <w:jc w:val="both"/>
      </w:pPr>
      <w:r>
        <w:rPr>
          <w:rFonts w:ascii="Times New Roman" w:hAnsi="Times New Roman"/>
          <w:b w:val="false"/>
          <w:i w:val="false"/>
          <w:color w:val="000000"/>
          <w:sz w:val="22"/>
        </w:rPr>
        <w:t>Returns received which are not completed, but merely state “see schedule attached” are not considered to be a properly filed return and may be returned to the taxpayer for proper completion. This may result in the imposition of penalties and interest due to the return being filed after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501.3(2)</w:t>
      </w:r>
      <w:r>
        <w:rPr>
          <w:rFonts w:ascii="Times New Roman" w:hAnsi="Times New Roman"/>
          <w:b w:val="false"/>
          <w:i w:val="false"/>
          <w:color w:val="000000"/>
          <w:sz w:val="22"/>
        </w:rPr>
        <w:t> </w:t>
      </w:r>
      <w:r>
        <w:rPr>
          <w:rFonts w:ascii="Times New Roman" w:hAnsi="Times New Roman"/>
          <w:b w:val="false"/>
          <w:i/>
          <w:color w:val="000000"/>
          <w:sz w:val="22"/>
        </w:rPr>
        <w:t xml:space="preserve">Form for filing—domestic corporations. </w:t>
      </w:r>
      <w:r>
        <w:rPr>
          <w:rFonts w:ascii="Times New Roman" w:hAnsi="Times New Roman"/>
          <w:b w:val="false"/>
          <w:i w:val="false"/>
          <w:color w:val="000000"/>
          <w:sz w:val="22"/>
        </w:rPr>
        <w:t xml:space="preserve">A domestic corporation, as defined by Iowa Code section </w:t>
      </w:r>
      <w:hyperlink r:id="rId33">
        <w:r>
          <w:rPr>
            <w:rStyle w:val="Hyperlink"/>
            <w:rFonts w:ascii="Times New Roman" w:hAnsi="Times New Roman"/>
            <w:b w:val="false"/>
            <w:i w:val="false"/>
            <w:color w:val="000000"/>
            <w:sz w:val="22"/>
          </w:rPr>
          <w:t>422.32(5)</w:t>
        </w:r>
      </w:hyperlink>
      <w:r>
        <w:rPr>
          <w:rFonts w:ascii="Times New Roman" w:hAnsi="Times New Roman"/>
          <w:b w:val="false"/>
          <w:i w:val="false"/>
          <w:color w:val="000000"/>
          <w:sz w:val="22"/>
        </w:rPr>
        <w:t>, is required to file a complete Iowa return for each year of its existence regardless of whether the corporation has income, loss, or inactivity. For tax periods beginning on or after January 1, 1999, domestic corporations are required to file a complete Iowa return only if they are doing business in Iowa, or deriving income from sources within Iowa. For tax periods beginning on or after July 1, 2012, domestic corporations must also include a true and accurate copy of their federal corporation income tax return as filed with the Internal Revenue Service with the filing of their Iowa return. At a minimum this return includes the following federal schedules: income statement, balance sheet, reconciliation of income per books with income per return, analysis of unappropriated retained earnings per books, dividend income and special deductions, cost of goods sold, capital gains, tax computation and tax deposits, alternative minimum tax computation, and statements detailing other income and other deductions.</w:t>
      </w:r>
    </w:p>
    <w:p>
      <w:pPr>
        <w:spacing w:before="0" w:after="0"/>
        <w:ind w:left="120"/>
        <w:jc w:val="both"/>
      </w:pPr>
      <w:r>
        <w:rPr>
          <w:rFonts w:ascii="Times New Roman" w:hAnsi="Times New Roman"/>
          <w:b w:val="false"/>
          <w:i w:val="false"/>
          <w:color w:val="000000"/>
          <w:sz w:val="22"/>
        </w:rPr>
        <w:t>When a domestic corporation is included in the filing of a consolidated federal income tax return, the Iowa corporation income tax return shall include a schedule of the consolidating income statements as properly computed for federal income tax purposes showing the income and expenses of each member of the consolidated group, and a schedule of capital gains on a separate basis.</w:t>
      </w:r>
    </w:p>
    <w:p>
      <w:pPr>
        <w:spacing w:before="0" w:after="0"/>
        <w:ind w:left="120"/>
        <w:jc w:val="both"/>
      </w:pPr>
      <w:r>
        <w:rPr>
          <w:rFonts w:ascii="Times New Roman" w:hAnsi="Times New Roman"/>
          <w:b w:val="false"/>
          <w:i w:val="false"/>
          <w:color w:val="000000"/>
          <w:sz w:val="22"/>
        </w:rPr>
        <w:t>If a domestic corporation claims a foreign tax credit, research activities credit, alcohol fuel credit, employer social security credit, or work opportunity credit on its federal income tax return, a detailed computation of the credits claimed shall be included with the Iowa return upon filing. In those instances where the domestic corporation is involved in the filing of a consolidated federal income tax return, the credit computations shall be reported on a separate entity basis.</w:t>
      </w:r>
    </w:p>
    <w:p>
      <w:pPr>
        <w:spacing w:before="0" w:after="0"/>
        <w:ind w:left="120"/>
        <w:jc w:val="both"/>
      </w:pPr>
      <w:r>
        <w:rPr>
          <w:rFonts w:ascii="Times New Roman" w:hAnsi="Times New Roman"/>
          <w:b w:val="false"/>
          <w:i w:val="false"/>
          <w:color w:val="000000"/>
          <w:sz w:val="22"/>
        </w:rPr>
        <w:t>Similarly, where a domestic corporation is charged with a holding company tax or an alternative minimum tax, the details of the taxes levied shall be put forth in a schedule to be included with the Iowa return. Furthermore, these taxes shall be identified on a separate company basis where the domestic corporation files as a member of a consolidated group for federal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501.3(3)</w:t>
      </w:r>
      <w:r>
        <w:rPr>
          <w:rFonts w:ascii="Times New Roman" w:hAnsi="Times New Roman"/>
          <w:b w:val="false"/>
          <w:i w:val="false"/>
          <w:color w:val="000000"/>
          <w:sz w:val="22"/>
        </w:rPr>
        <w:t> </w:t>
      </w:r>
      <w:r>
        <w:rPr>
          <w:rFonts w:ascii="Times New Roman" w:hAnsi="Times New Roman"/>
          <w:b w:val="false"/>
          <w:i/>
          <w:color w:val="000000"/>
          <w:sz w:val="22"/>
        </w:rPr>
        <w:t xml:space="preserve">Form for filing—foreign corporations. </w:t>
      </w:r>
      <w:r>
        <w:rPr>
          <w:rFonts w:ascii="Times New Roman" w:hAnsi="Times New Roman"/>
          <w:b w:val="false"/>
          <w:i w:val="false"/>
          <w:color w:val="000000"/>
          <w:sz w:val="22"/>
        </w:rPr>
        <w:t xml:space="preserve">Foreign corporations, as defined by Iowa Code section </w:t>
      </w:r>
      <w:hyperlink r:id="rId34">
        <w:r>
          <w:rPr>
            <w:rStyle w:val="Hyperlink"/>
            <w:rFonts w:ascii="Times New Roman" w:hAnsi="Times New Roman"/>
            <w:b w:val="false"/>
            <w:i w:val="false"/>
            <w:color w:val="000000"/>
            <w:sz w:val="22"/>
          </w:rPr>
          <w:t>422.32(6)</w:t>
        </w:r>
      </w:hyperlink>
      <w:r>
        <w:rPr>
          <w:rFonts w:ascii="Times New Roman" w:hAnsi="Times New Roman"/>
          <w:b w:val="false"/>
          <w:i w:val="false"/>
          <w:color w:val="000000"/>
          <w:sz w:val="22"/>
        </w:rPr>
        <w:t>, must include a true and accurate copy of their federal corporation income tax return as filed with the Internal Revenue Service with the filing of their Iowa return. At a minimum this return includes the following federal schedules: income statement, balance sheet, reconciliation of income per books with income per return, analysis of unappropriated retained earnings per books, dividend income and special deductions, cost of goods sold, capital gains, tax computation and tax deposits, research activities credit computation, work opportunity credit computation, foreign tax credit computation, alcohol fuel credit computation, employer social security credit computation, alternative minimum tax computation, and statements detailing other income and other deductions.</w:t>
      </w:r>
    </w:p>
    <w:p>
      <w:pPr>
        <w:spacing w:before="0" w:after="0"/>
        <w:ind w:left="120"/>
        <w:jc w:val="both"/>
      </w:pPr>
      <w:r>
        <w:rPr>
          <w:rFonts w:ascii="Times New Roman" w:hAnsi="Times New Roman"/>
          <w:b w:val="false"/>
          <w:i w:val="false"/>
          <w:color w:val="000000"/>
          <w:sz w:val="22"/>
        </w:rPr>
        <w:t>When a foreign corporation whose income is included in a consolidated federal income tax return files an Iowa return, federal consolidating income statements as properly computed for federal income tax purposes showing the income and expenses of each member of the consolidated group shall be required together with the following additional schedules on a separate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Capital gains.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Dividend income and special deductions.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 activities credit, alcohol fuel credit and employer social security credit computations.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Work opportunity credit computation.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Foreign tax credit computation.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Holding company tax computation.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computation.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Schedules detailing other income and other deductions.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501.3(4)</w:t>
      </w:r>
      <w:r>
        <w:rPr>
          <w:rFonts w:ascii="Times New Roman" w:hAnsi="Times New Roman"/>
          <w:b w:val="false"/>
          <w:i w:val="false"/>
          <w:color w:val="000000"/>
          <w:sz w:val="22"/>
        </w:rPr>
        <w:t> </w:t>
      </w:r>
      <w:r>
        <w:rPr>
          <w:rFonts w:ascii="Times New Roman" w:hAnsi="Times New Roman"/>
          <w:b w:val="false"/>
          <w:i/>
          <w:color w:val="000000"/>
          <w:sz w:val="22"/>
        </w:rPr>
        <w:t xml:space="preserve">Amended returns. </w:t>
      </w:r>
      <w:r>
        <w:rPr>
          <w:rFonts w:ascii="Times New Roman" w:hAnsi="Times New Roman"/>
          <w:b w:val="false"/>
          <w:i w:val="false"/>
          <w:color w:val="000000"/>
          <w:sz w:val="22"/>
        </w:rPr>
        <w:t xml:space="preserve">If it becomes known to the taxpayer that the amount of income reported to be federal net income or Iowa taxable income was erroneously stated on the Iowa return, or changed by Internal Revenue Service audit, or otherwise, the taxpayer shall file an amended Iowa return along with supporting schedules, to include the amended federal return and a copy of the federal revenue agent’s report if applicable. A copy of the federal revenue agent’s report and notification of final federal adjustments provided by the taxpayer will be acceptable in lieu of an amended return. The assessment or refund of tax shall be dependent on the statute of limitations as set forth in </w:t>
      </w:r>
      <w:hyperlink r:id="rId35">
        <w:r>
          <w:rPr>
            <w:rStyle w:val="Hyperlink"/>
            <w:rFonts w:ascii="Times New Roman" w:hAnsi="Times New Roman"/>
            <w:b w:val="false"/>
            <w:i w:val="false"/>
            <w:color w:val="000000"/>
            <w:sz w:val="22"/>
          </w:rPr>
          <w:t>701—subrule 500.2(1)</w:t>
        </w:r>
      </w:hyperlink>
      <w:r>
        <w:rPr>
          <w:rFonts w:ascii="Times New Roman" w:hAnsi="Times New Roman"/>
          <w:b w:val="false"/>
          <w:i w:val="false"/>
          <w:color w:val="000000"/>
          <w:sz w:val="22"/>
        </w:rPr>
        <w:t xml:space="preserve"> and rule </w:t>
      </w:r>
      <w:hyperlink r:id="rId36">
        <w:r>
          <w:rPr>
            <w:rStyle w:val="Hyperlink"/>
            <w:rFonts w:ascii="Times New Roman" w:hAnsi="Times New Roman"/>
            <w:b w:val="false"/>
            <w:i w:val="false"/>
            <w:color w:val="000000"/>
            <w:sz w:val="22"/>
          </w:rPr>
          <w:t>701—504.3</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and section </w:t>
      </w:r>
      <w:hyperlink r:id="rId38">
        <w:r>
          <w:rPr>
            <w:rStyle w:val="Hyperlink"/>
            <w:rFonts w:ascii="Times New Roman" w:hAnsi="Times New Roman"/>
            <w:b w:val="false"/>
            <w:i w:val="false"/>
            <w:color w:val="000000"/>
            <w:sz w:val="22"/>
          </w:rPr>
          <w:t>422.36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Senate File 2328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w:t>
      </w:r>
      <w:r>
        <w:rPr>
          <w:rFonts w:ascii="Times New Roman" w:hAnsi="Times New Roman"/>
          <w:b/>
          <w:i w:val="false"/>
          <w:color w:val="000000"/>
          <w:sz w:val="22"/>
        </w:rPr>
        <w:t xml:space="preserve">(422) </w:t>
      </w:r>
      <w:r>
        <w:rPr>
          <w:rFonts w:ascii="Times New Roman" w:hAnsi="Times New Roman"/>
          <w:b/>
          <w:i w:val="false"/>
          <w:color w:val="000000"/>
          <w:sz w:val="22"/>
        </w:rPr>
        <w:t xml:space="preserve">Payment of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501.4(1)</w:t>
      </w:r>
      <w:r>
        <w:rPr>
          <w:rFonts w:ascii="Times New Roman" w:hAnsi="Times New Roman"/>
          <w:b w:val="false"/>
          <w:i w:val="false"/>
          <w:color w:val="000000"/>
          <w:sz w:val="22"/>
        </w:rPr>
        <w:t> </w:t>
      </w:r>
      <w:r>
        <w:rPr>
          <w:rFonts w:ascii="Times New Roman" w:hAnsi="Times New Roman"/>
          <w:b w:val="false"/>
          <w:i/>
          <w:color w:val="000000"/>
          <w:sz w:val="22"/>
        </w:rPr>
        <w:t xml:space="preserve">Quarterly estimated payments. </w:t>
      </w:r>
      <w:r>
        <w:rPr>
          <w:rFonts w:ascii="Times New Roman" w:hAnsi="Times New Roman"/>
          <w:b w:val="false"/>
          <w:i w:val="false"/>
          <w:color w:val="000000"/>
          <w:sz w:val="22"/>
        </w:rPr>
        <w:t xml:space="preserve">Effective for taxable years beginning on or after July 1, 1977, corporations are required to make quarterly payments of estimated income tax. Rules pertaining to the estimated tax are contained in </w:t>
      </w:r>
      <w:hyperlink r:id="rId39">
        <w:r>
          <w:rPr>
            <w:rStyle w:val="Hyperlink"/>
            <w:rFonts w:ascii="Times New Roman" w:hAnsi="Times New Roman"/>
            <w:b w:val="false"/>
            <w:i w:val="false"/>
            <w:color w:val="000000"/>
            <w:sz w:val="22"/>
          </w:rPr>
          <w:t>701—Chapter 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501.4(3)</w:t>
      </w:r>
      <w:r>
        <w:rPr>
          <w:rFonts w:ascii="Times New Roman" w:hAnsi="Times New Roman"/>
          <w:b w:val="false"/>
          <w:i w:val="false"/>
          <w:color w:val="000000"/>
          <w:sz w:val="22"/>
        </w:rPr>
        <w:t> </w:t>
      </w:r>
      <w:r>
        <w:rPr>
          <w:rFonts w:ascii="Times New Roman" w:hAnsi="Times New Roman"/>
          <w:b w:val="false"/>
          <w:i/>
          <w:color w:val="000000"/>
          <w:sz w:val="22"/>
        </w:rPr>
        <w:t xml:space="preserve">Penalty and interest on unpaid tax. </w:t>
      </w:r>
      <w:r>
        <w:rPr>
          <w:rFonts w:ascii="Times New Roman" w:hAnsi="Times New Roman"/>
          <w:b w:val="false"/>
          <w:i w:val="false"/>
          <w:color w:val="000000"/>
          <w:sz w:val="22"/>
        </w:rPr>
        <w:t xml:space="preserve">See rule </w:t>
      </w:r>
      <w:hyperlink r:id="rId40">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 xml:space="preserve">(421) for penalty for tax periods beginning on or after January 1, 1991. See rule </w:t>
      </w:r>
      <w:hyperlink r:id="rId41">
        <w:r>
          <w:rPr>
            <w:rStyle w:val="Hyperlink"/>
            <w:rFonts w:ascii="Times New Roman" w:hAnsi="Times New Roman"/>
            <w:b w:val="false"/>
            <w:i w:val="false"/>
            <w:color w:val="000000"/>
            <w:sz w:val="22"/>
          </w:rPr>
          <w:t>701—10.7</w:t>
        </w:r>
      </w:hyperlink>
      <w:r>
        <w:rPr>
          <w:rFonts w:ascii="Times New Roman" w:hAnsi="Times New Roman"/>
          <w:b w:val="false"/>
          <w:i w:val="false"/>
          <w:color w:val="000000"/>
          <w:sz w:val="22"/>
        </w:rPr>
        <w:t>(421) for statutory exemptions to penalty for tax periods beginning on or after January 1, 1991.</w:t>
      </w:r>
    </w:p>
    <w:p>
      <w:pPr>
        <w:spacing w:before="0" w:after="0"/>
        <w:ind w:left="120"/>
        <w:jc w:val="both"/>
      </w:pPr>
      <w:r>
        <w:rPr>
          <w:rFonts w:ascii="Times New Roman" w:hAnsi="Times New Roman"/>
          <w:b w:val="false"/>
          <w:i w:val="false"/>
          <w:color w:val="000000"/>
          <w:sz w:val="22"/>
        </w:rPr>
        <w:t xml:space="preserve">Interest shall accrue on tax due from the original due date of the return. Interest on refunds of any portion of the tax imposed by statute which has been erroneously refunded and which is recoverable by the department shall bear interest as provided by law from the date of payment of the refund, considering each fraction of a month as an entire month. See rule </w:t>
      </w:r>
      <w:hyperlink r:id="rId42">
        <w:r>
          <w:rPr>
            <w:rStyle w:val="Hyperlink"/>
            <w:rFonts w:ascii="Times New Roman" w:hAnsi="Times New Roman"/>
            <w:b w:val="false"/>
            <w:i w:val="false"/>
            <w:color w:val="000000"/>
            <w:sz w:val="22"/>
          </w:rPr>
          <w:t>701—10.2</w:t>
        </w:r>
      </w:hyperlink>
      <w:r>
        <w:rPr>
          <w:rFonts w:ascii="Times New Roman" w:hAnsi="Times New Roman"/>
          <w:b w:val="false"/>
          <w:i w:val="false"/>
          <w:color w:val="000000"/>
          <w:sz w:val="22"/>
        </w:rPr>
        <w:t>(421) for the statutory interest rate.</w:t>
      </w:r>
    </w:p>
    <w:p>
      <w:pPr>
        <w:spacing w:before="0" w:after="0"/>
        <w:ind w:left="120"/>
        <w:jc w:val="both"/>
      </w:pPr>
      <w:r>
        <w:rPr>
          <w:rFonts w:ascii="Times New Roman" w:hAnsi="Times New Roman"/>
          <w:b w:val="false"/>
          <w:i w:val="false"/>
          <w:color w:val="000000"/>
          <w:sz w:val="22"/>
        </w:rPr>
        <w:t>All payments shall be first applied to the penalty and then to the interest, and the balance, if any, to the amount of tax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501.4(4)</w:t>
      </w:r>
      <w:r>
        <w:rPr>
          <w:rFonts w:ascii="Times New Roman" w:hAnsi="Times New Roman"/>
          <w:b w:val="false"/>
          <w:i w:val="false"/>
          <w:color w:val="000000"/>
          <w:sz w:val="22"/>
        </w:rPr>
        <w:t> </w:t>
      </w:r>
      <w:r>
        <w:rPr>
          <w:rFonts w:ascii="Times New Roman" w:hAnsi="Times New Roman"/>
          <w:b w:val="false"/>
          <w:i/>
          <w:color w:val="000000"/>
          <w:sz w:val="22"/>
        </w:rPr>
        <w:t xml:space="preserve">Payment of tax by uncertified checks. </w:t>
      </w:r>
      <w:r>
        <w:rPr>
          <w:rFonts w:ascii="Times New Roman" w:hAnsi="Times New Roman"/>
          <w:b w:val="false"/>
          <w:i w:val="false"/>
          <w:color w:val="000000"/>
          <w:sz w:val="22"/>
        </w:rPr>
        <w:t>The department will accept uncertified checks in payment of income taxes, provided the checks are collectible for their full amount without any deduction for exchange or other charges unless requirements for electronic transmission of remittances and related information specify otherwise. The date on which the department receives the check will be considered the date of payment, so far as the taxpayer is concerned, unless the check is dishonored. If one check is remitted to cover two or more corporations’ taxes, the remittance must be accompanied by a letter of transmittal stating: (a) the name of the drawer of the check; (b) the amount of the check; (c) the amount of any cash, money order or other instrument included in the same remittance; (d) the name of each corporation whose tax is to be paid by the remittance; and (e) the amount of payment on account of each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501.4(5)</w:t>
      </w:r>
      <w:r>
        <w:rPr>
          <w:rFonts w:ascii="Times New Roman" w:hAnsi="Times New Roman"/>
          <w:b w:val="false"/>
          <w:i w:val="false"/>
          <w:color w:val="000000"/>
          <w:sz w:val="22"/>
        </w:rPr>
        <w:t> </w:t>
      </w:r>
      <w:r>
        <w:rPr>
          <w:rFonts w:ascii="Times New Roman" w:hAnsi="Times New Roman"/>
          <w:b w:val="false"/>
          <w:i/>
          <w:color w:val="000000"/>
          <w:sz w:val="22"/>
        </w:rPr>
        <w:t xml:space="preserve">Procedure with respect to dishonored checks. </w:t>
      </w:r>
      <w:r>
        <w:rPr>
          <w:rFonts w:ascii="Times New Roman" w:hAnsi="Times New Roman"/>
          <w:b w:val="false"/>
          <w:i w:val="false"/>
          <w:color w:val="000000"/>
          <w:sz w:val="22"/>
        </w:rPr>
        <w:t>If any check is returned unpaid, all expenses incidental to the collection thereof will be charged to the taxpayer. If any taxpayer whose check has been returned by the depository bank uncollected should fail at once to make the check good, the director will proceed to collect the tax as though no check had been given. A taxpayer who tenders a certified check in payment for taxes is not relieved from his obligation until the check has been paid.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422.24</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422.86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701—501.5</w:t>
      </w:r>
      <w:r>
        <w:rPr>
          <w:rFonts w:ascii="Times New Roman" w:hAnsi="Times New Roman"/>
          <w:b/>
          <w:i w:val="false"/>
          <w:color w:val="000000"/>
          <w:sz w:val="22"/>
        </w:rPr>
        <w:t xml:space="preserve">(422) </w:t>
      </w:r>
      <w:r>
        <w:rPr>
          <w:rFonts w:ascii="Times New Roman" w:hAnsi="Times New Roman"/>
          <w:b/>
          <w:i w:val="false"/>
          <w:color w:val="000000"/>
          <w:sz w:val="22"/>
        </w:rPr>
        <w:t xml:space="preserve">Minimum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after 1997, a small business corporation or a new corporation for its first year of existence, which through the operation of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55(e) is exempt from the federal alternative minimum tax, is not subject to Iowa alternative minimum tax. A small business corporation may apply any alternative minimum tax credit carryforward to the extent of its regular corporation income tax liability.</w:t>
      </w:r>
    </w:p>
    <w:p>
      <w:pPr>
        <w:spacing w:before="0" w:after="0"/>
        <w:ind w:left="120"/>
        <w:jc w:val="both"/>
      </w:pPr>
      <w:r>
        <w:rPr>
          <w:rFonts w:ascii="Times New Roman" w:hAnsi="Times New Roman"/>
          <w:b w:val="false"/>
          <w:i w:val="false"/>
          <w:color w:val="000000"/>
          <w:sz w:val="22"/>
        </w:rPr>
        <w:t xml:space="preserve">For tax years beginning on or after January 1, 1987, the minimum tax is imposed only to the extent that it exceeds the taxpayer’s regular tax liability computed under Iowa Code section </w:t>
      </w:r>
      <w:hyperlink r:id="rId48">
        <w:r>
          <w:rPr>
            <w:rStyle w:val="Hyperlink"/>
            <w:rFonts w:ascii="Times New Roman" w:hAnsi="Times New Roman"/>
            <w:b w:val="false"/>
            <w:i w:val="false"/>
            <w:color w:val="000000"/>
            <w:sz w:val="22"/>
          </w:rPr>
          <w:t>422.33(1)</w:t>
        </w:r>
      </w:hyperlink>
      <w:r>
        <w:rPr>
          <w:rFonts w:ascii="Times New Roman" w:hAnsi="Times New Roman"/>
          <w:b w:val="false"/>
          <w:i w:val="false"/>
          <w:color w:val="000000"/>
          <w:sz w:val="22"/>
        </w:rPr>
        <w:t>. The minimum tax rate is 60 percent of the maximum corporate tax rate rounded to the nearest one-tenth of 1 percent or 7.2 percent. Minimum taxable income is computed as follows:</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1333"/>
        <w:gridCol w:w="10187"/>
      </w:tblGrid>
      <w:tr>
        <w:trPr>
          <w:trHeight w:val="270"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0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State taxable income as adjusted by Iowa Code section </w:t>
            </w:r>
            <w:hyperlink r:id="rId49">
              <w:r>
                <w:rPr>
                  <w:rStyle w:val="Hyperlink"/>
                  <w:rFonts w:ascii="Times New Roman" w:hAnsi="Times New Roman"/>
                  <w:b w:val="false"/>
                  <w:i w:val="false"/>
                  <w:color w:val="000000"/>
                  <w:sz w:val="21"/>
                </w:rPr>
                <w:t>422.35</w:t>
              </w:r>
            </w:hyperlink>
          </w:p>
        </w:tc>
      </w:tr>
      <w:tr>
        <w:trPr>
          <w:trHeight w:val="270"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Plus:</w:t>
            </w:r>
          </w:p>
        </w:tc>
        <w:tc>
          <w:tcPr>
            <w:tcW w:w="10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Tax preference items, adjustments and losses added back</w:t>
            </w:r>
          </w:p>
        </w:tc>
      </w:tr>
      <w:tr>
        <w:trPr>
          <w:trHeight w:val="975"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Less:</w:t>
            </w:r>
          </w:p>
        </w:tc>
        <w:tc>
          <w:tcPr>
            <w:tcW w:w="1018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xml:space="preserve">Allocable income including allocable preference items and adjustments under </w:t>
            </w:r>
            <w:r>
              <w:rPr>
                <w:rFonts w:ascii="Times New Roman" w:hAnsi="Times New Roman"/>
                <w:b w:val="false"/>
                <w:i w:val="false"/>
                <w:color w:val="000000"/>
                <w:sz w:val="21"/>
              </w:rPr>
              <w:t>Section 56 of the Internal Revenue Code</w:t>
            </w:r>
            <w:r>
              <w:rPr>
                <w:rFonts w:ascii="Times New Roman" w:hAnsi="Times New Roman"/>
                <w:b w:val="false"/>
                <w:i w:val="false"/>
                <w:color w:val="000000"/>
                <w:sz w:val="21"/>
              </w:rPr>
              <w:t xml:space="preserve"> including adjusted current earnings related to allocable income including the allocable preference items</w:t>
            </w:r>
          </w:p>
          <w:p>
            <w:pPr>
              <w:spacing w:before="0" w:after="0"/>
              <w:ind w:left="160"/>
              <w:jc w:val="left"/>
            </w:pPr>
            <w:r>
              <w:rPr>
                <w:rFonts w:ascii="Times New Roman" w:hAnsi="Times New Roman"/>
                <w:b w:val="false"/>
                <w:i w:val="false"/>
                <w:color w:val="000000"/>
                <w:sz w:val="21"/>
              </w:rPr>
              <w:t>Subtotal</w:t>
            </w:r>
          </w:p>
        </w:tc>
      </w:tr>
      <w:tr>
        <w:trPr>
          <w:trHeight w:val="495"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Times:</w:t>
            </w:r>
          </w:p>
        </w:tc>
        <w:tc>
          <w:tcPr>
            <w:tcW w:w="1018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Apportionment percentage</w:t>
            </w:r>
          </w:p>
          <w:p>
            <w:pPr>
              <w:spacing w:before="0" w:after="0"/>
              <w:ind w:left="160"/>
              <w:jc w:val="left"/>
            </w:pPr>
            <w:r>
              <w:rPr>
                <w:rFonts w:ascii="Times New Roman" w:hAnsi="Times New Roman"/>
                <w:b w:val="false"/>
                <w:i w:val="false"/>
                <w:color w:val="000000"/>
                <w:sz w:val="21"/>
              </w:rPr>
              <w:t>Result</w:t>
            </w:r>
          </w:p>
        </w:tc>
      </w:tr>
      <w:tr>
        <w:trPr>
          <w:trHeight w:val="735"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Plus:</w:t>
            </w:r>
          </w:p>
        </w:tc>
        <w:tc>
          <w:tcPr>
            <w:tcW w:w="10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Income allocable to Iowa including allocable preference items and adjustments under Section 56 of the Internal Revenue Code including adjusted current earnings related to allocable income including the allocable preference items</w:t>
            </w:r>
          </w:p>
        </w:tc>
      </w:tr>
      <w:tr>
        <w:trPr>
          <w:trHeight w:val="495"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Less:</w:t>
            </w:r>
          </w:p>
        </w:tc>
        <w:tc>
          <w:tcPr>
            <w:tcW w:w="1018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Iowa alternative tax net operating less deduction</w:t>
            </w:r>
          </w:p>
          <w:p>
            <w:pPr>
              <w:spacing w:before="0" w:after="0"/>
              <w:ind w:left="160"/>
              <w:jc w:val="left"/>
            </w:pPr>
            <w:r>
              <w:rPr>
                <w:rFonts w:ascii="Times New Roman" w:hAnsi="Times New Roman"/>
                <w:b w:val="false"/>
                <w:i w:val="false"/>
                <w:color w:val="000000"/>
                <w:sz w:val="21"/>
              </w:rPr>
              <w:t>$40,000 exemption amount</w:t>
            </w:r>
          </w:p>
        </w:tc>
      </w:tr>
      <w:tr>
        <w:trPr>
          <w:trHeight w:val="270"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Equals:</w:t>
            </w:r>
          </w:p>
        </w:tc>
        <w:tc>
          <w:tcPr>
            <w:tcW w:w="10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Iowa alternative minimum taxable income</w:t>
            </w:r>
          </w:p>
        </w:tc>
      </w:tr>
    </w:tbl>
    <w:p>
      <w:pPr>
        <w:spacing w:before="0" w:after="0"/>
        <w:ind w:left="120"/>
        <w:jc w:val="both"/>
      </w:pPr>
      <w:r>
        <w:rPr>
          <w:rFonts w:ascii="Times New Roman" w:hAnsi="Times New Roman"/>
          <w:b w:val="false"/>
          <w:i w:val="false"/>
          <w:color w:val="000000"/>
          <w:sz w:val="22"/>
        </w:rPr>
        <w:t xml:space="preserve">For tax years beginning on or after January 1, 1987, the items of tax preference are the same items of tax preference under Section 57 except for Subsections (a)(1) and (a)(5)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used to compute federal alternative minimum taxable income. The adjustments to state taxable income are those adjustments required by Section 56 except for Subsections (a)(4) and (d)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used to compute federal alternative minimum taxable income. In making the adjustment under </w:t>
      </w:r>
      <w:r>
        <w:rPr>
          <w:rFonts w:ascii="Times New Roman" w:hAnsi="Times New Roman"/>
          <w:b w:val="false"/>
          <w:i w:val="false"/>
          <w:color w:val="000000"/>
          <w:sz w:val="22"/>
        </w:rPr>
        <w:t>Section 56(c)(1) of the Internal Revenue Code</w:t>
      </w:r>
      <w:r>
        <w:rPr>
          <w:rFonts w:ascii="Times New Roman" w:hAnsi="Times New Roman"/>
          <w:b w:val="false"/>
          <w:i w:val="false"/>
          <w:color w:val="000000"/>
          <w:sz w:val="22"/>
        </w:rPr>
        <w:t xml:space="preserve">, interest and dividends from federal securities net of amortization of any discount or premium shall be subtracted. For tax years beginning on or after January 1, 1988, in making the adjustment under </w:t>
      </w:r>
      <w:r>
        <w:rPr>
          <w:rFonts w:ascii="Times New Roman" w:hAnsi="Times New Roman"/>
          <w:b w:val="false"/>
          <w:i w:val="false"/>
          <w:color w:val="000000"/>
          <w:sz w:val="22"/>
        </w:rPr>
        <w:t>Section 56(c)(1) of the Internal Revenue Code</w:t>
      </w:r>
      <w:r>
        <w:rPr>
          <w:rFonts w:ascii="Times New Roman" w:hAnsi="Times New Roman"/>
          <w:b w:val="false"/>
          <w:i w:val="false"/>
          <w:color w:val="000000"/>
          <w:sz w:val="22"/>
        </w:rPr>
        <w:t xml:space="preserve">, interest and dividends from state and other political subdivisions and from regulated investment companies exempt from federal income tax under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shall be subtracted net of amortization of any discount or premium. In making the adjustment for adjusted current earnings, subtract Foreign Sales Company (FSC) dividend income and Puerto Rican dividend income computed under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936 to the extent they are included in the federal computation of adjusted current earnings. Losses to be added are those losses required to be added by </w:t>
      </w:r>
      <w:r>
        <w:rPr>
          <w:rFonts w:ascii="Times New Roman" w:hAnsi="Times New Roman"/>
          <w:b w:val="false"/>
          <w:i w:val="false"/>
          <w:color w:val="000000"/>
          <w:sz w:val="22"/>
        </w:rPr>
        <w:t>Section 58 of the Internal Revenue Code</w:t>
      </w:r>
      <w:r>
        <w:rPr>
          <w:rFonts w:ascii="Times New Roman" w:hAnsi="Times New Roman"/>
          <w:b w:val="false"/>
          <w:i w:val="false"/>
          <w:color w:val="000000"/>
          <w:sz w:val="22"/>
        </w:rPr>
        <w:t xml:space="preserve"> in computing federal alternative minimum taxable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Tax preference items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Intangible drilling costs;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Incentive stock options;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Reserves for losses on bad debts of financial institutions;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Appreciated property charitable deductions;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Accelerated depreciation or amortization on certain property placed in service before January 1,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Adjustments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Depreciation;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Mining exploration and development;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Long-term contracts;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Iowa alternative minimum net operating loss deduction;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Book income or adjusted earnings and profits.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Losses added back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Farm losses;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Passive activity losses.</w:t>
      </w:r>
    </w:p>
    <w:p>
      <w:pPr>
        <w:spacing w:before="0" w:after="0"/>
        <w:ind w:left="120"/>
        <w:jc w:val="both"/>
      </w:pPr>
      <w:r>
        <w:rPr>
          <w:rFonts w:ascii="Times New Roman" w:hAnsi="Times New Roman"/>
          <w:b w:val="false"/>
          <w:i w:val="false"/>
          <w:color w:val="000000"/>
          <w:sz w:val="22"/>
        </w:rPr>
        <w:t>Computation of Iowa alternative minimum tax net operating loss deduction.</w:t>
      </w:r>
    </w:p>
    <w:p>
      <w:pPr>
        <w:spacing w:before="0" w:after="0"/>
        <w:ind w:left="120"/>
        <w:jc w:val="both"/>
      </w:pPr>
      <w:r>
        <w:rPr>
          <w:rFonts w:ascii="Times New Roman" w:hAnsi="Times New Roman"/>
          <w:b w:val="false"/>
          <w:i w:val="false"/>
          <w:color w:val="000000"/>
          <w:sz w:val="22"/>
        </w:rPr>
        <w:t xml:space="preserve">Net operating losses computed under rule </w:t>
      </w:r>
      <w:hyperlink r:id="rId50">
        <w:r>
          <w:rPr>
            <w:rStyle w:val="Hyperlink"/>
            <w:rFonts w:ascii="Times New Roman" w:hAnsi="Times New Roman"/>
            <w:b w:val="false"/>
            <w:i w:val="false"/>
            <w:color w:val="000000"/>
            <w:sz w:val="22"/>
          </w:rPr>
          <w:t>701—502.2</w:t>
        </w:r>
      </w:hyperlink>
      <w:r>
        <w:rPr>
          <w:rFonts w:ascii="Times New Roman" w:hAnsi="Times New Roman"/>
          <w:b w:val="false"/>
          <w:i w:val="false"/>
          <w:color w:val="000000"/>
          <w:sz w:val="22"/>
        </w:rPr>
        <w:t>(422) carried forward from tax years which begin before January 1, 1987, are deductible without adjustment.</w:t>
      </w:r>
    </w:p>
    <w:p>
      <w:pPr>
        <w:spacing w:before="0" w:after="0"/>
        <w:ind w:left="120"/>
        <w:jc w:val="both"/>
      </w:pPr>
      <w:r>
        <w:rPr>
          <w:rFonts w:ascii="Times New Roman" w:hAnsi="Times New Roman"/>
          <w:b w:val="false"/>
          <w:i w:val="false"/>
          <w:color w:val="000000"/>
          <w:sz w:val="22"/>
        </w:rPr>
        <w:t xml:space="preserve">Net operating losses from tax years which begin after December 31, 1986, which are carried back or carried forward to the current tax year shall be reduced by the amount of tax preferences and adjustments taken into account in computing the net operating loss prior to applying rule </w:t>
      </w:r>
      <w:hyperlink r:id="rId51">
        <w:r>
          <w:rPr>
            <w:rStyle w:val="Hyperlink"/>
            <w:rFonts w:ascii="Times New Roman" w:hAnsi="Times New Roman"/>
            <w:b w:val="false"/>
            <w:i w:val="false"/>
            <w:color w:val="000000"/>
            <w:sz w:val="22"/>
          </w:rPr>
          <w:t>701—502.2</w:t>
        </w:r>
      </w:hyperlink>
      <w:r>
        <w:rPr>
          <w:rFonts w:ascii="Times New Roman" w:hAnsi="Times New Roman"/>
          <w:b w:val="false"/>
          <w:i w:val="false"/>
          <w:color w:val="000000"/>
          <w:sz w:val="22"/>
        </w:rPr>
        <w:t>(422). The deduction for a net operating loss from a tax year beginning after December 31, 1986, which is carried back or carried forward shall not exceed 90 percent of the alternative minimum taxable income computed without regard for the net operating loss deduction.</w:t>
      </w:r>
    </w:p>
    <w:p>
      <w:pPr>
        <w:spacing w:before="0" w:after="0"/>
        <w:ind w:left="120"/>
        <w:jc w:val="both"/>
      </w:pPr>
      <w:r>
        <w:rPr>
          <w:rFonts w:ascii="Times New Roman" w:hAnsi="Times New Roman"/>
          <w:b w:val="false"/>
          <w:i w:val="false"/>
          <w:color w:val="000000"/>
          <w:sz w:val="22"/>
        </w:rPr>
        <w:t>The exemption amount shall be reduced by 25 percent of the amount that the alternative minimum taxable income computed without regard to the $40,000 exemption exceeds $150,000. The exemption shall not be reduced below zero.</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following example shows the computation of the alternative minimum tax when there are net operating loss carryforwards and carrybacks including an alternative minimum tax net operating loss.</w:t>
      </w:r>
    </w:p>
    <w:p>
      <w:pPr>
        <w:spacing w:before="0" w:after="0"/>
        <w:ind w:left="120"/>
        <w:jc w:val="both"/>
      </w:pPr>
      <w:r>
        <w:rPr>
          <w:rFonts w:ascii="Times New Roman" w:hAnsi="Times New Roman"/>
          <w:b w:val="false"/>
          <w:i w:val="false"/>
          <w:color w:val="000000"/>
          <w:sz w:val="22"/>
        </w:rPr>
        <w:t>For tax year 1987, the following information is available:</w:t>
      </w:r>
    </w:p>
    <w:tbl>
      <w:tblPr>
        <w:tblW w:w="0" w:type="auto"/>
        <w:tblCellSpacing w:w="0" w:type="auto"/>
        <w:tblBorders>
          <w:top w:val="none"/>
          <w:left w:val="none"/>
          <w:bottom w:val="none"/>
          <w:right w:val="none"/>
          <w:insideH w:val="none"/>
          <w:insideV w:val="none"/>
        </w:tblBorders>
        <w:tblLayout w:type="fixed"/>
      </w:tblPr>
      <w:tblGrid>
        <w:gridCol w:w="8475"/>
        <w:gridCol w:w="2715"/>
      </w:tblGrid>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taxable income before NOL</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$182,000</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NOL carryforward</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&lt;97,000&gt;</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income tax</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19,750</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Tax preferences and adjustments</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48,000</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income tax expensed on federal</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2,570</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NOL carryforward</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147,000</w:t>
            </w:r>
          </w:p>
        </w:tc>
      </w:tr>
    </w:tbl>
    <w:p>
      <w:pPr>
        <w:spacing w:before="0" w:after="0"/>
        <w:ind w:left="120"/>
        <w:jc w:val="both"/>
      </w:pPr>
      <w:r>
        <w:rPr>
          <w:rFonts w:ascii="Times New Roman" w:hAnsi="Times New Roman"/>
          <w:b w:val="false"/>
          <w:i w:val="false"/>
          <w:color w:val="000000"/>
          <w:sz w:val="22"/>
        </w:rPr>
        <w:t>For tax year 1988, the following information is available:</w:t>
      </w:r>
    </w:p>
    <w:tbl>
      <w:tblPr>
        <w:tblW w:w="0" w:type="auto"/>
        <w:tblCellSpacing w:w="0" w:type="auto"/>
        <w:tblBorders>
          <w:top w:val="none"/>
          <w:left w:val="none"/>
          <w:bottom w:val="none"/>
          <w:right w:val="none"/>
          <w:insideH w:val="none"/>
          <w:insideV w:val="none"/>
        </w:tblBorders>
        <w:tblLayout w:type="fixed"/>
      </w:tblPr>
      <w:tblGrid>
        <w:gridCol w:w="8475"/>
        <w:gridCol w:w="2715"/>
      </w:tblGrid>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taxable income before NOL</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$&lt;154,000&gt;</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income tax refund</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15,460</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Tax preferences and adjustments</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78,000</w:t>
            </w:r>
          </w:p>
        </w:tc>
      </w:tr>
      <w:tr>
        <w:trPr>
          <w:trHeight w:val="210" w:hRule="atLeast"/>
        </w:trPr>
        <w:tc>
          <w:tcPr>
            <w:tcW w:w="84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income tax refund reported on federal</w:t>
            </w:r>
          </w:p>
        </w:tc>
        <w:tc>
          <w:tcPr>
            <w:tcW w:w="27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2,570</w:t>
            </w:r>
          </w:p>
        </w:tc>
      </w:tr>
    </w:tbl>
    <w:p>
      <w:pPr>
        <w:spacing w:before="0" w:after="0"/>
        <w:ind w:left="120"/>
        <w:jc w:val="both"/>
      </w:pPr>
      <w:r>
        <w:rPr>
          <w:rFonts w:ascii="Times New Roman" w:hAnsi="Times New Roman"/>
          <w:b w:val="false"/>
          <w:i w:val="false"/>
          <w:color w:val="000000"/>
          <w:sz w:val="22"/>
        </w:rPr>
        <w:t>The alternative minimum tax for 1987 before the 1988 net operating loss carryback should be computed as follows:</w:t>
      </w:r>
    </w:p>
    <w:tbl>
      <w:tblPr>
        <w:tblW w:w="0" w:type="auto"/>
        <w:tblCellSpacing w:w="0" w:type="auto"/>
        <w:tblBorders>
          <w:top w:val="none"/>
          <w:left w:val="none"/>
          <w:bottom w:val="none"/>
          <w:right w:val="none"/>
          <w:insideH w:val="none"/>
          <w:insideV w:val="none"/>
        </w:tblBorders>
        <w:tblLayout w:type="fixed"/>
      </w:tblPr>
      <w:tblGrid>
        <w:gridCol w:w="8489"/>
        <w:gridCol w:w="1663"/>
        <w:gridCol w:w="1038"/>
      </w:tblGrid>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Regular Iowa Tax</w:t>
            </w:r>
          </w:p>
        </w:tc>
        <w:tc>
          <w:tcPr>
            <w:tcW w:w="16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taxable income</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$182,000</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7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50% federal tax</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&lt;9,875</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add Iowa income tax expensed</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2,570</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taxable income before NOL carryforward</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$174,695</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NOL carryforward</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&lt;147,000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taxable income</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$ 27,695</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income tax</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$ 1,716</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Alternative Minimum Tax</w:t>
            </w:r>
          </w:p>
        </w:tc>
        <w:tc>
          <w:tcPr>
            <w:tcW w:w="16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taxable income before NOL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$174,695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add preferences and adjustments</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48,000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$222,695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NOL carryforward*</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&lt;147,000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alternative taxable income</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$ 75,695</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exemption amount</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&lt;40,000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$ 35,695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Times 7.2%</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2,570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regular tax</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&lt;1,715</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Alternative minimum tax</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$ 855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*Net operating loss carryforwards from tax years beginning before January 1, 1987, are deductible at 100 percent without reduction for items of tax preference or adjustments arising in the tax year.</w:t>
      </w:r>
    </w:p>
    <w:p>
      <w:pPr>
        <w:spacing w:before="0" w:after="0"/>
        <w:ind w:left="120"/>
        <w:jc w:val="both"/>
      </w:pPr>
      <w:r>
        <w:rPr>
          <w:rFonts w:ascii="Times New Roman" w:hAnsi="Times New Roman"/>
          <w:b w:val="false"/>
          <w:i w:val="false"/>
          <w:color w:val="000000"/>
          <w:sz w:val="22"/>
        </w:rPr>
        <w:t>The alternative minimum tax for 1987 after the 1988 net operating loss carryback should be computed as follows:</w:t>
      </w:r>
    </w:p>
    <w:tbl>
      <w:tblPr>
        <w:tblW w:w="0" w:type="auto"/>
        <w:tblCellSpacing w:w="0" w:type="auto"/>
        <w:tblBorders>
          <w:top w:val="none"/>
          <w:left w:val="none"/>
          <w:bottom w:val="none"/>
          <w:right w:val="none"/>
          <w:insideH w:val="none"/>
          <w:insideV w:val="none"/>
        </w:tblBorders>
        <w:tblLayout w:type="fixed"/>
      </w:tblPr>
      <w:tblGrid>
        <w:gridCol w:w="8374"/>
        <w:gridCol w:w="1893"/>
        <w:gridCol w:w="923"/>
      </w:tblGrid>
      <w:tr>
        <w:trPr>
          <w:trHeight w:val="210"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Regular Iowa Tax</w:t>
            </w:r>
          </w:p>
        </w:tc>
        <w:tc>
          <w:tcPr>
            <w:tcW w:w="18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taxable income</w:t>
            </w:r>
          </w:p>
        </w:tc>
        <w:tc>
          <w:tcPr>
            <w:tcW w:w="18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$ 182,000 </w:t>
            </w:r>
          </w:p>
        </w:tc>
        <w:tc>
          <w:tcPr>
            <w:tcW w:w="9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50% federal tax</w:t>
            </w:r>
          </w:p>
        </w:tc>
        <w:tc>
          <w:tcPr>
            <w:tcW w:w="18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&lt;9,875</w:t>
            </w:r>
          </w:p>
        </w:tc>
        <w:tc>
          <w:tcPr>
            <w:tcW w:w="92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add Iowa income tax expensed</w:t>
            </w:r>
          </w:p>
        </w:tc>
        <w:tc>
          <w:tcPr>
            <w:tcW w:w="189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2,570</w:t>
            </w:r>
          </w:p>
        </w:tc>
        <w:tc>
          <w:tcPr>
            <w:tcW w:w="9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taxable income before NOL carryforward</w:t>
            </w:r>
          </w:p>
        </w:tc>
        <w:tc>
          <w:tcPr>
            <w:tcW w:w="18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$ 174,695 </w:t>
            </w:r>
          </w:p>
        </w:tc>
        <w:tc>
          <w:tcPr>
            <w:tcW w:w="9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NOL carryforward</w:t>
            </w:r>
          </w:p>
        </w:tc>
        <w:tc>
          <w:tcPr>
            <w:tcW w:w="189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&lt;147,000</w:t>
            </w:r>
          </w:p>
        </w:tc>
        <w:tc>
          <w:tcPr>
            <w:tcW w:w="92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$ 27,695 </w:t>
            </w:r>
          </w:p>
        </w:tc>
        <w:tc>
          <w:tcPr>
            <w:tcW w:w="9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40"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NOL carryback from 1988</w:t>
            </w:r>
            <w:r>
              <w:rPr>
                <w:rFonts w:ascii="Times New Roman" w:hAnsi="Times New Roman"/>
                <w:b w:val="false"/>
                <w:i w:val="false"/>
                <w:color w:val="000000"/>
                <w:sz w:val="18"/>
                <w:vertAlign w:val="superscript"/>
              </w:rPr>
              <w:t>1</w:t>
            </w:r>
          </w:p>
        </w:tc>
        <w:tc>
          <w:tcPr>
            <w:tcW w:w="189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&lt;148,840</w:t>
            </w:r>
          </w:p>
        </w:tc>
        <w:tc>
          <w:tcPr>
            <w:tcW w:w="92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3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NOL carryforward</w:t>
            </w:r>
          </w:p>
        </w:tc>
        <w:tc>
          <w:tcPr>
            <w:tcW w:w="18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&lt;121,145</w:t>
            </w:r>
          </w:p>
        </w:tc>
        <w:tc>
          <w:tcPr>
            <w:tcW w:w="92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bl>
    <w:tbl>
      <w:tblPr>
        <w:tblW w:w="0" w:type="auto"/>
        <w:tblCellSpacing w:w="0" w:type="auto"/>
        <w:tblBorders>
          <w:top w:val="none"/>
          <w:left w:val="none"/>
          <w:bottom w:val="none"/>
          <w:right w:val="none"/>
          <w:insideH w:val="none"/>
          <w:insideV w:val="none"/>
        </w:tblBorders>
        <w:tblLayout w:type="fixed"/>
      </w:tblPr>
      <w:tblGrid>
        <w:gridCol w:w="8489"/>
        <w:gridCol w:w="1663"/>
        <w:gridCol w:w="1038"/>
      </w:tblGrid>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Alternative Minimum Tax</w:t>
            </w:r>
          </w:p>
        </w:tc>
        <w:tc>
          <w:tcPr>
            <w:tcW w:w="16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taxable income before NOL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$ 174,695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add preferences and adjustments</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48,000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$ 222,695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NOL carryforward from pre-1987 tax year</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&lt;147,000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$ 75,695</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4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alternative minimum tax NOL</w:t>
            </w:r>
            <w:r>
              <w:rPr>
                <w:rFonts w:ascii="Times New Roman" w:hAnsi="Times New Roman"/>
                <w:b w:val="false"/>
                <w:i w:val="false"/>
                <w:color w:val="000000"/>
                <w:sz w:val="18"/>
                <w:vertAlign w:val="superscript"/>
              </w:rPr>
              <w:t>2</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&lt;68,126</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$ 7,569</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exemption</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&lt;40,000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Alternative minimum taxable income after NOL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-0-</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Computation of 1988 Iowa NOL</w:t>
      </w:r>
    </w:p>
    <w:tbl>
      <w:tblPr>
        <w:tblW w:w="0" w:type="auto"/>
        <w:tblCellSpacing w:w="0" w:type="auto"/>
        <w:tblBorders>
          <w:top w:val="none"/>
          <w:left w:val="none"/>
          <w:bottom w:val="none"/>
          <w:right w:val="none"/>
          <w:insideH w:val="none"/>
          <w:insideV w:val="none"/>
        </w:tblBorders>
        <w:tblLayout w:type="fixed"/>
      </w:tblPr>
      <w:tblGrid>
        <w:gridCol w:w="8489"/>
        <w:gridCol w:w="1663"/>
        <w:gridCol w:w="1038"/>
      </w:tblGrid>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NOL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$&lt;154,000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add 50% of federal refund</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7,730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less Iowa refund in federal income</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&lt;2,570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NOL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$&lt;148,840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bl>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Computation of 1988 Alternative Minimum Tax NOL</w:t>
      </w:r>
    </w:p>
    <w:tbl>
      <w:tblPr>
        <w:tblW w:w="0" w:type="auto"/>
        <w:tblCellSpacing w:w="0" w:type="auto"/>
        <w:tblBorders>
          <w:top w:val="none"/>
          <w:left w:val="none"/>
          <w:bottom w:val="none"/>
          <w:right w:val="none"/>
          <w:insideH w:val="none"/>
          <w:insideV w:val="none"/>
        </w:tblBorders>
        <w:tblLayout w:type="fixed"/>
      </w:tblPr>
      <w:tblGrid>
        <w:gridCol w:w="8489"/>
        <w:gridCol w:w="1663"/>
        <w:gridCol w:w="1038"/>
      </w:tblGrid>
      <w:tr>
        <w:trPr>
          <w:trHeight w:val="210"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NOL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$&lt;148,840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add preferences and adjustments</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78,000</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&lt;70,840</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NOL carryback limited to 90% of alternative minimum</w:t>
            </w:r>
          </w:p>
        </w:tc>
        <w:tc>
          <w:tcPr>
            <w:tcW w:w="16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income before NOL and exemption*</w:t>
            </w:r>
          </w:p>
        </w:tc>
        <w:tc>
          <w:tcPr>
            <w:tcW w:w="16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&lt;68,126</w:t>
            </w:r>
          </w:p>
        </w:tc>
        <w:tc>
          <w:tcPr>
            <w:tcW w:w="10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84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Alternative minimum tax NOL carryforward</w:t>
            </w:r>
          </w:p>
        </w:tc>
        <w:tc>
          <w:tcPr>
            <w:tcW w:w="16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$ 2,705</w:t>
            </w:r>
          </w:p>
        </w:tc>
        <w:tc>
          <w:tcPr>
            <w:tcW w:w="10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*For purposes of the alternative minimum tax, net operating loss carryforward or carryback from tax years beginning after December 31, 1986, must be reduced by items of tax preference and adjustments, and are limited to 90 percent of alternative minimum taxable income before deduction of the post-1986 NOL and the $40,000 exemption amount ($75,695 × 90% = $68,126).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501.5(3)</w:t>
      </w:r>
      <w:r>
        <w:rPr>
          <w:rFonts w:ascii="Times New Roman" w:hAnsi="Times New Roman"/>
          <w:b w:val="false"/>
          <w:i w:val="false"/>
          <w:color w:val="000000"/>
          <w:sz w:val="22"/>
        </w:rPr>
        <w:t> </w:t>
      </w:r>
      <w:r>
        <w:rPr>
          <w:rFonts w:ascii="Times New Roman" w:hAnsi="Times New Roman"/>
          <w:b w:val="false"/>
          <w:i w:val="false"/>
          <w:color w:val="000000"/>
          <w:sz w:val="22"/>
        </w:rPr>
        <w:t>Effective for tax years beginning on or after January 1, 1986, estimated payments are required for minimum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501.5(4)</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credit for minimum tax paid in a prior tax year. Minimum tax paid by a taxpayer in prior tax years commencing with tax years beginning on or after January 1, 1987, can be claimed as a tax credit against the taxpayer’s regular income tax liability in a subsequent tax year. Therefore, 1988 is the first tax year that the minimum tax credit is available for use, and the credit is based on the minimum tax paid by the taxpayer for 1987. The minimum tax credit may only be used against regular income tax for a tax year to the extent that the regular tax is greater than the minimum tax for the tax year. If the minimum tax credit is not used up against the regular tax for a tax year, the remaining credit is carried to the following tax year to be applied against the regular income tax liability for that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Computation of minimum tax credit on Schedule IA 8827. </w:t>
      </w:r>
      <w:r>
        <w:rPr>
          <w:rFonts w:ascii="Times New Roman" w:hAnsi="Times New Roman"/>
          <w:b w:val="false"/>
          <w:i w:val="false"/>
          <w:color w:val="000000"/>
          <w:sz w:val="22"/>
        </w:rPr>
        <w:t>The minimum tax credit is computed on Schedule IA 8827 from information on Schedule IA 4626 for prior tax years, from Form IA 1120 and Schedule IA 4626 for the current year and from Schedule IA 8827 for prior tax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Examples of computation of the minimum tax credit and carryover of the credit. </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Taxpayer reported $5,000 of minimum tax for 2007. For 2008, taxpayer reported regular tax of $8,000 and the minimum tax liability is $6,000. The minimum tax credit is $2,000 for 2008 because, although the taxpayer had an $8,000 regular tax liability, the credit is allowed only to the extent that the regular tax exceeds the minimum tax. Since only $2,000 of the carryover credit from 2007 was used, there is a $3,000 minimum tax carryover credit to 2009.</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Taxpayer reported $2,500 of minimum tax for 2007. For 2008, taxpayer reported regular tax of $8,000 and the minimum tax liability is $5,000. The minimum tax credit is $2,500 for 2008 because, although the regular tax exceeded the minimum tax by $3,000, the credit is allowed only to the extent of minimum tax paid for prior tax years. There is no minimum tax carryover credit to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minimum tax credit attributable to a member leaving an affiliated group filing a consolidated Iowa corporation income tax return. </w:t>
      </w:r>
      <w:r>
        <w:rPr>
          <w:rFonts w:ascii="Times New Roman" w:hAnsi="Times New Roman"/>
          <w:b w:val="false"/>
          <w:i w:val="false"/>
          <w:color w:val="000000"/>
          <w:sz w:val="22"/>
        </w:rPr>
        <w:t>The amount of minimum tax credit available for carryforward attributable to a member of a consolidated Iowa income tax return shall be computed as follows: The consolidated minimum tax credit available for carryforward from each tax year is multiplied by a fraction, the numerator of which is the separate member’s tax preferences and adjustments for the tax year and the denominator of which is the total tax preferences and adjustments of all members of the consolidated Iowa income tax return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minimum tax credit which may be used by a new member of a consolidated Iowa corporation income tax return. </w:t>
      </w:r>
      <w:r>
        <w:rPr>
          <w:rFonts w:ascii="Times New Roman" w:hAnsi="Times New Roman"/>
          <w:b w:val="false"/>
          <w:i w:val="false"/>
          <w:color w:val="000000"/>
          <w:sz w:val="22"/>
        </w:rPr>
        <w:t xml:space="preserve">The amount of minimum tax credit carryforward which may be used by a new member of a consolidated Iowa income tax return is limited to the separate member’s contribution to the amount by which the regular income tax set forth in Iowa Code section </w:t>
      </w:r>
      <w:hyperlink r:id="rId52">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exceeds the tentative minimum tax.</w:t>
      </w:r>
    </w:p>
    <w:p>
      <w:pPr>
        <w:spacing w:before="0" w:after="0"/>
        <w:ind w:left="120"/>
        <w:jc w:val="both"/>
      </w:pPr>
      <w:r>
        <w:rPr>
          <w:rFonts w:ascii="Times New Roman" w:hAnsi="Times New Roman"/>
          <w:b w:val="false"/>
          <w:i w:val="false"/>
          <w:color w:val="000000"/>
          <w:sz w:val="22"/>
        </w:rPr>
        <w:t>The separate member’s contribution to the amount by which the regular income tax exceeds the tentative minimum tax shall be computed as follows:</w:t>
      </w:r>
    </w:p>
    <w:tbl>
      <w:tblPr>
        <w:tblW w:w="0" w:type="auto"/>
        <w:tblCellSpacing w:w="0" w:type="auto"/>
        <w:tblBorders>
          <w:top w:val="none"/>
          <w:left w:val="none"/>
          <w:bottom w:val="none"/>
          <w:right w:val="none"/>
          <w:insideH w:val="none"/>
          <w:insideV w:val="none"/>
        </w:tblBorders>
        <w:tblLayout w:type="fixed"/>
      </w:tblPr>
      <w:tblGrid>
        <w:gridCol w:w="410"/>
        <w:gridCol w:w="541"/>
        <w:gridCol w:w="1129"/>
        <w:gridCol w:w="321"/>
        <w:gridCol w:w="715"/>
        <w:gridCol w:w="475"/>
        <w:gridCol w:w="7598"/>
      </w:tblGrid>
      <w:tr>
        <w:trPr>
          <w:trHeight w:val="225" w:hRule="atLeast"/>
        </w:trPr>
        <w:tc>
          <w:tcPr>
            <w:tcW w:w="410" w:type="dxa"/>
            <w:vMerge w:val="restart"/>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 </w:t>
            </w:r>
          </w:p>
        </w:tc>
        <w:tc>
          <w:tcPr>
            <w:tcW w:w="541"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xml:space="preserve"> A</w:t>
            </w:r>
          </w:p>
        </w:tc>
        <w:tc>
          <w:tcPr>
            <w:tcW w:w="1129" w:type="dxa"/>
            <w:vMerge w:val="restart"/>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 × C + D</w:t>
            </w:r>
          </w:p>
        </w:tc>
        <w:tc>
          <w:tcPr>
            <w:tcW w:w="321" w:type="dxa"/>
            <w:vMerge w:val="restart"/>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p>
        </w:tc>
        <w:tc>
          <w:tcPr>
            <w:tcW w:w="715"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 × F</w:t>
            </w:r>
          </w:p>
        </w:tc>
        <w:tc>
          <w:tcPr>
            <w:tcW w:w="475"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7598" w:type="dxa"/>
            <w:vMerge w:val="restart"/>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 xml:space="preserve">Separate member’s contribution to the amount by which regular income tax set forth in section </w:t>
            </w:r>
            <w:hyperlink r:id="rId53">
              <w:r>
                <w:rPr>
                  <w:rStyle w:val="Hyperlink"/>
                  <w:rFonts w:ascii="Times New Roman" w:hAnsi="Times New Roman"/>
                  <w:b w:val="false"/>
                  <w:i w:val="false"/>
                  <w:color w:val="000000"/>
                  <w:sz w:val="16"/>
                </w:rPr>
                <w:t>422.33</w:t>
              </w:r>
            </w:hyperlink>
            <w:r>
              <w:rPr>
                <w:rFonts w:ascii="Times New Roman" w:hAnsi="Times New Roman"/>
                <w:b w:val="false"/>
                <w:i w:val="false"/>
                <w:color w:val="000000"/>
                <w:sz w:val="16"/>
              </w:rPr>
              <w:t xml:space="preserve"> exceeds the tentative minimum tax.</w:t>
            </w:r>
          </w:p>
        </w:tc>
      </w:tr>
      <w:tr>
        <w:trPr>
          <w:trHeight w:val="225" w:hRule="atLeast"/>
        </w:trPr>
        <w:tc>
          <w:tcPr>
            <w:tcW w:w="0" w:type="auto"/>
            <w:vMerge/>
            <w:tcBorders>
              <w:top w:val="nil"/>
              <w:bottom w:val="single" w:color="000000" w:sz="8"/>
            </w:tcBorders>
          </w:tcPr>
          <w:p/>
        </w:tc>
        <w:tc>
          <w:tcPr>
            <w:tcW w:w="5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B</w:t>
            </w:r>
          </w:p>
        </w:tc>
        <w:tc>
          <w:tcPr>
            <w:tcW w:w="0" w:type="auto"/>
            <w:vMerge/>
            <w:tcBorders>
              <w:top w:val="nil"/>
              <w:bottom w:val="single" w:color="000000" w:sz="8"/>
            </w:tcBorders>
          </w:tcPr>
          <w:p/>
        </w:tc>
        <w:tc>
          <w:tcPr>
            <w:tcW w:w="0" w:type="auto"/>
            <w:vMerge/>
            <w:tcBorders>
              <w:top w:val="nil"/>
              <w:bottom w:val="single" w:color="000000" w:sz="8"/>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r>
      <w:tr>
        <w:trPr>
          <w:trHeight w:val="225" w:hRule="atLeast"/>
        </w:trPr>
        <w:tc>
          <w:tcPr>
            <w:tcW w:w="0" w:type="auto"/>
            <w:gridSpan w:val="4"/>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w:t>
            </w:r>
          </w:p>
        </w:tc>
        <w:tc>
          <w:tcPr>
            <w:tcW w:w="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r>
    </w:tbl>
    <w:p>
      <w:pPr>
        <w:spacing w:before="0" w:after="0"/>
        <w:ind w:left="120"/>
        <w:jc w:val="both"/>
      </w:pPr>
      <w:r>
        <w:rPr>
          <w:rFonts w:ascii="Times New Roman" w:hAnsi="Times New Roman"/>
          <w:b w:val="false"/>
          <w:i w:val="false"/>
          <w:color w:val="000000"/>
          <w:sz w:val="22"/>
        </w:rPr>
        <w:t>A = Separate corporation gross sales within Iowa after elimination of all intercompany transactions.</w:t>
      </w:r>
    </w:p>
    <w:p>
      <w:pPr>
        <w:spacing w:before="0" w:after="0"/>
        <w:ind w:left="120"/>
        <w:jc w:val="both"/>
      </w:pPr>
      <w:r>
        <w:rPr>
          <w:rFonts w:ascii="Times New Roman" w:hAnsi="Times New Roman"/>
          <w:b w:val="false"/>
          <w:i w:val="false"/>
          <w:color w:val="000000"/>
          <w:sz w:val="22"/>
        </w:rPr>
        <w:t>B = Consolidated gross sales within and without Iowa after elimination of all intercompany transactions.</w:t>
      </w:r>
    </w:p>
    <w:p>
      <w:pPr>
        <w:spacing w:before="0" w:after="0"/>
        <w:ind w:left="120"/>
        <w:jc w:val="both"/>
      </w:pPr>
      <w:r>
        <w:rPr>
          <w:rFonts w:ascii="Times New Roman" w:hAnsi="Times New Roman"/>
          <w:b w:val="false"/>
          <w:i w:val="false"/>
          <w:color w:val="000000"/>
          <w:sz w:val="22"/>
        </w:rPr>
        <w:t>C = Iowa consolidated income subject to apportionment.</w:t>
      </w:r>
    </w:p>
    <w:p>
      <w:pPr>
        <w:spacing w:before="0" w:after="0"/>
        <w:ind w:left="120"/>
        <w:jc w:val="both"/>
      </w:pPr>
      <w:r>
        <w:rPr>
          <w:rFonts w:ascii="Times New Roman" w:hAnsi="Times New Roman"/>
          <w:b w:val="false"/>
          <w:i w:val="false"/>
          <w:color w:val="000000"/>
          <w:sz w:val="22"/>
        </w:rPr>
        <w:t>D = Separate corporation income allocable to Iowa.</w:t>
      </w:r>
    </w:p>
    <w:p>
      <w:pPr>
        <w:spacing w:before="0" w:after="0"/>
        <w:ind w:left="120"/>
        <w:jc w:val="both"/>
      </w:pPr>
      <w:r>
        <w:rPr>
          <w:rFonts w:ascii="Times New Roman" w:hAnsi="Times New Roman"/>
          <w:b w:val="false"/>
          <w:i w:val="false"/>
          <w:color w:val="000000"/>
          <w:sz w:val="22"/>
        </w:rPr>
        <w:t>E = Iowa consolidated income subject to tax.</w:t>
      </w:r>
    </w:p>
    <w:p>
      <w:pPr>
        <w:spacing w:before="0" w:after="0"/>
        <w:ind w:left="120"/>
        <w:jc w:val="both"/>
      </w:pPr>
      <w:r>
        <w:rPr>
          <w:rFonts w:ascii="Times New Roman" w:hAnsi="Times New Roman"/>
          <w:b w:val="false"/>
          <w:i w:val="false"/>
          <w:color w:val="000000"/>
          <w:sz w:val="22"/>
        </w:rPr>
        <w:t xml:space="preserve">F = The amount by which the regular income tax set forth in Iowa Code section </w:t>
      </w:r>
      <w:hyperlink r:id="rId54">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exceeds the tentative minimum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Minimum tax credit after merger. </w:t>
      </w:r>
      <w:r>
        <w:rPr>
          <w:rFonts w:ascii="Times New Roman" w:hAnsi="Times New Roman"/>
          <w:b w:val="false"/>
          <w:i w:val="false"/>
          <w:color w:val="000000"/>
          <w:sz w:val="22"/>
        </w:rPr>
        <w:t>When two or more corporations merge or consolidate into one corporation, the minimum tax credit of the merged or consolidated corporations is available for use by the survivor of the merger or consolidation.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5">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2829C</w:t>
      </w:r>
      <w:r>
        <w:rPr>
          <w:rFonts w:ascii="Times New Roman" w:hAnsi="Times New Roman"/>
          <w:b w:val="false"/>
          <w:i w:val="false"/>
          <w:color w:val="000000"/>
          <w:sz w:val="16"/>
        </w:rPr>
        <w:t>, IAB 11/23/16,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701—501.6</w:t>
      </w:r>
      <w:r>
        <w:rPr>
          <w:rFonts w:ascii="Times New Roman" w:hAnsi="Times New Roman"/>
          <w:b/>
          <w:i w:val="false"/>
          <w:color w:val="000000"/>
          <w:sz w:val="22"/>
        </w:rPr>
        <w:t xml:space="preserve">(422) </w:t>
      </w:r>
      <w:r>
        <w:rPr>
          <w:rFonts w:ascii="Times New Roman" w:hAnsi="Times New Roman"/>
          <w:b/>
          <w:i w:val="false"/>
          <w:color w:val="000000"/>
          <w:sz w:val="22"/>
        </w:rPr>
        <w:t xml:space="preserve">Motor fuel credit. </w:t>
      </w:r>
      <w:r>
        <w:rPr>
          <w:rFonts w:ascii="Times New Roman" w:hAnsi="Times New Roman"/>
          <w:b w:val="false"/>
          <w:i w:val="false"/>
          <w:color w:val="000000"/>
          <w:sz w:val="22"/>
        </w:rPr>
        <w:t xml:space="preserve">A corporation may elect to receive an income tax credit in lieu of the motor fuel tax refund provided by Iowa Code chapter </w:t>
      </w:r>
      <w:hyperlink r:id="rId56">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A corporation which holds a motor fuel tax refund permit when it makes this election must cancel the permit within 30 days after the first day of the tax year. However, if the refund permit is not canceled within this period, the permit becomes invalid at the time the election to receive an income tax credit is made. The election will continue for subsequent tax years unless a new motor fuel tax refund permit is obtained.</w:t>
      </w:r>
    </w:p>
    <w:p>
      <w:pPr>
        <w:spacing w:before="0" w:after="0"/>
        <w:ind w:left="120"/>
        <w:jc w:val="both"/>
      </w:pPr>
      <w:r>
        <w:rPr>
          <w:rFonts w:ascii="Times New Roman" w:hAnsi="Times New Roman"/>
          <w:b w:val="false"/>
          <w:i w:val="false"/>
          <w:color w:val="000000"/>
          <w:sz w:val="22"/>
        </w:rPr>
        <w:t xml:space="preserve">The amount of the income tax credit must be the amount of Iowa motor fuel tax paid on qualifying fuel purchases as determined by Iowa Code chapter </w:t>
      </w:r>
      <w:hyperlink r:id="rId57">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and Iowa Code section </w:t>
      </w:r>
      <w:hyperlink r:id="rId58">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less any state sales tax as determined by </w:t>
      </w:r>
      <w:hyperlink r:id="rId59">
        <w:r>
          <w:rPr>
            <w:rStyle w:val="Hyperlink"/>
            <w:rFonts w:ascii="Times New Roman" w:hAnsi="Times New Roman"/>
            <w:b w:val="false"/>
            <w:i w:val="false"/>
            <w:color w:val="000000"/>
            <w:sz w:val="22"/>
          </w:rPr>
          <w:t>701—subrule 220.2(2)</w:t>
        </w:r>
      </w:hyperlink>
      <w:r>
        <w:rPr>
          <w:rFonts w:ascii="Times New Roman" w:hAnsi="Times New Roman"/>
          <w:b w:val="false"/>
          <w:i w:val="false"/>
          <w:color w:val="000000"/>
          <w:sz w:val="22"/>
        </w:rPr>
        <w:t>. The credit must be claimed on the tax return covering the tax year in which the motor fuel tax was paid. If the motor fuel credit results in an overpayment of income tax, the overpayment may be refunded or may be credited to income tax due in the subsequent tax year.</w:t>
      </w:r>
    </w:p>
    <w:p>
      <w:pPr>
        <w:spacing w:before="0" w:after="0"/>
        <w:ind w:left="120"/>
        <w:jc w:val="both"/>
      </w:pPr>
      <w:r>
        <w:rPr>
          <w:rFonts w:ascii="Times New Roman" w:hAnsi="Times New Roman"/>
          <w:b w:val="false"/>
          <w:i w:val="false"/>
          <w:color w:val="000000"/>
          <w:sz w:val="22"/>
        </w:rPr>
        <w:t>Shareholders of S corporations may claim an income tax credit on their individual income tax returns for their respective shares of the motor vehicle fuel taxes paid by the corporations. The credit for a shareholder is that person’s pro rata share of the fuel tax paid by the corporation. A schedule must be attached to the individual’s return showing the distribution of gallons and the amount of credit claimed by each shareholder.</w:t>
      </w:r>
    </w:p>
    <w:p>
      <w:pPr>
        <w:spacing w:before="0" w:after="0"/>
        <w:ind w:left="120"/>
        <w:jc w:val="both"/>
      </w:pPr>
      <w:r>
        <w:rPr>
          <w:rFonts w:ascii="Times New Roman" w:hAnsi="Times New Roman"/>
          <w:b w:val="false"/>
          <w:i w:val="false"/>
          <w:color w:val="000000"/>
          <w:sz w:val="22"/>
        </w:rPr>
        <w:t>The corporation must attach to its return a schedule showing the allocation to each shareholder of the motor fuel purchased by the corporation.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0">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701—501.7</w:t>
      </w:r>
      <w:r>
        <w:rPr>
          <w:rFonts w:ascii="Times New Roman" w:hAnsi="Times New Roman"/>
          <w:b/>
          <w:i w:val="false"/>
          <w:color w:val="000000"/>
          <w:sz w:val="22"/>
        </w:rPr>
        <w:t xml:space="preserve">(422) </w:t>
      </w:r>
      <w:r>
        <w:rPr>
          <w:rFonts w:ascii="Times New Roman" w:hAnsi="Times New Roman"/>
          <w:b/>
          <w:i w:val="false"/>
          <w:color w:val="000000"/>
          <w:sz w:val="22"/>
        </w:rPr>
        <w:t xml:space="preserve">Research activities credit. </w:t>
      </w:r>
      <w:r>
        <w:rPr>
          <w:rFonts w:ascii="Times New Roman" w:hAnsi="Times New Roman"/>
          <w:b w:val="false"/>
          <w:i w:val="false"/>
          <w:color w:val="000000"/>
          <w:sz w:val="22"/>
        </w:rPr>
        <w:t xml:space="preserve">The taxes imposed on corporate income shall be reduced by a state tax credit for increasing research activities in this state. For corporate income tax, the requirements of the research activities credit are described in Iowa Code section </w:t>
      </w:r>
      <w:hyperlink r:id="rId61">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This rule explains terms not defined in the statute and procedures for claiming the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“Accountant” </w:t>
      </w:r>
      <w:r>
        <w:rPr>
          <w:rFonts w:ascii="Times New Roman" w:hAnsi="Times New Roman"/>
          <w:b w:val="false"/>
          <w:i w:val="false"/>
          <w:color w:val="000000"/>
          <w:sz w:val="22"/>
        </w:rPr>
        <w:t xml:space="preserve">means a person authorized under Iowa Code chapter </w:t>
      </w:r>
      <w:hyperlink r:id="rId62">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to engage in the practice of public accounting in Iowa as defined in Iowa Code section </w:t>
      </w:r>
      <w:hyperlink r:id="rId63">
        <w:r>
          <w:rPr>
            <w:rStyle w:val="Hyperlink"/>
            <w:rFonts w:ascii="Times New Roman" w:hAnsi="Times New Roman"/>
            <w:b w:val="false"/>
            <w:i w:val="false"/>
            <w:color w:val="000000"/>
            <w:sz w:val="22"/>
          </w:rPr>
          <w:t>542.3(23)</w:t>
        </w:r>
      </w:hyperlink>
      <w:r>
        <w:rPr>
          <w:rFonts w:ascii="Times New Roman" w:hAnsi="Times New Roman"/>
          <w:b w:val="false"/>
          <w:i w:val="false"/>
          <w:color w:val="000000"/>
          <w:sz w:val="22"/>
        </w:rPr>
        <w:t xml:space="preserve"> or authorized to engage in such practice in another state under a similar law of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“Architect” </w:t>
      </w:r>
      <w:r>
        <w:rPr>
          <w:rFonts w:ascii="Times New Roman" w:hAnsi="Times New Roman"/>
          <w:b w:val="false"/>
          <w:i w:val="false"/>
          <w:color w:val="000000"/>
          <w:sz w:val="22"/>
        </w:rPr>
        <w:t xml:space="preserve">means a person licensed under Iowa Code chapter </w:t>
      </w:r>
      <w:hyperlink r:id="rId64">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or a similar law of another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“Aviation and aerospace” </w:t>
      </w:r>
      <w:r>
        <w:rPr>
          <w:rFonts w:ascii="Times New Roman" w:hAnsi="Times New Roman"/>
          <w:b w:val="false"/>
          <w:i w:val="false"/>
          <w:color w:val="000000"/>
          <w:sz w:val="22"/>
        </w:rPr>
        <w:t xml:space="preserve">means the design, development or production of aircraft, rockets, missiles, spacecraft and other machinery and equipment that operate in aerospace.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“Collection agency” </w:t>
      </w:r>
      <w:r>
        <w:rPr>
          <w:rFonts w:ascii="Times New Roman" w:hAnsi="Times New Roman"/>
          <w:b w:val="false"/>
          <w:i w:val="false"/>
          <w:color w:val="000000"/>
          <w:sz w:val="22"/>
        </w:rPr>
        <w:t xml:space="preserve">means a person primarily engaged in the business of collecting debt, including but not limited to consumer debt collection subject to the provisions of the federal Fair Debt Collections Practices Act in 15 U.S.C. §1692 et seq., the Iowa debt collection practices Act in Iowa Code sections </w:t>
      </w:r>
      <w:hyperlink r:id="rId65">
        <w:r>
          <w:rPr>
            <w:rStyle w:val="Hyperlink"/>
            <w:rFonts w:ascii="Times New Roman" w:hAnsi="Times New Roman"/>
            <w:b w:val="false"/>
            <w:i w:val="false"/>
            <w:color w:val="000000"/>
            <w:sz w:val="22"/>
          </w:rPr>
          <w:t>537.7101 through 537.7103</w:t>
        </w:r>
      </w:hyperlink>
      <w:r>
        <w:rPr>
          <w:rFonts w:ascii="Times New Roman" w:hAnsi="Times New Roman"/>
          <w:b w:val="false"/>
          <w:i w:val="false"/>
          <w:color w:val="000000"/>
          <w:sz w:val="22"/>
        </w:rPr>
        <w:t xml:space="preserve">, or other similar state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“Finance or investment company” </w:t>
      </w:r>
      <w:r>
        <w:rPr>
          <w:rFonts w:ascii="Times New Roman" w:hAnsi="Times New Roman"/>
          <w:b w:val="false"/>
          <w:i w:val="false"/>
          <w:color w:val="000000"/>
          <w:sz w:val="22"/>
        </w:rPr>
        <w:t xml:space="preserve">means a person primarily engaged in finance or investment activities broadly consisting of the holding, depositing, or management of a customer’s money or assets for investment purposes, or the provision of loans or other similar financing or credit to customers. “Finance or investment company” includes but is not limited to a person organized or licensed under Iowa Code chapter </w:t>
      </w:r>
      <w:hyperlink r:id="rId66">
        <w:r>
          <w:rPr>
            <w:rStyle w:val="Hyperlink"/>
            <w:rFonts w:ascii="Times New Roman" w:hAnsi="Times New Roman"/>
            <w:b w:val="false"/>
            <w:i w:val="false"/>
            <w:color w:val="000000"/>
            <w:sz w:val="22"/>
          </w:rPr>
          <w:t>524</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or </w:t>
      </w:r>
      <w:hyperlink r:id="rId68">
        <w:r>
          <w:rPr>
            <w:rStyle w:val="Hyperlink"/>
            <w:rFonts w:ascii="Times New Roman" w:hAnsi="Times New Roman"/>
            <w:b w:val="false"/>
            <w:i w:val="false"/>
            <w:color w:val="000000"/>
            <w:sz w:val="22"/>
          </w:rPr>
          <w:t>533D</w:t>
        </w:r>
      </w:hyperlink>
      <w:r>
        <w:rPr>
          <w:rFonts w:ascii="Times New Roman" w:hAnsi="Times New Roman"/>
          <w:b w:val="false"/>
          <w:i w:val="false"/>
          <w:color w:val="000000"/>
          <w:sz w:val="22"/>
        </w:rPr>
        <w:t xml:space="preserve"> or other similar state or federal law, or an investment company as defined in 15 U.S.C. §80a-3.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“Life sciences” </w:t>
      </w:r>
      <w:r>
        <w:rPr>
          <w:rFonts w:ascii="Times New Roman" w:hAnsi="Times New Roman"/>
          <w:b w:val="false"/>
          <w:i w:val="false"/>
          <w:color w:val="000000"/>
          <w:sz w:val="22"/>
        </w:rPr>
        <w:t>means the sciences concerned with the study of living organisms, including agriscience, biology, botany, zoology, microbiology, physiology, biochemistry, and related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“Manufacturing”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2018 Iowa Acts, Senate File 2417</w:t>
      </w:r>
      <w:r>
        <w:rPr>
          <w:rFonts w:ascii="Times New Roman" w:hAnsi="Times New Roman"/>
          <w:b w:val="false"/>
          <w:i w:val="false"/>
          <w:color w:val="000000"/>
          <w:sz w:val="22"/>
        </w:rPr>
        <w:t>, section 183.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“Publisher” </w:t>
      </w:r>
      <w:r>
        <w:rPr>
          <w:rFonts w:ascii="Times New Roman" w:hAnsi="Times New Roman"/>
          <w:b w:val="false"/>
          <w:i w:val="false"/>
          <w:color w:val="000000"/>
          <w:sz w:val="22"/>
        </w:rPr>
        <w:t>means a person whose primary business is the publishing of books, periodicals, newspapers, music, or other works for sale in any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“Real estate company” </w:t>
      </w:r>
      <w:r>
        <w:rPr>
          <w:rFonts w:ascii="Times New Roman" w:hAnsi="Times New Roman"/>
          <w:b w:val="false"/>
          <w:i w:val="false"/>
          <w:color w:val="000000"/>
          <w:sz w:val="22"/>
        </w:rPr>
        <w:t xml:space="preserve">means a person licensed under Iowa Code chapter </w:t>
      </w:r>
      <w:hyperlink r:id="rId6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or otherwise primarily engaged in acts constituting dealing in real estate as described in Iowa Code section </w:t>
      </w:r>
      <w:hyperlink r:id="rId70">
        <w:r>
          <w:rPr>
            <w:rStyle w:val="Hyperlink"/>
            <w:rFonts w:ascii="Times New Roman" w:hAnsi="Times New Roman"/>
            <w:b w:val="false"/>
            <w:i w:val="false"/>
            <w:color w:val="000000"/>
            <w:sz w:val="22"/>
          </w:rPr>
          <w:t>543B.6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“Retailer” </w:t>
      </w:r>
      <w:r>
        <w:rPr>
          <w:rFonts w:ascii="Times New Roman" w:hAnsi="Times New Roman"/>
          <w:b w:val="false"/>
          <w:i w:val="false"/>
          <w:color w:val="000000"/>
          <w:sz w:val="22"/>
        </w:rPr>
        <w:t xml:space="preserve">means a person that primarily engages in sales of personal property as defined in </w:t>
      </w:r>
      <w:r>
        <w:rPr>
          <w:rFonts w:ascii="Times New Roman" w:hAnsi="Times New Roman"/>
          <w:b w:val="false"/>
          <w:i w:val="false"/>
          <w:color w:val="000000"/>
          <w:sz w:val="22"/>
        </w:rPr>
        <w:t>2018 Iowa Acts, Senate File 2417</w:t>
      </w:r>
      <w:r>
        <w:rPr>
          <w:rFonts w:ascii="Times New Roman" w:hAnsi="Times New Roman"/>
          <w:b w:val="false"/>
          <w:i w:val="false"/>
          <w:color w:val="000000"/>
          <w:sz w:val="22"/>
        </w:rPr>
        <w:t xml:space="preserve">, section 158, or services directly to an ultimate consumer. A business that primarily makes sales for resale is not a retailer.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“Software engineering” </w:t>
      </w:r>
      <w:r>
        <w:rPr>
          <w:rFonts w:ascii="Times New Roman" w:hAnsi="Times New Roman"/>
          <w:b w:val="false"/>
          <w:i w:val="false"/>
          <w:color w:val="000000"/>
          <w:sz w:val="22"/>
        </w:rPr>
        <w:t xml:space="preserve">means the detailed study of the design, development, operation, and maintenance of software.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“Transportation company” </w:t>
      </w:r>
      <w:r>
        <w:rPr>
          <w:rFonts w:ascii="Times New Roman" w:hAnsi="Times New Roman"/>
          <w:b w:val="false"/>
          <w:i w:val="false"/>
          <w:color w:val="000000"/>
          <w:sz w:val="22"/>
        </w:rPr>
        <w:t xml:space="preserve">means a person whose primary business is the transportation of persons or property from one place to another.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“Wholesaler” </w:t>
      </w:r>
      <w:r>
        <w:rPr>
          <w:rFonts w:ascii="Times New Roman" w:hAnsi="Times New Roman"/>
          <w:b w:val="false"/>
          <w:i w:val="false"/>
          <w:color w:val="000000"/>
          <w:sz w:val="22"/>
        </w:rPr>
        <w:t>means a person that primarily engages in buying large quantities of goods and reselling them in smaller quantities to retailers or other merchants who in turn sell those goods to the ultimate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501.7(2)</w:t>
      </w:r>
      <w:r>
        <w:rPr>
          <w:rFonts w:ascii="Times New Roman" w:hAnsi="Times New Roman"/>
          <w:b w:val="false"/>
          <w:i w:val="false"/>
          <w:color w:val="000000"/>
          <w:sz w:val="22"/>
        </w:rPr>
        <w:t> </w:t>
      </w:r>
      <w:r>
        <w:rPr>
          <w:rFonts w:ascii="Times New Roman" w:hAnsi="Times New Roman"/>
          <w:b w:val="false"/>
          <w:i/>
          <w:color w:val="000000"/>
          <w:sz w:val="22"/>
        </w:rPr>
        <w:t xml:space="preserve">Requirement that the business claim and be allowed the federal credit. </w:t>
      </w:r>
      <w:r>
        <w:rPr>
          <w:rFonts w:ascii="Times New Roman" w:hAnsi="Times New Roman"/>
          <w:b w:val="false"/>
          <w:i w:val="false"/>
          <w:color w:val="000000"/>
          <w:sz w:val="22"/>
        </w:rPr>
        <w:t xml:space="preserve">To claim this credit, a taxpayer’s business must claim and be allowed a research credit for such qualified research expenses under Section 41 of the Internal Revenue Code for the same taxable year as the taxpayer’s business is 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Being “allowed” the federal credit. </w:t>
      </w:r>
      <w:r>
        <w:rPr>
          <w:rFonts w:ascii="Times New Roman" w:hAnsi="Times New Roman"/>
          <w:b w:val="false"/>
          <w:i w:val="false"/>
          <w:color w:val="000000"/>
          <w:sz w:val="22"/>
        </w:rPr>
        <w:t xml:space="preserve">For purposes of this subrule, a federal credit is “allowed” if the taxpayer meets all requirements to claim the credit under Section 41 of the Internal Revenue Code and any applicable federal regulation and Internal Revenue Service guidance and such credit has not been disallowed by the Internal Revenue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requirement to pass-throughs. </w:t>
      </w:r>
      <w:r>
        <w:rPr>
          <w:rFonts w:ascii="Times New Roman" w:hAnsi="Times New Roman"/>
          <w:b w:val="false"/>
          <w:i w:val="false"/>
          <w:color w:val="000000"/>
          <w:sz w:val="22"/>
        </w:rPr>
        <w:t xml:space="preserve">If the individual received the Iowa credit through a pass-through entity, the pass-through entity that conducted the research must have claimed and been allowed the federal credit in order for the individual to claim the Iowa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Impact of federal audit. </w:t>
      </w:r>
      <w:r>
        <w:rPr>
          <w:rFonts w:ascii="Times New Roman" w:hAnsi="Times New Roman"/>
          <w:b w:val="false"/>
          <w:i w:val="false"/>
          <w:color w:val="000000"/>
          <w:sz w:val="22"/>
        </w:rPr>
        <w:t>If the Internal Revenue Service audits or otherwise reviews the return and disallows the credit, the taxpayer shall file an amended Iowa return along with supporting schedules, including an amended federal return or a copy of the federal revenue agent’s report and notification of final federal adjustments, to add back the Iowa credit to the extent not previously disallowed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Authority of the department. </w:t>
      </w:r>
      <w:r>
        <w:rPr>
          <w:rFonts w:ascii="Times New Roman" w:hAnsi="Times New Roman"/>
          <w:b w:val="false"/>
          <w:i w:val="false"/>
          <w:color w:val="000000"/>
          <w:sz w:val="22"/>
        </w:rPr>
        <w:t xml:space="preserve">Nothing in this subrule shall limit the department’s authority to review, examine, audit, or otherwise challenge an Iowa tax credit claim under Iowa Code section </w:t>
      </w:r>
      <w:hyperlink r:id="rId71">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regardless of inaction, a settlement, or a determination by the Internal Revenue Service under Section 41 of the Internal Revenue Code.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501.7(3)</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credit. </w:t>
      </w:r>
      <w:r>
        <w:rPr>
          <w:rFonts w:ascii="Times New Roman" w:hAnsi="Times New Roman"/>
          <w:b w:val="false"/>
          <w:i w:val="false"/>
          <w:color w:val="000000"/>
          <w:sz w:val="22"/>
        </w:rPr>
        <w:t xml:space="preserve">For information on how the credit is calculated, see Iowa Code section </w:t>
      </w:r>
      <w:hyperlink r:id="rId72">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501.7(4)</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The credit must be claimed on the forms provided on the department’s website and must include all information required by the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Allocation to the individual owners of an entity or beneficiaries of an estate or trust. </w:t>
      </w:r>
      <w:r>
        <w:rPr>
          <w:rFonts w:ascii="Times New Roman" w:hAnsi="Times New Roman"/>
          <w:b w:val="false"/>
          <w:i w:val="false"/>
          <w:color w:val="000000"/>
          <w:sz w:val="22"/>
        </w:rPr>
        <w:t>If the business is a partnership, S corporation, limited liability company, estate or trust where the income from the business is taxed to the individual owners of the business, these individual owners may claim the research activities credit allowed to the business. The research credit is allocated to each of the individual owners of the business on the basis of the pro rata share of that individual’s earnings from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research credit in excess of the corporation’s tax liability for the taxable year may be refunded to the taxpayer or credited to the corporation’s tax liability for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 xml:space="preserve">Tax credit certificates shall not be transferred to any other 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Enterprise zone claimants. </w:t>
      </w:r>
      <w:r>
        <w:rPr>
          <w:rFonts w:ascii="Times New Roman" w:hAnsi="Times New Roman"/>
          <w:b w:val="false"/>
          <w:i w:val="false"/>
          <w:color w:val="000000"/>
          <w:sz w:val="22"/>
        </w:rPr>
        <w:t xml:space="preserve">The enterprise zone program was repealed on July 1, 2014. Any supplemental research activities credit earned by businesses pursuant to Iowa Code section </w:t>
      </w:r>
      <w:hyperlink r:id="rId73">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 xml:space="preserve"> and approved under the enterprise zone program prior to July 1, 2014, remains valid and can be claimed on tax returns filed after July 1, 2014.</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4">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2018 Iowa Acts, Senate File 2417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i w:val="false"/>
          <w:color w:val="000000"/>
          <w:sz w:val="16"/>
        </w:rPr>
        <w:t>ARC 1101C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1545C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4143C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701—501.8</w:t>
      </w:r>
      <w:r>
        <w:rPr>
          <w:rFonts w:ascii="Times New Roman" w:hAnsi="Times New Roman"/>
          <w:b/>
          <w:i w:val="false"/>
          <w:color w:val="000000"/>
          <w:sz w:val="22"/>
        </w:rPr>
        <w:t xml:space="preserve">(422) </w:t>
      </w:r>
      <w:r>
        <w:rPr>
          <w:rFonts w:ascii="Times New Roman" w:hAnsi="Times New Roman"/>
          <w:b/>
          <w:i w:val="false"/>
          <w:color w:val="000000"/>
          <w:sz w:val="22"/>
        </w:rPr>
        <w:t xml:space="preserve">New jobs credit. </w:t>
      </w:r>
      <w:r>
        <w:rPr>
          <w:rFonts w:ascii="Times New Roman" w:hAnsi="Times New Roman"/>
          <w:b w:val="false"/>
          <w:i w:val="false"/>
          <w:color w:val="000000"/>
          <w:sz w:val="22"/>
        </w:rPr>
        <w:t xml:space="preserve">A tax credit is available to a corporation which has entered into an agreement under Iowa Code chapter </w:t>
      </w:r>
      <w:hyperlink r:id="rId76">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and has increased employment by at least 10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“new jobs”</w:t>
      </w:r>
      <w:r>
        <w:rPr>
          <w:rFonts w:ascii="Times New Roman" w:hAnsi="Times New Roman"/>
          <w:b w:val="false"/>
          <w:i w:val="false"/>
          <w:color w:val="000000"/>
          <w:sz w:val="22"/>
        </w:rPr>
        <w:t xml:space="preserve"> means those jobs directly resulting from a project covered by an agreement authorized by Iowa Code chapter </w:t>
      </w:r>
      <w:hyperlink r:id="rId77">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(Iowa Industrial New Jobs Training Act) but does not include jobs of recalled workers or replacement jobs or other jobs that formerly existed in the industry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“jobs directly related to new jobs”</w:t>
      </w:r>
      <w:r>
        <w:rPr>
          <w:rFonts w:ascii="Times New Roman" w:hAnsi="Times New Roman"/>
          <w:b w:val="false"/>
          <w:i w:val="false"/>
          <w:color w:val="000000"/>
          <w:sz w:val="22"/>
        </w:rPr>
        <w:t xml:space="preserve"> means those jobs which directly support the new jobs but does not include in-state employees transferred to a position which would be considered to be a job directly related to new jobs unless the transferred employee’s vacant position is filled by a new employee.</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 xml:space="preserve">A taxpayer who has entered into a chapter </w:t>
      </w:r>
      <w:hyperlink r:id="rId78">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agreement to train new employees for a new product line transfers an in-state employee to be supervisor of the new product line but does not fill the transferred employee’s position. The new supervisor’s position would not be considered a job directly related to new jobs even though it directly supports the new jobs because the transferred employee’s old position was not refilled.</w:t>
      </w:r>
    </w:p>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 xml:space="preserve">A taxpayer who has entered into a chapter </w:t>
      </w:r>
      <w:hyperlink r:id="rId79">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agreement to train new employees for a new product line transfers an in-state employee to be supervisor of the new product line and fills the transferred employee’s position with a new employee. The new supervisor’s position would be considered a job directly related to new jobs because it directly supports the new jobs and the transferred employee’s old position was filled by a new employee.</w:t>
      </w:r>
    </w:p>
    <w:p>
      <w:pPr>
        <w:spacing w:before="0" w:after="0"/>
        <w:ind w:left="120"/>
        <w:jc w:val="both"/>
      </w:pPr>
      <w:r>
        <w:rPr>
          <w:rFonts w:ascii="Times New Roman" w:hAnsi="Times New Roman"/>
          <w:b w:val="false"/>
          <w:i w:val="false"/>
          <w:color w:val="000000"/>
          <w:sz w:val="22"/>
        </w:rPr>
        <w:t>The burden of proof that a job is directly related to new jobs is on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“taxable wages”</w:t>
      </w:r>
      <w:r>
        <w:rPr>
          <w:rFonts w:ascii="Times New Roman" w:hAnsi="Times New Roman"/>
          <w:b w:val="false"/>
          <w:i w:val="false"/>
          <w:color w:val="000000"/>
          <w:sz w:val="22"/>
        </w:rPr>
        <w:t xml:space="preserve"> means those wages upon which an employer is required to contribute to the state unemployment fund as defined in Iowa Code section </w:t>
      </w:r>
      <w:hyperlink r:id="rId80">
        <w:r>
          <w:rPr>
            <w:rStyle w:val="Hyperlink"/>
            <w:rFonts w:ascii="Times New Roman" w:hAnsi="Times New Roman"/>
            <w:b w:val="false"/>
            <w:i w:val="false"/>
            <w:color w:val="000000"/>
            <w:sz w:val="22"/>
          </w:rPr>
          <w:t>96.1A(36)</w:t>
        </w:r>
      </w:hyperlink>
      <w:r>
        <w:rPr>
          <w:rFonts w:ascii="Times New Roman" w:hAnsi="Times New Roman"/>
          <w:b w:val="false"/>
          <w:i w:val="false"/>
          <w:color w:val="000000"/>
          <w:sz w:val="22"/>
        </w:rPr>
        <w:t xml:space="preserve"> for the year in which the taxpayer elects to take the new jobs tax credit. For fiscal-year taxpayers, “taxable wages” shall not be greater than the maximum wage upon which an employer is required to contribute to the state unemployment fund for the calendar year in which the taxpayer’s fiscal year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“agreement”</w:t>
      </w:r>
      <w:r>
        <w:rPr>
          <w:rFonts w:ascii="Times New Roman" w:hAnsi="Times New Roman"/>
          <w:b w:val="false"/>
          <w:i w:val="false"/>
          <w:color w:val="000000"/>
          <w:sz w:val="22"/>
        </w:rPr>
        <w:t xml:space="preserve"> means an agreement entered into under Iowa Code chapter </w:t>
      </w:r>
      <w:hyperlink r:id="rId81">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after July 1, 1985, an amendment to that agreement, or an amendment to an agreement entered into before July 1, 1985, if the amendment sets forth the base employment level as of the date of the amendment. The term “agreement” also includes a preliminary agreement entered into under Iowa Code chapter </w:t>
      </w:r>
      <w:hyperlink r:id="rId82">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provided the preliminary agreement contains all the elements of a contract and includes the necessary elements and commitment relating to training programs and new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“base employment level”</w:t>
      </w:r>
      <w:r>
        <w:rPr>
          <w:rFonts w:ascii="Times New Roman" w:hAnsi="Times New Roman"/>
          <w:b w:val="false"/>
          <w:i w:val="false"/>
          <w:color w:val="000000"/>
          <w:sz w:val="22"/>
        </w:rPr>
        <w:t xml:space="preserve"> means the number of full-time jobs an industry employs at a plant site which is covered by an agreement under chapter </w:t>
      </w:r>
      <w:hyperlink r:id="rId83">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on the date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“project”</w:t>
      </w:r>
      <w:r>
        <w:rPr>
          <w:rFonts w:ascii="Times New Roman" w:hAnsi="Times New Roman"/>
          <w:b w:val="false"/>
          <w:i w:val="false"/>
          <w:color w:val="000000"/>
          <w:sz w:val="22"/>
        </w:rPr>
        <w:t xml:space="preserve"> means a training arrangement which is the subject of an agreement entered into under Iowa Code chapter </w:t>
      </w:r>
      <w:hyperlink r:id="rId84">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“industry”</w:t>
      </w:r>
      <w:r>
        <w:rPr>
          <w:rFonts w:ascii="Times New Roman" w:hAnsi="Times New Roman"/>
          <w:b w:val="false"/>
          <w:i w:val="false"/>
          <w:color w:val="000000"/>
          <w:sz w:val="22"/>
        </w:rPr>
        <w:t xml:space="preserve"> means a business engaged in interstate or intrastate commerce for the purpose of manufacturing, processing, or assembling products, conducting research and development, or providing services in interstate commerce, but excludes retail, health or professional services. Industry does not include a business which closes or substantially reduces its operations in one area of the state and relocates substantially the same operation in another area of the state. Industry is a business engaged in the above listed activities rather than the generic definition encompassing all businesses in the state engaged in the same activities. For example, in the meat-packing business, an industry is considered to be a single corporate entity or operating division, rather than the entire meat-packing business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“new employees”</w:t>
      </w:r>
      <w:r>
        <w:rPr>
          <w:rFonts w:ascii="Times New Roman" w:hAnsi="Times New Roman"/>
          <w:b w:val="false"/>
          <w:i w:val="false"/>
          <w:color w:val="000000"/>
          <w:sz w:val="22"/>
        </w:rPr>
        <w:t xml:space="preserve"> means the same as new jobs or jobs directly related to new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“full-time job”</w:t>
      </w:r>
      <w:r>
        <w:rPr>
          <w:rFonts w:ascii="Times New Roman" w:hAnsi="Times New Roman"/>
          <w:b w:val="false"/>
          <w:i w:val="false"/>
          <w:color w:val="000000"/>
          <w:sz w:val="22"/>
        </w:rPr>
        <w:t xml:space="preserve"> means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employment position requiring an average work week of 35 or more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employment position for which compensation is paid on a salaried full-time basis without regard to hours worked;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aggregation of any number of part-time or job-sharing employment positions which equal one full-time employment position. For purposes of this subrule each part-time or job-sharing employment position shall be categorized with regard to the average number of hours worked each week as one-quarter, half, three-quarters, or full-time position, as set forth in the following table:</w:t>
      </w:r>
    </w:p>
    <w:tbl>
      <w:tblPr>
        <w:tblW w:w="0" w:type="auto"/>
        <w:tblCellSpacing w:w="0" w:type="auto"/>
        <w:tblBorders>
          <w:top w:val="none"/>
          <w:left w:val="none"/>
          <w:bottom w:val="none"/>
          <w:right w:val="none"/>
          <w:insideH w:val="none"/>
          <w:insideV w:val="none"/>
        </w:tblBorders>
        <w:tblLayout w:type="fixed"/>
      </w:tblPr>
      <w:tblGrid>
        <w:gridCol w:w="9003"/>
        <w:gridCol w:w="2187"/>
      </w:tblGrid>
      <w:tr>
        <w:trPr>
          <w:trHeight w:val="210" w:hRule="atLeast"/>
        </w:trPr>
        <w:tc>
          <w:tcPr>
            <w:tcW w:w="90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u w:val="single"/>
              </w:rPr>
              <w:t>Average Number of Weekly Hours</w:t>
            </w:r>
          </w:p>
        </w:tc>
        <w:tc>
          <w:tcPr>
            <w:tcW w:w="218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Category</w:t>
            </w:r>
          </w:p>
        </w:tc>
      </w:tr>
      <w:tr>
        <w:trPr>
          <w:trHeight w:val="210" w:hRule="atLeast"/>
        </w:trPr>
        <w:tc>
          <w:tcPr>
            <w:tcW w:w="90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More than 0 but less than 15</w:t>
            </w:r>
          </w:p>
        </w:tc>
        <w:tc>
          <w:tcPr>
            <w:tcW w:w="218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¼</w:t>
            </w:r>
          </w:p>
        </w:tc>
      </w:tr>
      <w:tr>
        <w:trPr>
          <w:trHeight w:val="210" w:hRule="atLeast"/>
        </w:trPr>
        <w:tc>
          <w:tcPr>
            <w:tcW w:w="90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15 or more but less than 25</w:t>
            </w:r>
          </w:p>
        </w:tc>
        <w:tc>
          <w:tcPr>
            <w:tcW w:w="218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½</w:t>
            </w:r>
          </w:p>
        </w:tc>
      </w:tr>
      <w:tr>
        <w:trPr>
          <w:trHeight w:val="210" w:hRule="atLeast"/>
        </w:trPr>
        <w:tc>
          <w:tcPr>
            <w:tcW w:w="90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25 or more but less than 35</w:t>
            </w:r>
          </w:p>
        </w:tc>
        <w:tc>
          <w:tcPr>
            <w:tcW w:w="218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¾</w:t>
            </w:r>
          </w:p>
        </w:tc>
      </w:tr>
      <w:tr>
        <w:trPr>
          <w:trHeight w:val="210" w:hRule="atLeast"/>
        </w:trPr>
        <w:tc>
          <w:tcPr>
            <w:tcW w:w="90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35 or more</w:t>
            </w:r>
          </w:p>
        </w:tc>
        <w:tc>
          <w:tcPr>
            <w:tcW w:w="218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(full-time)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501.8(2)</w:t>
      </w:r>
      <w:r>
        <w:rPr>
          <w:rFonts w:ascii="Times New Roman" w:hAnsi="Times New Roman"/>
          <w:b w:val="false"/>
          <w:i w:val="false"/>
          <w:color w:val="000000"/>
          <w:sz w:val="22"/>
        </w:rPr>
        <w:t> </w:t>
      </w:r>
      <w:r>
        <w:rPr>
          <w:rFonts w:ascii="Times New Roman" w:hAnsi="Times New Roman"/>
          <w:b w:val="false"/>
          <w:i/>
          <w:color w:val="000000"/>
          <w:sz w:val="22"/>
        </w:rPr>
        <w:t xml:space="preserve">How to compute the credit. </w:t>
      </w:r>
      <w:r>
        <w:rPr>
          <w:rFonts w:ascii="Times New Roman" w:hAnsi="Times New Roman"/>
          <w:b w:val="false"/>
          <w:i w:val="false"/>
          <w:color w:val="000000"/>
          <w:sz w:val="22"/>
        </w:rPr>
        <w:t>The credit is 6 percent of the taxable wages paid to employees in new jobs or jobs directly related to new jobs for the taxable year in which the taxpayer elects to take the credit.</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enters into an agreement to increase employment by 20 new employees which is greater than 10 percent of the taxpayer’s base employment level of 100 employees. In year one of the agreement the taxpayer hires 20 new employees but elects not to take the credit in that year. In year two of the agreement only 18 of the new employees hired in year one are still employed and the taxpayer elects to take the credit. The credit would be 6 percent of the taxable wages of the 18 remaining new employees. In year three of the agreement the taxpayer hires two additional new employees under the agreement to replace the two employees which left in year two and elects to take the credit. The credit would be 6 percent of the taxable wages paid to the two replacement employees. In year four of the agreement three of the employees for which a credit had been taken left employment and three additional employees were hired. No credit is available for these employees. A credit can only be taken one time for each new job or job directly related to a new job.</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 xml:space="preserve">A taxpayer operating two plants in Iowa enters into a chapter </w:t>
      </w:r>
      <w:hyperlink r:id="rId85">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agreement to train new employees for a new product line at one of the taxpayer’s plants. The base employment level on the date of the agreement at plant A is 300 and at plant B is 100. Under the agreement 20 new employees will be trained for plant B which is greater than a 10 percent increase of the base employment level for plant B. In the year in which the taxpayer elects to take the credit, the employment level at plant A is 290 and at plant B is 120. The credit would be 6 percent of the wages of 10 new employees at plant B as 10 new jobs were created by the industry in the state. A credit for the remaining 10 employees can be taken if the employment level at plant A increases back to 300 during the period of time that the credit can be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501.8(3)</w:t>
      </w:r>
      <w:r>
        <w:rPr>
          <w:rFonts w:ascii="Times New Roman" w:hAnsi="Times New Roman"/>
          <w:b w:val="false"/>
          <w:i w:val="false"/>
          <w:color w:val="000000"/>
          <w:sz w:val="22"/>
        </w:rPr>
        <w:t> </w:t>
      </w:r>
      <w:r>
        <w:rPr>
          <w:rFonts w:ascii="Times New Roman" w:hAnsi="Times New Roman"/>
          <w:b w:val="false"/>
          <w:i/>
          <w:color w:val="000000"/>
          <w:sz w:val="22"/>
        </w:rPr>
        <w:t xml:space="preserve">When the credit can be taken. </w:t>
      </w:r>
      <w:r>
        <w:rPr>
          <w:rFonts w:ascii="Times New Roman" w:hAnsi="Times New Roman"/>
          <w:b w:val="false"/>
          <w:i w:val="false"/>
          <w:color w:val="000000"/>
          <w:sz w:val="22"/>
        </w:rPr>
        <w:t>The taxpayer may elect to take the credit in any tax year which either begins or ends during the period beginning with the date of the agreement and ending with the date by which the project is to be completed under the agreement. However, the taxpayer may not take the credit until the base employment level has been exceeded by at least 10 percent.</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taxpayer enters into an agreement to increase employment from a base employment level of 200 employees to 225 employees. In year one of the agreement the taxpayer hires 20 new employees which is a 10 percent increase over the base employment level but elects not to take the credit. In year two of the agreement 2 of the new employees leave employment. The taxpayer elects to take the credit which would be 6 percent of the taxable wages of the 18 employees currently employed. In year three the taxpayer hires 7 new employees and elects to take the credit. The credit would be 6 percent of the taxable wages of the seven new employees.</w:t>
      </w:r>
    </w:p>
    <w:p>
      <w:pPr>
        <w:spacing w:before="0" w:after="0"/>
        <w:ind w:left="120"/>
        <w:jc w:val="both"/>
      </w:pPr>
      <w:r>
        <w:rPr>
          <w:rFonts w:ascii="Times New Roman" w:hAnsi="Times New Roman"/>
          <w:b w:val="false"/>
          <w:i w:val="false"/>
          <w:color w:val="000000"/>
          <w:sz w:val="22"/>
        </w:rPr>
        <w:t>A shareholder in an S corporation may claim the pro rata share of the Iowa new jobs credit on the shareholder’s individual tax return. The S corporation shall provide each shareholder with a schedule showing the computation of the corporation’s Iowa new jobs credit and the shareholder’s pro rata share. The shareholder’s pro rata share of the Iowa new jobs credit shall be in the same ratio as the shareholder’s pro rata share in the earnings of the S corporation. All shareholders of an S corporation shall elect to take the Iowa new jobs credit the same year.</w:t>
      </w:r>
    </w:p>
    <w:p>
      <w:pPr>
        <w:spacing w:before="0" w:after="0"/>
        <w:ind w:left="120"/>
        <w:jc w:val="both"/>
      </w:pPr>
      <w:r>
        <w:rPr>
          <w:rFonts w:ascii="Times New Roman" w:hAnsi="Times New Roman"/>
          <w:b w:val="false"/>
          <w:i w:val="false"/>
          <w:color w:val="000000"/>
          <w:sz w:val="22"/>
        </w:rPr>
        <w:t xml:space="preserve">Any new jobs credit in excess of the corporation’s tax liability less the credits authorized in Iowa Code sections </w:t>
      </w:r>
      <w:hyperlink r:id="rId86">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422.91</w:t>
        </w:r>
      </w:hyperlink>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may be carried forward for ten years or until it is used, whichever is the earliest.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9">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701—501.9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701—501.10</w:t>
      </w:r>
      <w:r>
        <w:rPr>
          <w:rFonts w:ascii="Times New Roman" w:hAnsi="Times New Roman"/>
          <w:b/>
          <w:i w:val="false"/>
          <w:color w:val="000000"/>
          <w:sz w:val="22"/>
        </w:rPr>
        <w:t xml:space="preserve">(15) </w:t>
      </w:r>
      <w:r>
        <w:rPr>
          <w:rFonts w:ascii="Times New Roman" w:hAnsi="Times New Roman"/>
          <w:b/>
          <w:i w:val="false"/>
          <w:color w:val="000000"/>
          <w:sz w:val="22"/>
        </w:rPr>
        <w:t xml:space="preserve">New jobs and income program tax credits. </w:t>
      </w:r>
      <w:r>
        <w:rPr>
          <w:rFonts w:ascii="Times New Roman" w:hAnsi="Times New Roman"/>
          <w:b w:val="false"/>
          <w:i w:val="false"/>
          <w:color w:val="000000"/>
          <w:sz w:val="22"/>
        </w:rPr>
        <w:t xml:space="preserve">For tax years ending after May 1, 1994, for programs approved after May 1, 1994, but before July 1, 2005, an investment tax credit under Iowa Code section </w:t>
      </w:r>
      <w:hyperlink r:id="rId90">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and an additional research activities credit under Iowa Code section </w:t>
      </w:r>
      <w:hyperlink r:id="rId91">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 xml:space="preserve"> are available to an eligible business. The new jobs and income program was repealed on July 1, 2005, and has been replaced with the high quality job creation program. See rule </w:t>
      </w:r>
      <w:hyperlink r:id="rId92">
        <w:r>
          <w:rPr>
            <w:rStyle w:val="Hyperlink"/>
            <w:rFonts w:ascii="Times New Roman" w:hAnsi="Times New Roman"/>
            <w:b w:val="false"/>
            <w:i w:val="false"/>
            <w:color w:val="000000"/>
            <w:sz w:val="22"/>
          </w:rPr>
          <w:t>701—501.28</w:t>
        </w:r>
      </w:hyperlink>
      <w:r>
        <w:rPr>
          <w:rFonts w:ascii="Times New Roman" w:hAnsi="Times New Roman"/>
          <w:b w:val="false"/>
          <w:i w:val="false"/>
          <w:color w:val="000000"/>
          <w:sz w:val="22"/>
        </w:rPr>
        <w:t>(15) for information on the investment tax credit and additional research activities credit under the high quality job creation program. Any investment tax credit and additional research activities credit earned by businesses approved under the new jobs and income program prior to July 1, 2005, remains valid, and can be claimed on tax returns filed after July 1,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business” </w:t>
      </w:r>
      <w:r>
        <w:rPr>
          <w:rFonts w:ascii="Times New Roman" w:hAnsi="Times New Roman"/>
          <w:b w:val="false"/>
          <w:i w:val="false"/>
          <w:color w:val="000000"/>
          <w:sz w:val="22"/>
        </w:rPr>
        <w:t xml:space="preserve">means a business meeting the conditions of Iowa Code section </w:t>
      </w:r>
      <w:hyperlink r:id="rId93">
        <w:r>
          <w:rPr>
            <w:rStyle w:val="Hyperlink"/>
            <w:rFonts w:ascii="Times New Roman" w:hAnsi="Times New Roman"/>
            <w:b w:val="false"/>
            <w:i w:val="false"/>
            <w:color w:val="000000"/>
            <w:sz w:val="22"/>
          </w:rPr>
          <w:t>15.329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“Improvements to real property” </w:t>
      </w:r>
      <w:r>
        <w:rPr>
          <w:rFonts w:ascii="Times New Roman" w:hAnsi="Times New Roman"/>
          <w:b w:val="false"/>
          <w:i w:val="false"/>
          <w:color w:val="000000"/>
          <w:sz w:val="22"/>
        </w:rPr>
        <w:t>includes the cost of utility lines, drilling wells, construction of sewage lagoons, parking lots and permanent structures. The term does not include temporary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“Machinery and equipment” </w:t>
      </w:r>
      <w:r>
        <w:rPr>
          <w:rFonts w:ascii="Times New Roman" w:hAnsi="Times New Roman"/>
          <w:b w:val="false"/>
          <w:i w:val="false"/>
          <w:color w:val="000000"/>
          <w:sz w:val="22"/>
        </w:rPr>
        <w:t xml:space="preserve">means machinery used in manufacturing establishments and computers except point-of-sale equipment as defined in Iowa Code section </w:t>
      </w:r>
      <w:hyperlink r:id="rId94">
        <w:r>
          <w:rPr>
            <w:rStyle w:val="Hyperlink"/>
            <w:rFonts w:ascii="Times New Roman" w:hAnsi="Times New Roman"/>
            <w:b w:val="false"/>
            <w:i w:val="false"/>
            <w:color w:val="000000"/>
            <w:sz w:val="22"/>
          </w:rPr>
          <w:t>427A.1</w:t>
        </w:r>
      </w:hyperlink>
      <w:r>
        <w:rPr>
          <w:rFonts w:ascii="Times New Roman" w:hAnsi="Times New Roman"/>
          <w:b w:val="false"/>
          <w:i w:val="false"/>
          <w:color w:val="000000"/>
          <w:sz w:val="22"/>
        </w:rPr>
        <w:t>. The term does not include computer software.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“New investment directly related to new jobs created by the location or expansion of an eligible business under the program” </w:t>
      </w:r>
      <w:r>
        <w:rPr>
          <w:rFonts w:ascii="Times New Roman" w:hAnsi="Times New Roman"/>
          <w:b w:val="false"/>
          <w:i w:val="false"/>
          <w:color w:val="000000"/>
          <w:sz w:val="22"/>
        </w:rPr>
        <w:t>means the cost of machinery and equipment purchased for use in the operation of the eligible business which has been depreciated in accordance with generally accepted accounting principles and the cost of improvements to real property.</w:t>
      </w:r>
    </w:p>
    <w:p>
      <w:pPr>
        <w:spacing w:before="0" w:after="0"/>
        <w:ind w:left="120"/>
        <w:jc w:val="both"/>
      </w:pPr>
      <w:r>
        <w:rPr>
          <w:rFonts w:ascii="Times New Roman" w:hAnsi="Times New Roman"/>
          <w:b w:val="false"/>
          <w:i w:val="false"/>
          <w:color w:val="000000"/>
          <w:sz w:val="22"/>
        </w:rPr>
        <w:t xml:space="preserve">For the cost of improvements to real property to be eligible for an investment tax credit, the improvements to real property must have received an exemption from property taxes under Iowa Code section </w:t>
      </w:r>
      <w:hyperlink r:id="rId95">
        <w:r>
          <w:rPr>
            <w:rStyle w:val="Hyperlink"/>
            <w:rFonts w:ascii="Times New Roman" w:hAnsi="Times New Roman"/>
            <w:b w:val="false"/>
            <w:i w:val="false"/>
            <w:color w:val="000000"/>
            <w:sz w:val="22"/>
          </w:rPr>
          <w:t>15.332</w:t>
        </w:r>
      </w:hyperlink>
      <w:r>
        <w:rPr>
          <w:rFonts w:ascii="Times New Roman" w:hAnsi="Times New Roman"/>
          <w:b w:val="false"/>
          <w:i w:val="false"/>
          <w:color w:val="000000"/>
          <w:sz w:val="22"/>
        </w:rPr>
        <w:t>. Replacement machinery and equipment and additional improvements to real property placed in service during the period of property tax exemption by an eligible business qualify for an investment tax credit.</w:t>
      </w:r>
    </w:p>
    <w:p>
      <w:pPr>
        <w:spacing w:before="0" w:after="0"/>
        <w:ind w:left="120"/>
        <w:jc w:val="both"/>
      </w:pPr>
      <w:r>
        <w:rPr>
          <w:rFonts w:ascii="Times New Roman" w:hAnsi="Times New Roman"/>
          <w:b w:val="false"/>
          <w:i w:val="false"/>
          <w:color w:val="000000"/>
          <w:sz w:val="22"/>
        </w:rPr>
        <w:t xml:space="preserve">For tax years beginning on or after January 1, 2001, the requirement that the improvements to real property must have received an exemption from property taxes under Iowa Code section </w:t>
      </w:r>
      <w:hyperlink r:id="rId96">
        <w:r>
          <w:rPr>
            <w:rStyle w:val="Hyperlink"/>
            <w:rFonts w:ascii="Times New Roman" w:hAnsi="Times New Roman"/>
            <w:b w:val="false"/>
            <w:i w:val="false"/>
            <w:color w:val="000000"/>
            <w:sz w:val="22"/>
          </w:rPr>
          <w:t>15.332</w:t>
        </w:r>
      </w:hyperlink>
      <w:r>
        <w:rPr>
          <w:rFonts w:ascii="Times New Roman" w:hAnsi="Times New Roman"/>
          <w:b w:val="false"/>
          <w:i w:val="false"/>
          <w:color w:val="000000"/>
          <w:sz w:val="22"/>
        </w:rPr>
        <w:t xml:space="preserve"> has been eliminated.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501.10(2)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r>
        <w:rPr>
          <w:rFonts w:ascii="Times New Roman" w:hAnsi="Times New Roman"/>
          <w:b w:val="false"/>
          <w:i w:val="false"/>
          <w:color w:val="000000"/>
          <w:sz w:val="22"/>
        </w:rPr>
        <w:t xml:space="preserve">An investment tax credit of up to 10 percent of the new investment which is directly related to new jobs created by the location or expansion of an eligible business is available. The credit is available for machinery and equipment or improvements to real property placed in service after May 1, 1994. The credit is to be taken in the year the qualifying asset is placed in service. For business applications received on or after July 1, 1999, for purposes of the investment tax credit claimed under Iowa Code section </w:t>
      </w:r>
      <w:hyperlink r:id="rId97">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the cost of land and any buildings and structures located on the land will be considered to be a new investment which is directly related to new jobs for purposes of determining the amount of new investment upon which an investment tax credit may be taken.</w:t>
      </w:r>
    </w:p>
    <w:p>
      <w:pPr>
        <w:spacing w:before="0" w:after="0"/>
        <w:ind w:left="120"/>
        <w:jc w:val="both"/>
      </w:pPr>
      <w:r>
        <w:rPr>
          <w:rFonts w:ascii="Times New Roman" w:hAnsi="Times New Roman"/>
          <w:b w:val="false"/>
          <w:i w:val="false"/>
          <w:color w:val="000000"/>
          <w:sz w:val="22"/>
        </w:rPr>
        <w:t>For eligible businesses approved by the Iowa department of economic development on or after March 17, 2004, certain lease payments made by eligible businesses to a third-party developer will be considered to be new investment for purposes of computing the investment tax credit. The eligible business shall enter into a lease agreement with the third-party developer for a minimum of ten years. The investment tax credit is based on the annual base rent paid to a third-party developer by the eligible business for a period not to exceed ten years. The total costs of the annual base rent payments for the ten-year period cannot exceed the cost of the land and the third-party developer’s cost to build or renovate the building used by the eligible business. The annual base rent is defined as the total lease payment less taxes, insurance and operating and maintenance expenses.</w:t>
      </w:r>
    </w:p>
    <w:p>
      <w:pPr>
        <w:spacing w:before="0" w:after="0"/>
        <w:ind w:left="120"/>
        <w:jc w:val="both"/>
      </w:pPr>
      <w:r>
        <w:rPr>
          <w:rFonts w:ascii="Times New Roman" w:hAnsi="Times New Roman"/>
          <w:b w:val="false"/>
          <w:i w:val="false"/>
          <w:color w:val="000000"/>
          <w:sz w:val="22"/>
        </w:rPr>
        <w:t xml:space="preserve">If an eligible business fails to maintain the requirements of the new jobs and income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of the taxpayer to maintain the requirements of the new jobs and income program because this is a recovery of an incentive, rather than an adjustment to the taxpayer’s tax liability. Details on the calculation of the repayment can be found in </w:t>
      </w:r>
      <w:hyperlink r:id="rId98">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If the eligible business, within five years of purchase, sells, disposes of, razes, or otherwise renders unusable all or a part of the land, buildings, or other existing structures for which tax credit was claimed under this subrule, the income tax liability of the eligible business for the year in which all or part of the property is sold, disposed of, razed, or otherwise rendered unusable shall be increased by one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hundred percent of the investment tax credit claimed if the property ceases to be eligible for the tax credit within one full year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Eighty percent of the investment tax credit claimed if the property ceases to be eligible for the tax credit within two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Sixty percent of the investment tax credit claimed if the property ceases to be eligible for the tax credit within three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Forty percent of the investment tax credit claimed if the property ceases to be eligible for the tax credit within four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Twenty percent of the investment tax credit claimed if the property ceases to be eligible for the tax credit within five full years after being placed in service.</w:t>
      </w:r>
    </w:p>
    <w:p>
      <w:pPr>
        <w:spacing w:before="0" w:after="0"/>
        <w:ind w:left="120"/>
        <w:jc w:val="both"/>
      </w:pPr>
      <w:r>
        <w:rPr>
          <w:rFonts w:ascii="Times New Roman" w:hAnsi="Times New Roman"/>
          <w:b w:val="false"/>
          <w:i w:val="false"/>
          <w:color w:val="000000"/>
          <w:sz w:val="22"/>
        </w:rPr>
        <w:t>Any credit in excess of the tax liability for the tax year may be carried forward seven years or until used, whichever is the earlier.</w:t>
      </w:r>
    </w:p>
    <w:p>
      <w:pPr>
        <w:spacing w:before="0" w:after="0"/>
        <w:ind w:left="120"/>
        <w:jc w:val="both"/>
      </w:pPr>
      <w:r>
        <w:rPr>
          <w:rFonts w:ascii="Times New Roman" w:hAnsi="Times New Roman"/>
          <w:b w:val="false"/>
          <w:i w:val="false"/>
          <w:color w:val="000000"/>
          <w:sz w:val="22"/>
        </w:rPr>
        <w:t>If the business is a partnership, S corporation, limited liability company, or an estate or trust electing to have the income taxed directly to an individual, an individual may claim the credit.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501.10(3)</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An additional research activities credit of 6½ percent of the state’s apportioned share of “qualifying expenditures” is available to an eligible business. The credit is available for qualifying expenditures incurred after May 1, 1994. The additional research activities credit is in addition to the credit set forth in Iowa Code section </w:t>
      </w:r>
      <w:hyperlink r:id="rId99">
        <w:r>
          <w:rPr>
            <w:rStyle w:val="Hyperlink"/>
            <w:rFonts w:ascii="Times New Roman" w:hAnsi="Times New Roman"/>
            <w:b w:val="false"/>
            <w:i w:val="false"/>
            <w:color w:val="000000"/>
            <w:sz w:val="22"/>
          </w:rPr>
          <w:t>422.33(5)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See rule </w:t>
      </w:r>
      <w:hyperlink r:id="rId100">
        <w:r>
          <w:rPr>
            <w:rStyle w:val="Hyperlink"/>
            <w:rFonts w:ascii="Times New Roman" w:hAnsi="Times New Roman"/>
            <w:b w:val="false"/>
            <w:i w:val="false"/>
            <w:color w:val="000000"/>
            <w:sz w:val="22"/>
          </w:rPr>
          <w:t>701—501.7</w:t>
        </w:r>
      </w:hyperlink>
      <w:r>
        <w:rPr>
          <w:rFonts w:ascii="Times New Roman" w:hAnsi="Times New Roman"/>
          <w:b w:val="false"/>
          <w:i w:val="false"/>
          <w:color w:val="000000"/>
          <w:sz w:val="22"/>
        </w:rPr>
        <w:t>(422) for the computation of the research activities credit.</w:t>
      </w:r>
    </w:p>
    <w:p>
      <w:pPr>
        <w:spacing w:before="0" w:after="0"/>
        <w:ind w:left="120"/>
        <w:jc w:val="both"/>
      </w:pPr>
      <w:r>
        <w:rPr>
          <w:rFonts w:ascii="Times New Roman" w:hAnsi="Times New Roman"/>
          <w:b w:val="false"/>
          <w:i w:val="false"/>
          <w:color w:val="000000"/>
          <w:sz w:val="22"/>
        </w:rPr>
        <w:t xml:space="preserve">See also subrule </w:t>
      </w:r>
      <w:hyperlink r:id="rId101">
        <w:r>
          <w:rPr>
            <w:rStyle w:val="Hyperlink"/>
            <w:rFonts w:ascii="Times New Roman" w:hAnsi="Times New Roman"/>
            <w:b w:val="false"/>
            <w:i w:val="false"/>
            <w:color w:val="000000"/>
            <w:sz w:val="22"/>
          </w:rPr>
          <w:t>501.7(3)</w:t>
        </w:r>
      </w:hyperlink>
      <w:r>
        <w:rPr>
          <w:rFonts w:ascii="Times New Roman" w:hAnsi="Times New Roman"/>
          <w:b w:val="false"/>
          <w:i w:val="false"/>
          <w:color w:val="000000"/>
          <w:sz w:val="22"/>
        </w:rPr>
        <w:t xml:space="preserve"> for the computation of the research activities credit for tax years beginning on or after January 1, 2000, and subrule </w:t>
      </w:r>
      <w:hyperlink r:id="rId102">
        <w:r>
          <w:rPr>
            <w:rStyle w:val="Hyperlink"/>
            <w:rFonts w:ascii="Times New Roman" w:hAnsi="Times New Roman"/>
            <w:b w:val="false"/>
            <w:i w:val="false"/>
            <w:color w:val="000000"/>
            <w:sz w:val="22"/>
          </w:rPr>
          <w:t>501.7(4)</w:t>
        </w:r>
      </w:hyperlink>
      <w:r>
        <w:rPr>
          <w:rFonts w:ascii="Times New Roman" w:hAnsi="Times New Roman"/>
          <w:b w:val="false"/>
          <w:i w:val="false"/>
          <w:color w:val="000000"/>
          <w:sz w:val="22"/>
        </w:rPr>
        <w:t xml:space="preserve"> for the research activities credit for an eligible business for tax years beginning on or after January 1, 2000.</w:t>
      </w:r>
    </w:p>
    <w:p>
      <w:pPr>
        <w:spacing w:before="0" w:after="0"/>
        <w:ind w:left="120"/>
        <w:jc w:val="both"/>
      </w:pPr>
      <w:r>
        <w:rPr>
          <w:rFonts w:ascii="Times New Roman" w:hAnsi="Times New Roman"/>
          <w:b w:val="false"/>
          <w:i w:val="false"/>
          <w:color w:val="000000"/>
          <w:sz w:val="22"/>
        </w:rPr>
        <w:t xml:space="preserve">Any credit in excess of the tax liability for the tax year may be carried forward seven years or until used, whichever is the earlier. This is in contrast to the research activities credit in Iowa Code section </w:t>
      </w:r>
      <w:hyperlink r:id="rId103">
        <w:r>
          <w:rPr>
            <w:rStyle w:val="Hyperlink"/>
            <w:rFonts w:ascii="Times New Roman" w:hAnsi="Times New Roman"/>
            <w:b w:val="false"/>
            <w:i w:val="false"/>
            <w:color w:val="000000"/>
            <w:sz w:val="22"/>
          </w:rPr>
          <w:t>422.33(5)</w:t>
        </w:r>
      </w:hyperlink>
      <w:r>
        <w:rPr>
          <w:rFonts w:ascii="Times New Roman" w:hAnsi="Times New Roman"/>
          <w:b w:val="false"/>
          <w:i w:val="false"/>
          <w:color w:val="000000"/>
          <w:sz w:val="22"/>
        </w:rPr>
        <w:t xml:space="preserve"> where any credit in excess of the tax liability for the tax year may be carried forward until used or refunded. For tax years ending on or after July 1, 1996, the additional research activities credit may at the option of the taxpayer be refunded.</w:t>
      </w:r>
    </w:p>
    <w:p>
      <w:pPr>
        <w:spacing w:before="0" w:after="0"/>
        <w:ind w:left="120"/>
        <w:jc w:val="both"/>
      </w:pPr>
      <w:r>
        <w:rPr>
          <w:rFonts w:ascii="Times New Roman" w:hAnsi="Times New Roman"/>
          <w:b w:val="false"/>
          <w:i w:val="false"/>
          <w:color w:val="000000"/>
          <w:sz w:val="22"/>
        </w:rPr>
        <w:t>If the business is a partnership, S corporation, limited liability company, or an estate or trust electing to have the income taxed directly to an individual, an individual may claim the credit.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501.10(4)</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credit—value-added agricultural products. </w:t>
      </w:r>
      <w:r>
        <w:rPr>
          <w:rFonts w:ascii="Times New Roman" w:hAnsi="Times New Roman"/>
          <w:b w:val="false"/>
          <w:i w:val="false"/>
          <w:color w:val="000000"/>
          <w:sz w:val="22"/>
        </w:rPr>
        <w:t xml:space="preserve">For tax years beginning on or after July 1, 2001, an eligible business whose project primarily involves the production of value-added agricultural products may elect to receive a refund for all or a portion of an unused investment credit. For tax years beginning on or after July 1, 2001, but before July 1, 2003,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not required to file an Iowa corporation tax return, and whose project primarily involves the production of ethanol. For tax years beginning on or after July 1, 2003,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not required to file an Iowa corporation income tax return.</w:t>
      </w:r>
    </w:p>
    <w:p>
      <w:pPr>
        <w:spacing w:before="0" w:after="0"/>
        <w:ind w:left="120"/>
        <w:jc w:val="both"/>
      </w:pPr>
      <w:r>
        <w:rPr>
          <w:rFonts w:ascii="Times New Roman" w:hAnsi="Times New Roman"/>
          <w:b w:val="false"/>
          <w:i w:val="false"/>
          <w:color w:val="000000"/>
          <w:sz w:val="22"/>
        </w:rPr>
        <w:t>Eligible businesses that elect to receive a refund shall apply to the economic development authority for tax credit certificates between May 1 and May 15 of each fiscal year through the fiscal year ending June 30, 2009. The election to receive a refund of all or a portion of an unused investment tax credit is no longer available beginning with the fiscal year ending June 30, 2010. Only those businesses that have completed projects before the May 1 filing date may apply for a tax credit certificate. The economic development authority will not issue tax credit certificates for more than $4 million during a fiscal year. If applications are received for more than $4 million, the applicants shall receive certificates for a prorated amount.</w:t>
      </w:r>
    </w:p>
    <w:p>
      <w:pPr>
        <w:spacing w:before="0" w:after="0"/>
        <w:ind w:left="120"/>
        <w:jc w:val="both"/>
      </w:pPr>
      <w:r>
        <w:rPr>
          <w:rFonts w:ascii="Times New Roman" w:hAnsi="Times New Roman"/>
          <w:b w:val="false"/>
          <w:i w:val="false"/>
          <w:color w:val="000000"/>
          <w:sz w:val="22"/>
        </w:rPr>
        <w:t xml:space="preserve">The economic development authority will issue tax credit certificates within a reasonable period of time. Tax credit certificates are valid for the tax year following project completion. The tax credit certificate must be included with the tax return for the tax year during which the tax credit is claimed. The tax credit certificate shall not be transferred, except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and whose project primarily involves the production of ethanol for tax years beginning on or after January 1, 2002, or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for tax years beginning on or after July 1, 2003.</w:t>
      </w:r>
    </w:p>
    <w:p>
      <w:pPr>
        <w:spacing w:before="0" w:after="0"/>
        <w:ind w:left="120"/>
        <w:jc w:val="both"/>
      </w:pPr>
      <w:r>
        <w:rPr>
          <w:rFonts w:ascii="Times New Roman" w:hAnsi="Times New Roman"/>
          <w:b w:val="false"/>
          <w:i w:val="false"/>
          <w:color w:val="000000"/>
          <w:sz w:val="22"/>
        </w:rPr>
        <w:t>For value-added agricultural projects for cooperatives that are not required to file an Iowa income tax return because they are exempt from federal income tax, the cooperative must submit a list of its members and the share of each member’s interest in the cooperative. The economic development authority will issue a tax credit certificate to each member on the list.</w:t>
      </w:r>
    </w:p>
    <w:p>
      <w:pPr>
        <w:spacing w:before="0" w:after="0"/>
        <w:ind w:left="120"/>
        <w:jc w:val="both"/>
      </w:pPr>
      <w:r>
        <w:rPr>
          <w:rFonts w:ascii="Times New Roman" w:hAnsi="Times New Roman"/>
          <w:b w:val="false"/>
          <w:i w:val="false"/>
          <w:color w:val="000000"/>
          <w:sz w:val="22"/>
        </w:rPr>
        <w:t xml:space="preserve">For tax years beginning on or after January 1, 2002, but before July 1, 2003,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and whose project primarily involves the production of ethanol may elect to transfer all or a portion of its tax credit to its members. For tax years beginning on or after July 1, 2003,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may elect to transfer all or a portion of its tax credit to its members. The amount of tax credit transferred and claimed by a member shall be based upon the pro rata share of the member’s earnings in the cooperative. The economic development authority will issue a tax credit certificate to each member of the cooperative to whom the credit was transferred provided that tax credit certificates which total no more than $4 million are issued during a fiscal year.</w:t>
      </w:r>
    </w:p>
    <w:p>
      <w:pPr>
        <w:spacing w:before="0" w:after="0"/>
        <w:ind w:left="120"/>
        <w:jc w:val="both"/>
      </w:pPr>
      <w:r>
        <w:rPr>
          <w:rFonts w:ascii="Times New Roman" w:hAnsi="Times New Roman"/>
          <w:b w:val="false"/>
          <w:i w:val="false"/>
          <w:color w:val="000000"/>
          <w:sz w:val="22"/>
        </w:rPr>
        <w:t>The following nonexclusive examples illustrate how this subrule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Corporation A completes a value-added agricultural project in October 2001 and has an investment tax credit of $1 million. Corporation A is required to file an Iowa income tax return but expects no tax liability for the year ending December 31, 2001. Thus, Corporation A applies for a tax credit certificate for the entire unused credit of $1 million in May 2002. The entire $1 million is approved by the economic development authority, so the tax credit certificate is included with the tax return for the year ending December 31, 2002. Corporation A will request a refund of $1 million on this tax return.</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Corporation B completes a value-added agricultural project in October 2001 and has an investment tax credit of $1 million. Corporation B is required to file an Iowa income tax return but expects no tax liability for the year ending December 31, 2001. Thus, Corporation B applies for a tax credit of $1 million in May 2002. Due to the proration of available credits, Corporation B is awarded a tax credit certificate for $400,000. The tax credit certificate is included with the tax return for the year ending December 31, 2002. Corporation B will request a refund of $400,000 on this tax return. The remaining $600,000 of unused credit can be carried forward for the following seven tax years or until the credit is depleted, whichever occurs first. If Corporation B expects no tax liability for the tax period ending December 31, 2002, Corporation B may apply for a tax credit certificate in May 2003 for this $600,000 amount.</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Corporation C completes a value-added agricultural project in March 2002 and has an investment tax credit of $1 million. Corporation C is required to file an Iowa income tax return and expects a tax liability of $200,000 for the tax period ending December 31, 2002. Thus, Corporation C applies for a tax credit certificate for the unused credit of $800,000 in May 2002. A tax credit certificate is awarded for the entire $800,000. The tax credit certificate for $800,000 shall be included with the tax return for the period ending December 31, 2003, since the certificate is not valid until the year following the project’s completion. The tax return for the period ending December 31, 2002, reports a tax liability of $150,000. The investment credit is limited to $150,000 for the period ending December 31, 2002, and the remaining $50,000 can be carried forward for the following seven tax years.</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Corporation D is a cooperative described in Section 521 of the Internal Revenue Code that completes a project involving ethanol in August 2002. Corporation D has an investment tax credit of $500,000. Corporation D is not required to file an Iowa income tax return because Corporation D is exempt from federal income tax. When filing for the tax credit certificate in May 2003 for the $500,000 unused credit, Corporation D must attach a list of its members and the share of each member’s interest in the cooperative. The economic development authority will issue tax credit certificates to each member on the list based on each member’s interest in the cooperative. The members can include the tax credit certificate with their Iowa income tax returns for the year ending December 31, 2003, since the certificate is not valid until the year following project completion.</w:t>
      </w:r>
    </w:p>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Corporation E is a cooperative described in Section 521 of the Internal Revenue Code that completes a project involving ethanol in August 2002. Corporation E has an investment tax credit of $500,000. Corporation E is required to file an Iowa income tax return because Corporation E is not exempt from federal income tax. Corporation E expects a tax liability of $100,000 on its Iowa income tax return for the year ending December 31, 2002. Corporation E applies for a tax credit certificate for the unused credit of $400,000 and elects to transfer the $400,000 unused credit to its members. When applying for the tax credit certificate in May 2003, Corporation E must provide a list of its members and the pro rata share of each member’s earnings in the cooperative. The economic development authority will issue tax credit certificates to each member of the cooperative. The members can include the tax credit certificate with their Iowa income tax returns for the year ending December 31, 2003, since the certificate is not valid until the year following project completion.</w:t>
      </w:r>
    </w:p>
    <w:p>
      <w:pPr>
        <w:spacing w:before="0" w:after="0"/>
        <w:ind w:left="120"/>
        <w:jc w:val="both"/>
      </w:pPr>
      <w:r>
        <w:rPr>
          <w:rFonts w:ascii="Times New Roman" w:hAnsi="Times New Roman"/>
          <w:b w:val="false"/>
          <w:i w:val="false"/>
          <w:color w:val="000000"/>
          <w:sz w:val="22"/>
        </w:rPr>
        <w:t xml:space="preserve">EXAMPLE 6. </w:t>
      </w:r>
      <w:r>
        <w:rPr>
          <w:rFonts w:ascii="Times New Roman" w:hAnsi="Times New Roman"/>
          <w:b w:val="false"/>
          <w:i w:val="false"/>
          <w:color w:val="000000"/>
          <w:sz w:val="22"/>
        </w:rPr>
        <w:t>Corporation F is a cooperative described in Section 521 of the Internal Revenue Code that completes a project involving ethanol in August 2002. Corporation F is a limited liability company that files a partnership return for federal income tax purposes. Corporation F is required to file an Iowa partnership return because Corporation F is not exempt from federal income tax. Corporation F has an investment tax credit of $500,000 which must be claimed by the individual partners of the partnership based on their pro rata share of individual earnings of the partnership. Corporation F expects a tax liability of $200,000 for the individual partners. Corporation F may apply for a tax credit certificate in May 2003 for the unused credit of $300,000. Corporation F must list the names of each partner and the ownership interest of each partner in order to allocate the investment credit for each partner. The tax credit certificate may be claimed on the partner’s Iowa income tax return for the period ending December 31, 2003.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501.10(5)</w:t>
      </w:r>
      <w:r>
        <w:rPr>
          <w:rFonts w:ascii="Times New Roman" w:hAnsi="Times New Roman"/>
          <w:b w:val="false"/>
          <w:i w:val="false"/>
          <w:color w:val="000000"/>
          <w:sz w:val="22"/>
        </w:rPr>
        <w:t> </w:t>
      </w:r>
      <w:r>
        <w:rPr>
          <w:rFonts w:ascii="Times New Roman" w:hAnsi="Times New Roman"/>
          <w:b w:val="false"/>
          <w:i/>
          <w:color w:val="000000"/>
          <w:sz w:val="22"/>
        </w:rPr>
        <w:t xml:space="preserve">Corporate tax credit—certain sales taxes paid by developer. </w:t>
      </w:r>
      <w:r>
        <w:rPr>
          <w:rFonts w:ascii="Times New Roman" w:hAnsi="Times New Roman"/>
          <w:b w:val="false"/>
          <w:i w:val="false"/>
          <w:color w:val="000000"/>
          <w:sz w:val="22"/>
        </w:rPr>
        <w:t>For eligible businesses approved by the Iowa department of economic development on or after March 17, 2004, the eligible business may claim a corporate tax credit for certain sales taxes paid by a third-party developer.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Sales taxes eligible for the credit. </w:t>
      </w:r>
      <w:r>
        <w:rPr>
          <w:rFonts w:ascii="Times New Roman" w:hAnsi="Times New Roman"/>
          <w:b w:val="false"/>
          <w:i w:val="false"/>
          <w:color w:val="000000"/>
          <w:sz w:val="22"/>
        </w:rPr>
        <w:t>The sales taxes paid by the third-party developer which are eligible for this credit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sales and use tax for gas, electricity, water, or sewer utility services, goods, wares, or merchandise, or on services rendered to, furnished to or performed for a contractor or subcontractor and used in the fulfillment of a written contract relating to the construction or equipping of a facility within the economic development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Iowa sales and use tax paid for racks, shelving, and conveyor equipment to be used in a warehouse or distribution center within the economic development area.</w:t>
      </w:r>
    </w:p>
    <w:p>
      <w:pPr>
        <w:spacing w:before="0" w:after="0"/>
        <w:ind w:left="120"/>
        <w:jc w:val="both"/>
      </w:pPr>
      <w:r>
        <w:rPr>
          <w:rFonts w:ascii="Times New Roman" w:hAnsi="Times New Roman"/>
          <w:b w:val="false"/>
          <w:i w:val="false"/>
          <w:color w:val="000000"/>
          <w:sz w:val="22"/>
        </w:rPr>
        <w:t>Any Iowa sales and use tax paid relating to intangible property, furniture and other furnishings is not eligible for the corporate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How to claim the credit. </w:t>
      </w:r>
      <w:r>
        <w:rPr>
          <w:rFonts w:ascii="Times New Roman" w:hAnsi="Times New Roman"/>
          <w:b w:val="false"/>
          <w:i w:val="false"/>
          <w:color w:val="000000"/>
          <w:sz w:val="22"/>
        </w:rPr>
        <w:t xml:space="preserve">The third-party developer must provide to the economic development authority the amount of Iowa sales and use tax paid as described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Beginning on July 1, 2009, this information must be provided to the Iowa department of revenue. The amount of Iowa sales and use tax attributable to racks, shelving, and conveyor equipment must be identified separately.</w:t>
      </w:r>
    </w:p>
    <w:p>
      <w:pPr>
        <w:spacing w:before="0" w:after="0"/>
        <w:ind w:left="120"/>
        <w:jc w:val="both"/>
      </w:pPr>
      <w:r>
        <w:rPr>
          <w:rFonts w:ascii="Times New Roman" w:hAnsi="Times New Roman"/>
          <w:b w:val="false"/>
          <w:i w:val="false"/>
          <w:color w:val="000000"/>
          <w:sz w:val="22"/>
        </w:rPr>
        <w:t>The economic development authority will issue a tax credit certificate to the eligible business equal to the Iowa sales and use tax paid by the third-party developer for gas, electricity, water, or sewer utility services, goods, wares, or merchandise, or on services rendered to, furnished to or performed for a contractor or subcontractor and used in the fulfillment of a written contract relating to the construction or equipping of a facility. In addition, the economic development authority will also issue a separate tax credit certificate to the eligible business equal to the Iowa sales and use tax paid by the third-party developer for racks, shelving, and conveyor equipment to be used in a warehouse or distribution center. Beginning on July 1, 2009, the Iowa department of revenue shall issue these tax credit certificates.</w:t>
      </w:r>
    </w:p>
    <w:p>
      <w:pPr>
        <w:spacing w:before="0" w:after="0"/>
        <w:ind w:left="120"/>
        <w:jc w:val="both"/>
      </w:pPr>
      <w:r>
        <w:rPr>
          <w:rFonts w:ascii="Times New Roman" w:hAnsi="Times New Roman"/>
          <w:b w:val="false"/>
          <w:i w:val="false"/>
          <w:color w:val="000000"/>
          <w:sz w:val="22"/>
        </w:rPr>
        <w:t>The tax credit certificate shall contain the name, address, and tax identification number of the eligible business, along with the amount of the tax credit and the year in which the tax credit can be claimed. The tax credit certificate must be included with the taxpayer’s income tax return for the tax year for which the tax credit is claimed. Any tax credit in excess of the taxpayer’s tax liability is refundable. In lieu of claiming the refund, the taxpayer may elect to have the overpayment credited to the tax liability for the following seven years or until it is used, whichever is the earlier.</w:t>
      </w:r>
    </w:p>
    <w:p>
      <w:pPr>
        <w:spacing w:before="0" w:after="0"/>
        <w:ind w:left="120"/>
        <w:jc w:val="both"/>
      </w:pPr>
      <w:r>
        <w:rPr>
          <w:rFonts w:ascii="Times New Roman" w:hAnsi="Times New Roman"/>
          <w:b w:val="false"/>
          <w:i w:val="false"/>
          <w:color w:val="000000"/>
          <w:sz w:val="22"/>
        </w:rPr>
        <w:t>For the tax credit certificate relating to Iowa sales and use tax paid by the third-party developer for racks, shelving, and conveyor equipment, the aggregate amount of tax credit certificates and tax refunds for Iowa sales and use tax paid for racks, shelving, and conveyor equipment to eligible businesses under the new jobs and income program, high quality job creation program, enterprise zone program, new capital investment program and high quality jobs program cannot exceed $500,000 in a fiscal year. The requests for tax credit certificates or refunds will be processed in the order they are received on a first-come, first-served basis until the amount of credits authorized for issuance has been exhausted. If applications for tax credit certificates or refunds exceed the $500,000 limitation for any fiscal year, the applications shall be considered in succeeding fiscal years.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4">
        <w:r>
          <w:rPr>
            <w:rStyle w:val="Hyperlink"/>
            <w:rFonts w:ascii="Times New Roman" w:hAnsi="Times New Roman"/>
            <w:b w:val="false"/>
            <w:i w:val="false"/>
            <w:color w:val="000000"/>
            <w:sz w:val="22"/>
          </w:rPr>
          <w:t>15.331C</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2380</w:t>
      </w:r>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8605B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701—501.11</w:t>
      </w:r>
      <w:r>
        <w:rPr>
          <w:rFonts w:ascii="Times New Roman" w:hAnsi="Times New Roman"/>
          <w:b/>
          <w:i w:val="false"/>
          <w:color w:val="000000"/>
          <w:sz w:val="22"/>
        </w:rPr>
        <w:t xml:space="preserve">(422) </w:t>
      </w:r>
      <w:r>
        <w:rPr>
          <w:rFonts w:ascii="Times New Roman" w:hAnsi="Times New Roman"/>
          <w:b/>
          <w:i w:val="false"/>
          <w:color w:val="000000"/>
          <w:sz w:val="22"/>
        </w:rPr>
        <w:t xml:space="preserve">Refunds and overpayments.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501.11(1)</w:t>
      </w:r>
      <w:r>
        <w:rPr>
          <w:rFonts w:ascii="Times New Roman" w:hAnsi="Times New Roman"/>
          <w:b w:val="false"/>
          <w:i w:val="false"/>
          <w:color w:val="000000"/>
          <w:sz w:val="22"/>
        </w:rPr>
        <w:t xml:space="preserve"> to </w:t>
      </w:r>
      <w:r>
        <w:rPr>
          <w:rFonts w:ascii="Times New Roman" w:hAnsi="Times New Roman"/>
          <w:b/>
          <w:i w:val="false"/>
          <w:color w:val="000000"/>
          <w:sz w:val="22"/>
        </w:rPr>
        <w:t>501.11(9)</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501.11(10)</w:t>
      </w:r>
      <w:r>
        <w:rPr>
          <w:rFonts w:ascii="Times New Roman" w:hAnsi="Times New Roman"/>
          <w:b w:val="false"/>
          <w:i w:val="false"/>
          <w:color w:val="000000"/>
          <w:sz w:val="22"/>
        </w:rPr>
        <w:t> </w:t>
      </w:r>
      <w:r>
        <w:rPr>
          <w:rFonts w:ascii="Times New Roman" w:hAnsi="Times New Roman"/>
          <w:b w:val="false"/>
          <w:i/>
          <w:color w:val="000000"/>
          <w:sz w:val="22"/>
        </w:rPr>
        <w:t xml:space="preserve">For refund claims received by the department after June 11, 1984. </w:t>
      </w:r>
      <w:r>
        <w:rPr>
          <w:rFonts w:ascii="Times New Roman" w:hAnsi="Times New Roman"/>
          <w:b w:val="false"/>
          <w:i w:val="false"/>
          <w:color w:val="000000"/>
          <w:sz w:val="22"/>
        </w:rPr>
        <w:t>If the amount of tax is reduced as a result of a net operating loss or net capital loss, interest shall accrue on the refund resulting from the loss carryback beginning on the date a claim for refund or amended return carrying back the net operating loss or net capital loss is filed with the department or the first day of the second calendar month following the actual payment date, whichever is later.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501.11(11)</w:t>
      </w:r>
      <w:r>
        <w:rPr>
          <w:rFonts w:ascii="Times New Roman" w:hAnsi="Times New Roman"/>
          <w:b w:val="false"/>
          <w:i w:val="false"/>
          <w:color w:val="000000"/>
          <w:sz w:val="22"/>
        </w:rPr>
        <w:t xml:space="preserve"> to </w:t>
      </w:r>
      <w:r>
        <w:rPr>
          <w:rFonts w:ascii="Times New Roman" w:hAnsi="Times New Roman"/>
          <w:b/>
          <w:i w:val="false"/>
          <w:color w:val="000000"/>
          <w:sz w:val="22"/>
        </w:rPr>
        <w:t>501.11(13)</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501.11(14)</w:t>
      </w:r>
      <w:r>
        <w:rPr>
          <w:rFonts w:ascii="Times New Roman" w:hAnsi="Times New Roman"/>
          <w:b w:val="false"/>
          <w:i w:val="false"/>
          <w:color w:val="000000"/>
          <w:sz w:val="22"/>
        </w:rPr>
        <w:t> </w:t>
      </w:r>
      <w:r>
        <w:rPr>
          <w:rFonts w:ascii="Times New Roman" w:hAnsi="Times New Roman"/>
          <w:b w:val="false"/>
          <w:i/>
          <w:color w:val="000000"/>
          <w:sz w:val="22"/>
        </w:rPr>
        <w:t xml:space="preserve">Overpayment—interest accruing on overpayments resulting from returns due on or after April 30, 1981. </w:t>
      </w:r>
      <w:r>
        <w:rPr>
          <w:rFonts w:ascii="Times New Roman" w:hAnsi="Times New Roman"/>
          <w:b w:val="false"/>
          <w:i w:val="false"/>
          <w:color w:val="000000"/>
          <w:sz w:val="22"/>
        </w:rPr>
        <w:t>If the amount of tax determined to be due by the department is less than the amount paid, the excess to be refunded will accrue interest from the first day of the second calendar month following the date of payment or the date the return was due to be filed or was filed, whichever is the later.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7">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701—501.12</w:t>
      </w:r>
      <w:r>
        <w:rPr>
          <w:rFonts w:ascii="Times New Roman" w:hAnsi="Times New Roman"/>
          <w:b/>
          <w:i w:val="false"/>
          <w:color w:val="000000"/>
          <w:sz w:val="22"/>
        </w:rPr>
        <w:t xml:space="preserve">(422) </w:t>
      </w:r>
      <w:r>
        <w:rPr>
          <w:rFonts w:ascii="Times New Roman" w:hAnsi="Times New Roman"/>
          <w:b/>
          <w:i w:val="false"/>
          <w:color w:val="000000"/>
          <w:sz w:val="22"/>
        </w:rPr>
        <w:t xml:space="preserve">Deduction of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501.12(1)</w:t>
      </w:r>
      <w:r>
        <w:rPr>
          <w:rFonts w:ascii="Times New Roman" w:hAnsi="Times New Roman"/>
          <w:b w:val="false"/>
          <w:i w:val="false"/>
          <w:color w:val="000000"/>
          <w:sz w:val="22"/>
        </w:rPr>
        <w:t> </w:t>
      </w:r>
      <w:r>
        <w:rPr>
          <w:rFonts w:ascii="Times New Roman" w:hAnsi="Times New Roman"/>
          <w:b w:val="false"/>
          <w:i/>
          <w:color w:val="000000"/>
          <w:sz w:val="22"/>
        </w:rPr>
        <w:t xml:space="preserve">Sequencing of credit deductions. </w:t>
      </w:r>
      <w:r>
        <w:rPr>
          <w:rFonts w:ascii="Times New Roman" w:hAnsi="Times New Roman"/>
          <w:b w:val="false"/>
          <w:i w:val="false"/>
          <w:color w:val="000000"/>
          <w:sz w:val="22"/>
        </w:rPr>
        <w:t xml:space="preserve">The credits against computed tax set forth in Iowa Code sections </w:t>
      </w:r>
      <w:hyperlink r:id="rId108">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shall be claimed in the following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Franchise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credit (for tax years beginning during 2021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Qualifying business investment tax credit (also known as angel investor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Historic preservation tax credit (when the taxpayer has elected that the credit be nonrefundable under Iowa Code section </w:t>
      </w:r>
      <w:hyperlink r:id="rId110">
        <w:r>
          <w:rPr>
            <w:rStyle w:val="Hyperlink"/>
            <w:rFonts w:ascii="Times New Roman" w:hAnsi="Times New Roman"/>
            <w:b w:val="false"/>
            <w:i w:val="false"/>
            <w:color w:val="000000"/>
            <w:sz w:val="22"/>
          </w:rPr>
          <w:t>404A.2(4)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School tuition organization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Innovation fund investment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Endow Iowa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Redevelopment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From farm to food donation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Workforce housing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Hoover presidential library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Enterprise zone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High quality jobs investment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Wind energy production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Renewable energy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New jobs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Beginning farmer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Agricultural assets transfer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Custom farming contract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Solar energy system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Charitable conservation contribution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credit (for tax years beginning before January 1, 2021,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 xml:space="preserve">Historic preservation tax credit (when the taxpayer has elected that the credit be refundable under Iowa Code section </w:t>
      </w:r>
      <w:hyperlink r:id="rId111">
        <w:r>
          <w:rPr>
            <w:rStyle w:val="Hyperlink"/>
            <w:rFonts w:ascii="Times New Roman" w:hAnsi="Times New Roman"/>
            <w:b w:val="false"/>
            <w:i w:val="false"/>
            <w:color w:val="000000"/>
            <w:sz w:val="22"/>
          </w:rPr>
          <w:t>404A.2(4)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High quality jobs third-party developer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Research activities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Assistive device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Motor fuel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E-85 gasoline promotion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Biodiesel blended fuel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r>
        <w:rPr>
          <w:rFonts w:ascii="Times New Roman" w:hAnsi="Times New Roman"/>
          <w:b w:val="false"/>
          <w:i w:val="false"/>
          <w:color w:val="000000"/>
          <w:sz w:val="22"/>
        </w:rPr>
        <w:t>E-15 plus gasoline promotion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r>
        <w:rPr>
          <w:rFonts w:ascii="Times New Roman" w:hAnsi="Times New Roman"/>
          <w:b w:val="false"/>
          <w:i w:val="false"/>
          <w:color w:val="000000"/>
          <w:sz w:val="22"/>
        </w:rPr>
        <w:t>Renewable chemical production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w:t>
      </w:r>
      <w:r>
        <w:rPr>
          <w:rFonts w:ascii="Times New Roman" w:hAnsi="Times New Roman"/>
          <w:b w:val="false"/>
          <w:i w:val="false"/>
          <w:color w:val="000000"/>
          <w:sz w:val="22"/>
        </w:rPr>
        <w:t>  </w:t>
      </w:r>
      <w:r>
        <w:rPr>
          <w:rFonts w:ascii="Times New Roman" w:hAnsi="Times New Roman"/>
          <w:b w:val="false"/>
          <w:i w:val="false"/>
          <w:color w:val="000000"/>
          <w:sz w:val="22"/>
        </w:rPr>
        <w:t>Estimated payments, payments with vouchers, and composite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501.12(2)</w:t>
      </w:r>
      <w:r>
        <w:rPr>
          <w:rFonts w:ascii="Times New Roman" w:hAnsi="Times New Roman"/>
          <w:b w:val="false"/>
          <w:i w:val="false"/>
          <w:color w:val="000000"/>
          <w:sz w:val="22"/>
        </w:rPr>
        <w:t> </w:t>
      </w:r>
      <w:r>
        <w:rPr>
          <w:rFonts w:ascii="Times New Roman" w:hAnsi="Times New Roman"/>
          <w:b w:val="false"/>
          <w:i/>
          <w:color w:val="000000"/>
          <w:sz w:val="22"/>
        </w:rPr>
        <w:t xml:space="preserve">Order of credits carried forward from a previous tax year. </w:t>
      </w:r>
      <w:r>
        <w:rPr>
          <w:rFonts w:ascii="Times New Roman" w:hAnsi="Times New Roman"/>
          <w:b w:val="false"/>
          <w:i w:val="false"/>
          <w:color w:val="000000"/>
          <w:sz w:val="22"/>
        </w:rPr>
        <w:t xml:space="preserve">A credit carried forward from a previous tax year shall be applied against computed tax before a credit earned under the same credit program in the current tax year. However, a credit carried forward from a previous tax year cannot be applied against computed tax before a credit awarded under a different credit program in a later year that appears before it in the sequence in </w:t>
      </w:r>
      <w:hyperlink r:id="rId112">
        <w:r>
          <w:rPr>
            <w:rStyle w:val="Hyperlink"/>
            <w:rFonts w:ascii="Times New Roman" w:hAnsi="Times New Roman"/>
            <w:b w:val="false"/>
            <w:i w:val="false"/>
            <w:color w:val="000000"/>
            <w:sz w:val="22"/>
          </w:rPr>
          <w:t>subrule 501.12(1)</w:t>
        </w:r>
      </w:hyperlink>
      <w:r>
        <w:rPr>
          <w:rFonts w:ascii="Times New Roman" w:hAnsi="Times New Roman"/>
          <w:b w:val="false"/>
          <w:i w:val="false"/>
          <w:color w:val="000000"/>
          <w:sz w:val="22"/>
        </w:rPr>
        <w:t>. For example, a school tuition organization tax credit awarded in the current tax year must be applied against computed tax before a renewable energy tax credit carried forward from a previous tax year.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3">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422.91</w:t>
        </w:r>
      </w:hyperlink>
      <w:r>
        <w:rPr>
          <w:rFonts w:ascii="Times New Roman" w:hAnsi="Times New Roman"/>
          <w:b w:val="false"/>
          <w:i w:val="false"/>
          <w:color w:val="000000"/>
          <w:sz w:val="22"/>
        </w:rPr>
        <w:t xml:space="preserve"> and </w:t>
      </w:r>
      <w:hyperlink r:id="rId115">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6030C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701—501.13</w:t>
      </w:r>
      <w:r>
        <w:rPr>
          <w:rFonts w:ascii="Times New Roman" w:hAnsi="Times New Roman"/>
          <w:b/>
          <w:i w:val="false"/>
          <w:color w:val="000000"/>
          <w:sz w:val="22"/>
        </w:rPr>
        <w:t xml:space="preserve">(422) </w:t>
      </w:r>
      <w:r>
        <w:rPr>
          <w:rFonts w:ascii="Times New Roman" w:hAnsi="Times New Roman"/>
          <w:b/>
          <w:i w:val="false"/>
          <w:color w:val="000000"/>
          <w:sz w:val="22"/>
        </w:rPr>
        <w:t xml:space="preserve">Livestock production credits. </w:t>
      </w:r>
      <w:r>
        <w:rPr>
          <w:rFonts w:ascii="Times New Roman" w:hAnsi="Times New Roman"/>
          <w:b w:val="false"/>
          <w:i w:val="false"/>
          <w:color w:val="000000"/>
          <w:sz w:val="22"/>
        </w:rPr>
        <w:t xml:space="preserve">For rules relating to the livestock production income tax credit refunds see rule </w:t>
      </w:r>
      <w:hyperlink r:id="rId116">
        <w:r>
          <w:rPr>
            <w:rStyle w:val="Hyperlink"/>
            <w:rFonts w:ascii="Times New Roman" w:hAnsi="Times New Roman"/>
            <w:b w:val="false"/>
            <w:i w:val="false"/>
            <w:color w:val="000000"/>
            <w:sz w:val="22"/>
          </w:rPr>
          <w:t>701—305.8</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1996 Iowa Acts, chapter 1197, sections 19, 20, and 21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701—501.14</w:t>
      </w:r>
      <w:r>
        <w:rPr>
          <w:rFonts w:ascii="Times New Roman" w:hAnsi="Times New Roman"/>
          <w:b/>
          <w:i w:val="false"/>
          <w:color w:val="000000"/>
          <w:sz w:val="22"/>
        </w:rPr>
        <w:t xml:space="preserve">(15E) </w:t>
      </w:r>
      <w:r>
        <w:rPr>
          <w:rFonts w:ascii="Times New Roman" w:hAnsi="Times New Roman"/>
          <w:b/>
          <w:i w:val="false"/>
          <w:color w:val="000000"/>
          <w:sz w:val="22"/>
        </w:rPr>
        <w:t xml:space="preserve">Enterprise zone tax credits. </w:t>
      </w:r>
      <w:r>
        <w:rPr>
          <w:rFonts w:ascii="Times New Roman" w:hAnsi="Times New Roman"/>
          <w:b w:val="false"/>
          <w:i w:val="false"/>
          <w:color w:val="000000"/>
          <w:sz w:val="22"/>
        </w:rPr>
        <w:t xml:space="preserve">For tax years ending after July 1, 1997, for programs approved after July 1, 1997, but before July 1, 2014, a business which qualifies under the enterprise zone program is eligible to receive tax credits. The enterprise zone program was repealed on July 1, 2014. Any tax credits earned by businesses approved under the enterprise zone program prior to July 1, 2014, remain valid and can be claimed on tax returns filed after July 1, 2014. An eligible business under the enterprise zone program must be approved by the economic development authority and meet the requirements of 2014 Iowa Code section </w:t>
      </w:r>
      <w:hyperlink r:id="rId117">
        <w:r>
          <w:rPr>
            <w:rStyle w:val="Hyperlink"/>
            <w:rFonts w:ascii="Times New Roman" w:hAnsi="Times New Roman"/>
            <w:b w:val="false"/>
            <w:i w:val="false"/>
            <w:color w:val="000000"/>
            <w:sz w:val="22"/>
          </w:rPr>
          <w:t>15E.193</w:t>
        </w:r>
      </w:hyperlink>
      <w:r>
        <w:rPr>
          <w:rFonts w:ascii="Times New Roman" w:hAnsi="Times New Roman"/>
          <w:b w:val="false"/>
          <w:i w:val="false"/>
          <w:color w:val="000000"/>
          <w:sz w:val="22"/>
        </w:rPr>
        <w:t xml:space="preserve">. The administrative rules for the enterprise zone program for the economic development authority may be found at </w:t>
      </w:r>
      <w:hyperlink r:id="rId118">
        <w:r>
          <w:rPr>
            <w:rStyle w:val="Hyperlink"/>
            <w:rFonts w:ascii="Times New Roman" w:hAnsi="Times New Roman"/>
            <w:b w:val="false"/>
            <w:i w:val="false"/>
            <w:color w:val="000000"/>
            <w:sz w:val="22"/>
          </w:rPr>
          <w:t>261—Chapter 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501.14(1)</w:t>
      </w:r>
      <w:r>
        <w:rPr>
          <w:rFonts w:ascii="Times New Roman" w:hAnsi="Times New Roman"/>
          <w:b w:val="false"/>
          <w:i w:val="false"/>
          <w:color w:val="000000"/>
          <w:sz w:val="22"/>
        </w:rPr>
        <w:t> </w:t>
      </w:r>
      <w:r>
        <w:rPr>
          <w:rFonts w:ascii="Times New Roman" w:hAnsi="Times New Roman"/>
          <w:b w:val="false"/>
          <w:i/>
          <w:color w:val="000000"/>
          <w:sz w:val="22"/>
        </w:rPr>
        <w:t xml:space="preserve">Supplemental new jobs credit from withholding. </w:t>
      </w:r>
      <w:r>
        <w:rPr>
          <w:rFonts w:ascii="Times New Roman" w:hAnsi="Times New Roman"/>
          <w:b w:val="false"/>
          <w:i w:val="false"/>
          <w:color w:val="000000"/>
          <w:sz w:val="22"/>
        </w:rPr>
        <w:t xml:space="preserve">An eligible business approved under the enterprise zone program is allowed the supplemental new jobs credit from withholding as provided in </w:t>
      </w:r>
      <w:hyperlink r:id="rId119">
        <w:r>
          <w:rPr>
            <w:rStyle w:val="Hyperlink"/>
            <w:rFonts w:ascii="Times New Roman" w:hAnsi="Times New Roman"/>
            <w:b w:val="false"/>
            <w:i w:val="false"/>
            <w:color w:val="000000"/>
            <w:sz w:val="22"/>
          </w:rPr>
          <w:t>701—subrule 46.9(1)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501.14(2)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r>
        <w:rPr>
          <w:rFonts w:ascii="Times New Roman" w:hAnsi="Times New Roman"/>
          <w:b w:val="false"/>
          <w:i w:val="false"/>
          <w:color w:val="000000"/>
          <w:sz w:val="22"/>
        </w:rPr>
        <w:t>An eligible business approved under the enterprise zone program is allowed an investment tax credit of up to 10 percent of the new investment which is directly related to new jobs created by the location or expansion of the eligible business.</w:t>
      </w:r>
    </w:p>
    <w:p>
      <w:pPr>
        <w:spacing w:before="0" w:after="0"/>
        <w:ind w:left="120"/>
        <w:jc w:val="both"/>
      </w:pPr>
      <w:r>
        <w:rPr>
          <w:rFonts w:ascii="Times New Roman" w:hAnsi="Times New Roman"/>
          <w:b w:val="false"/>
          <w:i w:val="false"/>
          <w:color w:val="000000"/>
          <w:sz w:val="22"/>
        </w:rPr>
        <w:t xml:space="preserve">The provisions under the new jobs and income program for the investment tax credit described in rule </w:t>
      </w:r>
      <w:hyperlink r:id="rId120">
        <w:r>
          <w:rPr>
            <w:rStyle w:val="Hyperlink"/>
            <w:rFonts w:ascii="Times New Roman" w:hAnsi="Times New Roman"/>
            <w:b w:val="false"/>
            <w:i w:val="false"/>
            <w:color w:val="000000"/>
            <w:sz w:val="22"/>
          </w:rPr>
          <w:t>701—501.10</w:t>
        </w:r>
      </w:hyperlink>
      <w:r>
        <w:rPr>
          <w:rFonts w:ascii="Times New Roman" w:hAnsi="Times New Roman"/>
          <w:b w:val="false"/>
          <w:i w:val="false"/>
          <w:color w:val="000000"/>
          <w:sz w:val="22"/>
        </w:rPr>
        <w:t>(15) are applicable to the enterprise zone program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corporate tax credit for certain sales taxes paid by a developer described in subrule </w:t>
      </w:r>
      <w:hyperlink r:id="rId121">
        <w:r>
          <w:rPr>
            <w:rStyle w:val="Hyperlink"/>
            <w:rFonts w:ascii="Times New Roman" w:hAnsi="Times New Roman"/>
            <w:b w:val="false"/>
            <w:i w:val="false"/>
            <w:color w:val="000000"/>
            <w:sz w:val="22"/>
          </w:rPr>
          <w:t>52.10(5)</w:t>
        </w:r>
      </w:hyperlink>
      <w:r>
        <w:rPr>
          <w:rFonts w:ascii="Times New Roman" w:hAnsi="Times New Roman"/>
          <w:b w:val="false"/>
          <w:i w:val="false"/>
          <w:color w:val="000000"/>
          <w:sz w:val="22"/>
        </w:rPr>
        <w:t xml:space="preserve"> does not apply for the enterprise zone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projects approved on or after July 1, 2005, under the enterprise zone program, the investment tax credit will be amortized over a five-year period, as described in subrule </w:t>
      </w:r>
      <w:hyperlink r:id="rId122">
        <w:r>
          <w:rPr>
            <w:rStyle w:val="Hyperlink"/>
            <w:rFonts w:ascii="Times New Roman" w:hAnsi="Times New Roman"/>
            <w:b w:val="false"/>
            <w:i w:val="false"/>
            <w:color w:val="000000"/>
            <w:sz w:val="22"/>
          </w:rPr>
          <w:t>501.28(2)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ending on or after July 1, 2005, an eligible business approved under the enterprise zone program whose project primarily involves biotechnology-related processes may elect to receive a refund for all or a portion of an unused investment credit as described in subrule </w:t>
      </w:r>
      <w:hyperlink r:id="rId123">
        <w:r>
          <w:rPr>
            <w:rStyle w:val="Hyperlink"/>
            <w:rFonts w:ascii="Times New Roman" w:hAnsi="Times New Roman"/>
            <w:b w:val="false"/>
            <w:i w:val="false"/>
            <w:color w:val="000000"/>
            <w:sz w:val="22"/>
          </w:rPr>
          <w:t>501.10(4)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501.14(3)</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An eligible business approved under the enterprise zone program is eligible for an additional research activities credit as described in subrules </w:t>
      </w:r>
      <w:hyperlink r:id="rId124">
        <w:r>
          <w:rPr>
            <w:rStyle w:val="Hyperlink"/>
            <w:rFonts w:ascii="Times New Roman" w:hAnsi="Times New Roman"/>
            <w:b w:val="false"/>
            <w:i w:val="false"/>
            <w:color w:val="000000"/>
            <w:sz w:val="22"/>
          </w:rPr>
          <w:t>501.7(5)</w:t>
        </w:r>
      </w:hyperlink>
      <w:r>
        <w:rPr>
          <w:rFonts w:ascii="Times New Roman" w:hAnsi="Times New Roman"/>
          <w:b w:val="false"/>
          <w:i w:val="false"/>
          <w:color w:val="000000"/>
          <w:sz w:val="22"/>
        </w:rPr>
        <w:t xml:space="preserve"> and </w:t>
      </w:r>
      <w:hyperlink r:id="rId125">
        <w:r>
          <w:rPr>
            <w:rStyle w:val="Hyperlink"/>
            <w:rFonts w:ascii="Times New Roman" w:hAnsi="Times New Roman"/>
            <w:b w:val="false"/>
            <w:i w:val="false"/>
            <w:color w:val="000000"/>
            <w:sz w:val="22"/>
          </w:rPr>
          <w:t>501.7(6)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Tax years ending on or after July 1, 2005, but before July 1, 2009. </w:t>
      </w:r>
      <w:r>
        <w:rPr>
          <w:rFonts w:ascii="Times New Roman" w:hAnsi="Times New Roman"/>
          <w:b w:val="false"/>
          <w:i w:val="false"/>
          <w:color w:val="000000"/>
          <w:sz w:val="22"/>
        </w:rPr>
        <w:t xml:space="preserve">For eligible businesses approved under the enterprise zone program, research activities allowable for the Iowa research activities credit include expenses related to the development and deployment of innovative renewable energy generation components manufactured or assembled in Iowa; such expenses related to the development and deployment of innovative renewable energy generation components are not eligible for the federal credit for increasing research activities. For purposes of this subrule, innovative renewable energy generation components do not include components with more than 200 megawatts in installed effective nameplate capacity. The research activities credit related to renewable energy generation components under the enterprise zone program and the high quality job creation program described in subrule </w:t>
      </w:r>
      <w:hyperlink r:id="rId126">
        <w:r>
          <w:rPr>
            <w:rStyle w:val="Hyperlink"/>
            <w:rFonts w:ascii="Times New Roman" w:hAnsi="Times New Roman"/>
            <w:b w:val="false"/>
            <w:i w:val="false"/>
            <w:color w:val="000000"/>
            <w:sz w:val="22"/>
          </w:rPr>
          <w:t>501.28(1)</w:t>
        </w:r>
      </w:hyperlink>
      <w:r>
        <w:rPr>
          <w:rFonts w:ascii="Times New Roman" w:hAnsi="Times New Roman"/>
          <w:b w:val="false"/>
          <w:i w:val="false"/>
          <w:color w:val="000000"/>
          <w:sz w:val="22"/>
        </w:rPr>
        <w:t xml:space="preserve"> shall not exceed $1 million in the aggregate.</w:t>
      </w:r>
    </w:p>
    <w:p>
      <w:pPr>
        <w:spacing w:before="0" w:after="0"/>
        <w:ind w:left="120"/>
        <w:jc w:val="both"/>
      </w:pPr>
      <w:r>
        <w:rPr>
          <w:rFonts w:ascii="Times New Roman" w:hAnsi="Times New Roman"/>
          <w:b w:val="false"/>
          <w:i w:val="false"/>
          <w:color w:val="000000"/>
          <w:sz w:val="22"/>
        </w:rPr>
        <w:t xml:space="preserve">These expenses related to the development and deployment of innovative renewable energy generation components are applicable only to the additional research activities credit set forth in subrule </w:t>
      </w:r>
      <w:hyperlink r:id="rId127">
        <w:r>
          <w:rPr>
            <w:rStyle w:val="Hyperlink"/>
            <w:rFonts w:ascii="Times New Roman" w:hAnsi="Times New Roman"/>
            <w:b w:val="false"/>
            <w:i w:val="false"/>
            <w:color w:val="000000"/>
            <w:sz w:val="22"/>
          </w:rPr>
          <w:t>501.7(5)</w:t>
        </w:r>
      </w:hyperlink>
      <w:r>
        <w:rPr>
          <w:rFonts w:ascii="Times New Roman" w:hAnsi="Times New Roman"/>
          <w:b w:val="false"/>
          <w:i w:val="false"/>
          <w:color w:val="000000"/>
          <w:sz w:val="22"/>
        </w:rPr>
        <w:t xml:space="preserve"> for businesses in enterprise zones and the additional research activities credit set forth in subrule </w:t>
      </w:r>
      <w:hyperlink r:id="rId128">
        <w:r>
          <w:rPr>
            <w:rStyle w:val="Hyperlink"/>
            <w:rFonts w:ascii="Times New Roman" w:hAnsi="Times New Roman"/>
            <w:b w:val="false"/>
            <w:i w:val="false"/>
            <w:color w:val="000000"/>
            <w:sz w:val="22"/>
          </w:rPr>
          <w:t>501.28(1)</w:t>
        </w:r>
      </w:hyperlink>
      <w:r>
        <w:rPr>
          <w:rFonts w:ascii="Times New Roman" w:hAnsi="Times New Roman"/>
          <w:b w:val="false"/>
          <w:i w:val="false"/>
          <w:color w:val="000000"/>
          <w:sz w:val="22"/>
        </w:rPr>
        <w:t xml:space="preserve"> for businesses approved under the high quality job creation program, and are not applicable to the research activities credit set forth in subrule </w:t>
      </w:r>
      <w:hyperlink r:id="rId129">
        <w:r>
          <w:rPr>
            <w:rStyle w:val="Hyperlink"/>
            <w:rFonts w:ascii="Times New Roman" w:hAnsi="Times New Roman"/>
            <w:b w:val="false"/>
            <w:i w:val="false"/>
            <w:color w:val="000000"/>
            <w:sz w:val="22"/>
          </w:rPr>
          <w:t>501.7(3)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 years ending on or after July 1, 2009. </w:t>
      </w:r>
      <w:r>
        <w:rPr>
          <w:rFonts w:ascii="Times New Roman" w:hAnsi="Times New Roman"/>
          <w:b w:val="false"/>
          <w:i w:val="false"/>
          <w:color w:val="000000"/>
          <w:sz w:val="22"/>
        </w:rPr>
        <w:t>For eligible businesses approved under the enterprise zone program, research activities allowable for the Iowa research activities credit include expenses related to the development and deployment of innovative renewable energy generation components manufactured or assembled in Iowa; such expenses related to the development and deployment of innovative renewable energy generation components are not eligible for the federal credit for increasing research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this paragraph, innovative renewable energy generation components do not include components with more than 200 megawatts in installed effective nameplate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research activities credit related to renewable energy generation components under the enterprise zone program and the high quality jobs program described in subrule </w:t>
      </w:r>
      <w:hyperlink r:id="rId130">
        <w:r>
          <w:rPr>
            <w:rStyle w:val="Hyperlink"/>
            <w:rFonts w:ascii="Times New Roman" w:hAnsi="Times New Roman"/>
            <w:b w:val="false"/>
            <w:i w:val="false"/>
            <w:color w:val="000000"/>
            <w:sz w:val="22"/>
          </w:rPr>
          <w:t>501.28(1)</w:t>
        </w:r>
      </w:hyperlink>
      <w:r>
        <w:rPr>
          <w:rFonts w:ascii="Times New Roman" w:hAnsi="Times New Roman"/>
          <w:b w:val="false"/>
          <w:i w:val="false"/>
          <w:color w:val="000000"/>
          <w:sz w:val="22"/>
        </w:rPr>
        <w:t xml:space="preserve"> shall not exceed $2 million for the fiscal year ending June 30, 2010, and $1 million for the fiscal year ending June 30, 2011.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expenses related to the development and deployment of innovative renewable energy generation components are applicable only to the additional research activities credit set forth in subrule </w:t>
      </w:r>
      <w:hyperlink r:id="rId131">
        <w:r>
          <w:rPr>
            <w:rStyle w:val="Hyperlink"/>
            <w:rFonts w:ascii="Times New Roman" w:hAnsi="Times New Roman"/>
            <w:b w:val="false"/>
            <w:i w:val="false"/>
            <w:color w:val="000000"/>
            <w:sz w:val="22"/>
          </w:rPr>
          <w:t>501.7(5)</w:t>
        </w:r>
      </w:hyperlink>
      <w:r>
        <w:rPr>
          <w:rFonts w:ascii="Times New Roman" w:hAnsi="Times New Roman"/>
          <w:b w:val="false"/>
          <w:i w:val="false"/>
          <w:color w:val="000000"/>
          <w:sz w:val="22"/>
        </w:rPr>
        <w:t xml:space="preserve"> for businesses in enterprise zones and the additional research activities credit set forth in subrule </w:t>
      </w:r>
      <w:hyperlink r:id="rId132">
        <w:r>
          <w:rPr>
            <w:rStyle w:val="Hyperlink"/>
            <w:rFonts w:ascii="Times New Roman" w:hAnsi="Times New Roman"/>
            <w:b w:val="false"/>
            <w:i w:val="false"/>
            <w:color w:val="000000"/>
            <w:sz w:val="22"/>
          </w:rPr>
          <w:t>501.40(1)</w:t>
        </w:r>
      </w:hyperlink>
      <w:r>
        <w:rPr>
          <w:rFonts w:ascii="Times New Roman" w:hAnsi="Times New Roman"/>
          <w:b w:val="false"/>
          <w:i w:val="false"/>
          <w:color w:val="000000"/>
          <w:sz w:val="22"/>
        </w:rPr>
        <w:t xml:space="preserve"> for businesses approved under the high quality jobs program, and are not applicable to the research activities credit set forth in subrule </w:t>
      </w:r>
      <w:hyperlink r:id="rId133">
        <w:r>
          <w:rPr>
            <w:rStyle w:val="Hyperlink"/>
            <w:rFonts w:ascii="Times New Roman" w:hAnsi="Times New Roman"/>
            <w:b w:val="false"/>
            <w:i w:val="false"/>
            <w:color w:val="000000"/>
            <w:sz w:val="22"/>
          </w:rPr>
          <w:t>501.7(3)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501.14(4)</w:t>
      </w:r>
      <w:r>
        <w:rPr>
          <w:rFonts w:ascii="Times New Roman" w:hAnsi="Times New Roman"/>
          <w:b w:val="false"/>
          <w:i w:val="false"/>
          <w:color w:val="000000"/>
          <w:sz w:val="22"/>
        </w:rPr>
        <w:t> </w:t>
      </w:r>
      <w:r>
        <w:rPr>
          <w:rFonts w:ascii="Times New Roman" w:hAnsi="Times New Roman"/>
          <w:b w:val="false"/>
          <w:i/>
          <w:color w:val="000000"/>
          <w:sz w:val="22"/>
        </w:rPr>
        <w:t xml:space="preserve">Repayment of incentives. </w:t>
      </w:r>
      <w:r>
        <w:rPr>
          <w:rFonts w:ascii="Times New Roman" w:hAnsi="Times New Roman"/>
          <w:b w:val="false"/>
          <w:i w:val="false"/>
          <w:color w:val="000000"/>
          <w:sz w:val="22"/>
        </w:rPr>
        <w:t xml:space="preserve">Effective July 1, 2003, eligible businesses in an enterprise zone may be required to repay all or a portion of the tax incentives received on Iowa returns if the eligible business experiences a layoff of employees in Iowa or closes any of its facilities in Iowa. Irrespective of the fact that the statute of limitations to assess the taxpayer for repayment of the tax credits may have expired, the department may proceed to collect the tax incentives forfeited by failure to maintain the requirements of the enterprise zone program because this is a recovery of an incentive, rather than an adjustment to the taxpayer’s tax liability. Details on the calculation of the repayment can be found in </w:t>
      </w:r>
      <w:hyperlink r:id="rId134">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 xml:space="preserve">This rule is intended to implement 2014 Iowa Code sections </w:t>
      </w:r>
      <w:hyperlink r:id="rId135">
        <w:r>
          <w:rPr>
            <w:rStyle w:val="Hyperlink"/>
            <w:rFonts w:ascii="Times New Roman" w:hAnsi="Times New Roman"/>
            <w:b w:val="false"/>
            <w:i w:val="false"/>
            <w:color w:val="000000"/>
            <w:sz w:val="22"/>
          </w:rPr>
          <w:t>15E.193</w:t>
        </w:r>
      </w:hyperlink>
      <w:r>
        <w:rPr>
          <w:rFonts w:ascii="Times New Roman" w:hAnsi="Times New Roman"/>
          <w:b w:val="false"/>
          <w:i w:val="false"/>
          <w:color w:val="000000"/>
          <w:sz w:val="22"/>
        </w:rPr>
        <w:t xml:space="preserve"> and </w:t>
      </w:r>
      <w:hyperlink r:id="rId136">
        <w:r>
          <w:rPr>
            <w:rStyle w:val="Hyperlink"/>
            <w:rFonts w:ascii="Times New Roman" w:hAnsi="Times New Roman"/>
            <w:b w:val="false"/>
            <w:i w:val="false"/>
            <w:color w:val="000000"/>
            <w:sz w:val="22"/>
          </w:rPr>
          <w:t>15E.196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701—501.15</w:t>
      </w:r>
      <w:r>
        <w:rPr>
          <w:rFonts w:ascii="Times New Roman" w:hAnsi="Times New Roman"/>
          <w:b/>
          <w:i w:val="false"/>
          <w:color w:val="000000"/>
          <w:sz w:val="22"/>
        </w:rPr>
        <w:t xml:space="preserve">(15E) </w:t>
      </w:r>
      <w:r>
        <w:rPr>
          <w:rFonts w:ascii="Times New Roman" w:hAnsi="Times New Roman"/>
          <w:b/>
          <w:i w:val="false"/>
          <w:color w:val="000000"/>
          <w:sz w:val="22"/>
        </w:rPr>
        <w:t xml:space="preserve">Eligible housing business tax credit. </w:t>
      </w:r>
      <w:r>
        <w:rPr>
          <w:rFonts w:ascii="Times New Roman" w:hAnsi="Times New Roman"/>
          <w:b w:val="false"/>
          <w:i w:val="false"/>
          <w:color w:val="000000"/>
          <w:sz w:val="22"/>
        </w:rPr>
        <w:t xml:space="preserve">A corporation which qualifies as an eligible housing business may receive a tax credit of up to 10 percent of the new investment which is directly related to the building or rehabilitating of homes in an enterprise zone. The enterprise zone program was repealed on July 1, 2014, and the eligible housing business tax credit has been replaced with the workforce housing tax incentives program. See rule </w:t>
      </w:r>
      <w:hyperlink r:id="rId137">
        <w:r>
          <w:rPr>
            <w:rStyle w:val="Hyperlink"/>
            <w:rFonts w:ascii="Times New Roman" w:hAnsi="Times New Roman"/>
            <w:b w:val="false"/>
            <w:i w:val="false"/>
            <w:color w:val="000000"/>
            <w:sz w:val="22"/>
          </w:rPr>
          <w:t>701—501.46</w:t>
        </w:r>
      </w:hyperlink>
      <w:r>
        <w:rPr>
          <w:rFonts w:ascii="Times New Roman" w:hAnsi="Times New Roman"/>
          <w:b w:val="false"/>
          <w:i w:val="false"/>
          <w:color w:val="000000"/>
          <w:sz w:val="22"/>
        </w:rPr>
        <w:t>(15) for information on the tax incentives provided under the workforce housing tax incentives program. Any investment tax credit earned by businesses approved under the enterprise zone program prior to July 1, 2014, remains valid and can be claimed on tax returns filed after July 1, 2014. The tax credit may be taken on the tax return for the tax year in which the home is ready for occupancy.</w:t>
      </w:r>
    </w:p>
    <w:p>
      <w:pPr>
        <w:spacing w:before="0" w:after="0"/>
        <w:ind w:left="120"/>
        <w:jc w:val="both"/>
      </w:pPr>
      <w:r>
        <w:rPr>
          <w:rFonts w:ascii="Times New Roman" w:hAnsi="Times New Roman"/>
          <w:b w:val="false"/>
          <w:i w:val="false"/>
          <w:color w:val="000000"/>
          <w:sz w:val="22"/>
        </w:rPr>
        <w:t xml:space="preserve">An eligible housing business is one which meets the criteria in 2014 Iowa Code section </w:t>
      </w:r>
      <w:hyperlink r:id="rId138">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501.15(1)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tax credit. </w:t>
      </w:r>
      <w:r>
        <w:rPr>
          <w:rFonts w:ascii="Times New Roman" w:hAnsi="Times New Roman"/>
          <w:b w:val="false"/>
          <w:i w:val="false"/>
          <w:color w:val="000000"/>
          <w:sz w:val="22"/>
        </w:rPr>
        <w:t>New investment which is directly related to the building or rehabilitating of homes includes but is not limited to the following costs: land, surveying, architectural services, building permits, inspections, interest on a construction loan, building materials, roofing, plumbing materials, electrical materials, amounts paid to subcontractors for labor and materials provided, concrete, labor, landscaping, appliances normally provided with a new home, heating and cooling equipment, millwork, drywall and drywall materials, nails, bolts, screws, and floor coverings.</w:t>
      </w:r>
    </w:p>
    <w:p>
      <w:pPr>
        <w:spacing w:before="0" w:after="0"/>
        <w:ind w:left="120"/>
        <w:jc w:val="both"/>
      </w:pPr>
      <w:r>
        <w:rPr>
          <w:rFonts w:ascii="Times New Roman" w:hAnsi="Times New Roman"/>
          <w:b w:val="false"/>
          <w:i w:val="false"/>
          <w:color w:val="000000"/>
          <w:sz w:val="22"/>
        </w:rPr>
        <w:t>New investment does not include the machinery, equipment, hand or power tools necessary to build or rehabilitate homes.</w:t>
      </w:r>
    </w:p>
    <w:p>
      <w:pPr>
        <w:spacing w:before="0" w:after="0"/>
        <w:ind w:left="120"/>
        <w:jc w:val="both"/>
      </w:pPr>
      <w:r>
        <w:rPr>
          <w:rFonts w:ascii="Times New Roman" w:hAnsi="Times New Roman"/>
          <w:b w:val="false"/>
          <w:i w:val="false"/>
          <w:color w:val="000000"/>
          <w:sz w:val="22"/>
        </w:rPr>
        <w:t xml:space="preserve">A taxpayer may claim on the taxpayer’s corporation income tax return the pro rata share of the Iowa eligible housing business tax credit from a partnership, limited liability company, estate, or trust. The portion of the credit claimed by the taxpayer shall be in the same ratio as the taxpayer’s pro rata share of the earnings of the partnership, limited liability company, or estate or trust, except for projects beginning on or after July 1, 2005, which used low-income housing credits authorized under </w:t>
      </w:r>
      <w:r>
        <w:rPr>
          <w:rFonts w:ascii="Times New Roman" w:hAnsi="Times New Roman"/>
          <w:b w:val="false"/>
          <w:i w:val="false"/>
          <w:color w:val="000000"/>
          <w:sz w:val="22"/>
        </w:rPr>
        <w:t>Section 42 of the Internal Revenue Code</w:t>
      </w:r>
      <w:r>
        <w:rPr>
          <w:rFonts w:ascii="Times New Roman" w:hAnsi="Times New Roman"/>
          <w:b w:val="false"/>
          <w:i w:val="false"/>
          <w:color w:val="000000"/>
          <w:sz w:val="22"/>
        </w:rPr>
        <w:t xml:space="preserve"> to assist in the financing of the housing development. For these projects, the partnership, limited liability company or S corporation may designate the amount of the tax credit to be allocated to each partner, member or shareholder.</w:t>
      </w:r>
    </w:p>
    <w:p>
      <w:pPr>
        <w:spacing w:before="0" w:after="0"/>
        <w:ind w:left="120"/>
        <w:jc w:val="both"/>
      </w:pPr>
      <w:r>
        <w:rPr>
          <w:rFonts w:ascii="Times New Roman" w:hAnsi="Times New Roman"/>
          <w:b w:val="false"/>
          <w:i w:val="false"/>
          <w:color w:val="000000"/>
          <w:sz w:val="22"/>
        </w:rPr>
        <w:t>Any Iowa eligible housing business tax credit in excess of the corporation’s tax liability may be carried forward for seven years or until it is used, whichever is the earlier.</w:t>
      </w:r>
    </w:p>
    <w:p>
      <w:pPr>
        <w:spacing w:before="0" w:after="0"/>
        <w:ind w:left="120"/>
        <w:jc w:val="both"/>
      </w:pPr>
      <w:r>
        <w:rPr>
          <w:rFonts w:ascii="Times New Roman" w:hAnsi="Times New Roman"/>
          <w:b w:val="false"/>
          <w:i w:val="false"/>
          <w:color w:val="000000"/>
          <w:sz w:val="22"/>
        </w:rPr>
        <w:t xml:space="preserve">If the eligible housing business fails to maintain the requirements of Iowa Code section </w:t>
      </w:r>
      <w:hyperlink r:id="rId139">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 xml:space="preserve"> to be an eligible housing business, the taxpayer may be required to repay all or a part of the tax incentives the business received. Irrespective of the fact that the statute of limitations to assess the taxpayer for repayment of the income tax credit may have expired, the department may proceed to collect the tax incentives forfeited by failure to maintain the requirements of Iowa Code section </w:t>
      </w:r>
      <w:hyperlink r:id="rId140">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 xml:space="preserve">. This is because it is a recovery of an incentive, rather than an adjustment to the taxpayer’s tax liability. Details on the calculation of the repayment can be found in </w:t>
      </w:r>
      <w:hyperlink r:id="rId141">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Prior to January 1, 2001, the tax credit cannot exceed 10 percent of $120,000 for each home or individual unit in a multiple dwelling unit building. Effective January 1, 2001, the tax credit cannot exceed 10 percent of $140,000 for each home or individual unit in a multiple dwelling unit building.</w:t>
      </w:r>
    </w:p>
    <w:p>
      <w:pPr>
        <w:spacing w:before="0" w:after="0"/>
        <w:ind w:left="120"/>
        <w:jc w:val="both"/>
      </w:pPr>
      <w:r>
        <w:rPr>
          <w:rFonts w:ascii="Times New Roman" w:hAnsi="Times New Roman"/>
          <w:b w:val="false"/>
          <w:i w:val="false"/>
          <w:color w:val="000000"/>
          <w:sz w:val="22"/>
        </w:rPr>
        <w:t xml:space="preserve">Effective for tax periods beginning on or after January 1, 2003, the taxpayer must receive a tax credit certificate from the economic development authority to claim the eligible housing business tax credit. The tax credit certificate shall include the taxpayer’s name, the taxpayer’s address, the taxpayer’s tax identification number, the date the project was completed, the amount of the eligible housing business tax credit and the tax year for which the credit may be claimed. In addition, the tax credit certificate shall include a place for the name and tax identification number of a transferee and the amount of the tax credit being transferred, as provided in subrule </w:t>
      </w:r>
      <w:hyperlink r:id="rId142">
        <w:r>
          <w:rPr>
            <w:rStyle w:val="Hyperlink"/>
            <w:rFonts w:ascii="Times New Roman" w:hAnsi="Times New Roman"/>
            <w:b w:val="false"/>
            <w:i w:val="false"/>
            <w:color w:val="000000"/>
            <w:sz w:val="22"/>
          </w:rPr>
          <w:t>501.15(2)</w:t>
        </w:r>
      </w:hyperlink>
      <w:r>
        <w:rPr>
          <w:rFonts w:ascii="Times New Roman" w:hAnsi="Times New Roman"/>
          <w:b w:val="false"/>
          <w:i w:val="false"/>
          <w:color w:val="000000"/>
          <w:sz w:val="22"/>
        </w:rPr>
        <w:t xml:space="preserve">. The tax credit certificate must be included with the income tax return for the tax period in which the home is ready for occupancy. The administrative rules for the eligible housing business tax credit for the economic development authority may be found under </w:t>
      </w:r>
      <w:hyperlink r:id="rId143">
        <w:r>
          <w:rPr>
            <w:rStyle w:val="Hyperlink"/>
            <w:rFonts w:ascii="Times New Roman" w:hAnsi="Times New Roman"/>
            <w:b w:val="false"/>
            <w:i w:val="false"/>
            <w:color w:val="000000"/>
            <w:sz w:val="22"/>
          </w:rPr>
          <w:t>261—Chapter 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501.15(2)</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eligible housing business tax credit. </w:t>
      </w:r>
      <w:r>
        <w:rPr>
          <w:rFonts w:ascii="Times New Roman" w:hAnsi="Times New Roman"/>
          <w:b w:val="false"/>
          <w:i w:val="false"/>
          <w:color w:val="000000"/>
          <w:sz w:val="22"/>
        </w:rPr>
        <w:t xml:space="preserve">For tax periods beginning on or after January 1, 2003, the eligible housing business tax credit certificates may be transferred to any person or entity if low-income housing tax credits authorized under </w:t>
      </w:r>
      <w:r>
        <w:rPr>
          <w:rFonts w:ascii="Times New Roman" w:hAnsi="Times New Roman"/>
          <w:b w:val="false"/>
          <w:i w:val="false"/>
          <w:color w:val="000000"/>
          <w:sz w:val="22"/>
        </w:rPr>
        <w:t>Section 42 of the Internal Revenue Code</w:t>
      </w:r>
      <w:r>
        <w:rPr>
          <w:rFonts w:ascii="Times New Roman" w:hAnsi="Times New Roman"/>
          <w:b w:val="false"/>
          <w:i w:val="false"/>
          <w:color w:val="000000"/>
          <w:sz w:val="22"/>
        </w:rPr>
        <w:t xml:space="preserve"> are used to assist in the financing of the housing development. In addition, the eligible housing business tax credit certificates may be transferred to any person or entity for projects beginning on or after July 1, 2005, if the housing development is located in a brownfield site as defined in Iowa Code section </w:t>
      </w:r>
      <w:hyperlink r:id="rId144">
        <w:r>
          <w:rPr>
            <w:rStyle w:val="Hyperlink"/>
            <w:rFonts w:ascii="Times New Roman" w:hAnsi="Times New Roman"/>
            <w:b w:val="false"/>
            <w:i w:val="false"/>
            <w:color w:val="000000"/>
            <w:sz w:val="22"/>
          </w:rPr>
          <w:t>15.291</w:t>
        </w:r>
      </w:hyperlink>
      <w:r>
        <w:rPr>
          <w:rFonts w:ascii="Times New Roman" w:hAnsi="Times New Roman"/>
          <w:b w:val="false"/>
          <w:i w:val="false"/>
          <w:color w:val="000000"/>
          <w:sz w:val="22"/>
        </w:rPr>
        <w:t xml:space="preserve">, or if the housing development is located in a blighted area as defined in Iowa Code section </w:t>
      </w:r>
      <w:hyperlink r:id="rId145">
        <w:r>
          <w:rPr>
            <w:rStyle w:val="Hyperlink"/>
            <w:rFonts w:ascii="Times New Roman" w:hAnsi="Times New Roman"/>
            <w:b w:val="false"/>
            <w:i w:val="false"/>
            <w:color w:val="000000"/>
            <w:sz w:val="22"/>
          </w:rPr>
          <w:t>403.17</w:t>
        </w:r>
      </w:hyperlink>
      <w:r>
        <w:rPr>
          <w:rFonts w:ascii="Times New Roman" w:hAnsi="Times New Roman"/>
          <w:b w:val="false"/>
          <w:i w:val="false"/>
          <w:color w:val="000000"/>
          <w:sz w:val="22"/>
        </w:rPr>
        <w:t>. No more than $3 million of tax credits for housing developments located in brownfield sites or blighted areas may be transferred in a calendar year, with no more than $1.5 million being transferred for any one eligible housing business in a calendar year.</w:t>
      </w:r>
    </w:p>
    <w:p>
      <w:pPr>
        <w:spacing w:before="0" w:after="0"/>
        <w:ind w:left="120"/>
        <w:jc w:val="both"/>
      </w:pPr>
      <w:r>
        <w:rPr>
          <w:rFonts w:ascii="Times New Roman" w:hAnsi="Times New Roman"/>
          <w:b w:val="false"/>
          <w:i w:val="false"/>
          <w:color w:val="000000"/>
          <w:sz w:val="22"/>
        </w:rPr>
        <w:t>The excess of the $3 million limitation of tax credits eligible for transfer in the 2013 and 2014 calendar years for housing developments located in brownfield sites or blighted areas cannot be claimed by a transferee prior to January 1, 2016. The eligible housing business must have notified the economic development authority in writing before July 1, 2014, of the business’s intent to transfer any tax credits for housing developments located in brownfield sites or blighted areas. If a tax credit certificate is issued by the economic development authority for a housing development approved prior to July 1, 2014, that is located in a brownfield site or blighted area, the tax credit can still be claimed by the eligible business, but the tax credit cannot be transferred by the eligible business if the economic development authority was not notified prior to July 1, 2014.</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housing development located in a brownfield site was completed in December 2013 and was issued a tax credit certificate totaling $250,000. The $3 million calendar cap for transferred tax credits for brownfield sites and blighted areas has already been reached for the 2013 and 2014 tax years. The $250,000 tax credit is going to be transferred to ABC Company, and the economic development authority was notified of the transfer prior to July 1, 2014. Once a replacement tax credit certificate has been issued, ABC Company cannot file an amended Iowa corporation income tax return for the 2013 tax year until January 1, 2016, to claim the $250,000 tax credit.</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housing development located in a blighted area was completed in May 2014 and was issued a tax credit certificate totaling $150,000. The $3 million calendar cap for transferred tax credits for brownfield sites and blighted areas has already been reached for the 2014 tax year. The $150,000 tax credit is going to be transferred to XYZ Company, and the economic development authority was notified of the transfer prior to July 1, 2014. Once a replacement tax credit certificate has been issued, XYZ Company cannot file an amended Iowa corporation income tax return for the 2014 tax year until January 1, 2016, to claim the $150,000 tax credit.</w:t>
      </w:r>
    </w:p>
    <w:p>
      <w:pPr>
        <w:spacing w:before="0" w:after="0"/>
        <w:ind w:left="120"/>
        <w:jc w:val="both"/>
      </w:pPr>
      <w:r>
        <w:rPr>
          <w:rFonts w:ascii="Times New Roman" w:hAnsi="Times New Roman"/>
          <w:b w:val="false"/>
          <w:i w:val="false"/>
          <w:color w:val="000000"/>
          <w:sz w:val="22"/>
        </w:rPr>
        <w:t>Within 90 days of transfer of the tax credit certificate for transfers prior to July 1, 2006, the transferee must submit the transferred tax credit certificate to the economic development authority, along with a statement which contains the transferee’s name, address and tax identification number and the amount of the tax credit being transferred. For transfers on or after July 1, 2006, the transferee must submit the transferred tax credit certificate to the department of revenue. Within 30 days of receiving the transferred tax credit certificate and the statement from the transferee for transfers prior to July 1, 2006, the economic development authority will issue a replacement tax credit certificate to the transferee. For transfers on or after July 1, 2006, the department of revenue will issue the replacement tax credit certificate to the transferee. If the transferee is a partnership, limited liability company or S corporation, the transferee shall provide a list of the partners, members or shareholders and information on how the housing business tax credit should be divided among the partners, members or shareholders. The transferee shall also provide the tax identification numbers and addresses of the partners, members or shareholders. The replacement tax credit certificate must contain the same information that was on the original certificate and must have the same expiration date as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period for which the original transferor could have claimed the tax credit. 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xml:space="preserve">This rule is intended to implement 2014 Iowa Code section </w:t>
      </w:r>
      <w:hyperlink r:id="rId146">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701—501.16</w:t>
      </w:r>
      <w:r>
        <w:rPr>
          <w:rFonts w:ascii="Times New Roman" w:hAnsi="Times New Roman"/>
          <w:b/>
          <w:i w:val="false"/>
          <w:color w:val="000000"/>
          <w:sz w:val="22"/>
        </w:rPr>
        <w:t xml:space="preserve">(422) </w:t>
      </w:r>
      <w:r>
        <w:rPr>
          <w:rFonts w:ascii="Times New Roman" w:hAnsi="Times New Roman"/>
          <w:b/>
          <w:i w:val="false"/>
          <w:color w:val="000000"/>
          <w:sz w:val="22"/>
        </w:rPr>
        <w:t xml:space="preserve">Franchise tax credit. </w:t>
      </w:r>
      <w:r>
        <w:rPr>
          <w:rFonts w:ascii="Times New Roman" w:hAnsi="Times New Roman"/>
          <w:b w:val="false"/>
          <w:i w:val="false"/>
          <w:color w:val="000000"/>
          <w:sz w:val="22"/>
        </w:rPr>
        <w:t xml:space="preserve">A shareholder in a financial institution as defined in </w:t>
      </w:r>
      <w:r>
        <w:rPr>
          <w:rFonts w:ascii="Times New Roman" w:hAnsi="Times New Roman"/>
          <w:b w:val="false"/>
          <w:i w:val="false"/>
          <w:color w:val="000000"/>
          <w:sz w:val="22"/>
        </w:rPr>
        <w:t>Section 581 of the Internal Revenue Code</w:t>
      </w:r>
      <w:r>
        <w:rPr>
          <w:rFonts w:ascii="Times New Roman" w:hAnsi="Times New Roman"/>
          <w:b w:val="false"/>
          <w:i w:val="false"/>
          <w:color w:val="000000"/>
          <w:sz w:val="22"/>
        </w:rPr>
        <w:t>  that has elected to have its income taxed directly to the shareholders may take a tax credit equal to the shareholder’s pro rata share of the Iowa franchise tax paid by the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501.16(1)</w:t>
      </w:r>
      <w:r>
        <w:rPr>
          <w:rFonts w:ascii="Times New Roman" w:hAnsi="Times New Roman"/>
          <w:b w:val="false"/>
          <w:i w:val="false"/>
          <w:color w:val="000000"/>
          <w:sz w:val="22"/>
        </w:rPr>
        <w:t> </w:t>
      </w:r>
      <w:r>
        <w:rPr>
          <w:rFonts w:ascii="Times New Roman" w:hAnsi="Times New Roman"/>
          <w:b w:val="false"/>
          <w:i/>
          <w:color w:val="000000"/>
          <w:sz w:val="22"/>
        </w:rPr>
        <w:t xml:space="preserve"> Credit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credit must be calculated by recomputing the amount of tax calculated under Iowa Code section </w:t>
      </w:r>
      <w:hyperlink r:id="rId147">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by reducing the shareholder’s taxable income by the shareholder’s pro rata share of the items of income and expenses of the financial institution and deducting from the recomputed tax the credits allowed by Iowa Code section </w:t>
      </w:r>
      <w:hyperlink r:id="rId148">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The recalculated tax must be subtracted from the amount of tax calculated under Iowa Code section </w:t>
      </w:r>
      <w:hyperlink r:id="rId149">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reduced by the credits allowed in Iowa Code section </w:t>
      </w:r>
      <w:hyperlink r:id="rId150">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resulting amount, not to exceed the shareholder’s pro rata share of the franchise tax paid by the financial institution, is the amount of tax credit allowed the shareholder.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501.16(2)</w:t>
      </w:r>
      <w:r>
        <w:rPr>
          <w:rFonts w:ascii="Times New Roman" w:hAnsi="Times New Roman"/>
          <w:b w:val="false"/>
          <w:i w:val="false"/>
          <w:color w:val="000000"/>
          <w:sz w:val="22"/>
        </w:rPr>
        <w:t> </w:t>
      </w:r>
      <w:r>
        <w:rPr>
          <w:rFonts w:ascii="Times New Roman" w:hAnsi="Times New Roman"/>
          <w:b w:val="false"/>
          <w:i/>
          <w:color w:val="000000"/>
          <w:sz w:val="22"/>
        </w:rPr>
        <w:t xml:space="preserve">Credit calculation for combined return filers.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financial institution has elected to file a combined return with one or more investment subsidiaries pursuant to rule </w:t>
      </w:r>
      <w:hyperlink r:id="rId151">
        <w:r>
          <w:rPr>
            <w:rStyle w:val="Hyperlink"/>
            <w:rFonts w:ascii="Times New Roman" w:hAnsi="Times New Roman"/>
            <w:b w:val="false"/>
            <w:i w:val="false"/>
            <w:color w:val="000000"/>
            <w:sz w:val="22"/>
          </w:rPr>
          <w:t>701—602.33</w:t>
        </w:r>
      </w:hyperlink>
      <w:r>
        <w:rPr>
          <w:rFonts w:ascii="Times New Roman" w:hAnsi="Times New Roman"/>
          <w:b w:val="false"/>
          <w:i w:val="false"/>
          <w:color w:val="000000"/>
          <w:sz w:val="22"/>
        </w:rPr>
        <w:t xml:space="preserve">(422), the franchise tax paid by the financial institution for purposes of calculating this credit is a portion of the tax paid by the combined group equal to the portion of the combined group’s total taxable income attributable to the financial institution. The portion attributable to the financial institution is determined using the formula provided in </w:t>
      </w:r>
      <w:hyperlink r:id="rId152">
        <w:r>
          <w:rPr>
            <w:rStyle w:val="Hyperlink"/>
            <w:rFonts w:ascii="Times New Roman" w:hAnsi="Times New Roman"/>
            <w:b w:val="false"/>
            <w:i w:val="false"/>
            <w:color w:val="000000"/>
            <w:sz w:val="22"/>
          </w:rPr>
          <w:t>701—subrule 304.16(3)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credit is not available to shareholders or members of investment subsidiaries included on a combined return under rule </w:t>
      </w:r>
      <w:hyperlink r:id="rId153">
        <w:r>
          <w:rPr>
            <w:rStyle w:val="Hyperlink"/>
            <w:rFonts w:ascii="Times New Roman" w:hAnsi="Times New Roman"/>
            <w:b w:val="false"/>
            <w:i w:val="false"/>
            <w:color w:val="000000"/>
            <w:sz w:val="22"/>
          </w:rPr>
          <w:t>701—602.33</w:t>
        </w:r>
      </w:hyperlink>
      <w:r>
        <w:rPr>
          <w:rFonts w:ascii="Times New Roman" w:hAnsi="Times New Roman"/>
          <w:b w:val="false"/>
          <w:i w:val="false"/>
          <w:color w:val="000000"/>
          <w:sz w:val="22"/>
        </w:rPr>
        <w:t>(422) for that portion of the tax shown due on the return attributable to the investment subsidiary.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4">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0028D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701—501.17</w:t>
      </w:r>
      <w:r>
        <w:rPr>
          <w:rFonts w:ascii="Times New Roman" w:hAnsi="Times New Roman"/>
          <w:b/>
          <w:i w:val="false"/>
          <w:color w:val="000000"/>
          <w:sz w:val="22"/>
        </w:rPr>
        <w:t xml:space="preserve">(422) </w:t>
      </w:r>
      <w:r>
        <w:rPr>
          <w:rFonts w:ascii="Times New Roman" w:hAnsi="Times New Roman"/>
          <w:b/>
          <w:i w:val="false"/>
          <w:color w:val="000000"/>
          <w:sz w:val="22"/>
        </w:rPr>
        <w:t xml:space="preserve">Assistive device tax credit. </w:t>
      </w:r>
      <w:r>
        <w:rPr>
          <w:rFonts w:ascii="Times New Roman" w:hAnsi="Times New Roman"/>
          <w:b w:val="false"/>
          <w:i w:val="false"/>
          <w:color w:val="000000"/>
          <w:sz w:val="22"/>
        </w:rPr>
        <w:t>Effective for tax years beginning on or after January 1, 2000, a taxpayer who is a small business that purchases, rents, or modifies an assistive device or makes workplace modifications for an individual with a disability who is employed or will be employed by the taxpayer may qualify for an assistive device tax credit, subject to the availability of the credit. The assistive device credit is equal to 50 percent of the first $5,000 paid during the tax year by the small business for the purchase, rental, or modification of an assistive device or for making workplace modifications. Any credit in excess of the tax liability may be refunded or applied to the taxpayer’s tax liability for the following tax year. If the taxpayer elects to take the assistive device tax credit, the taxpayer is not to deduct for Iowa income tax purposes any amount of the cost of the assistive device or workplace modification that is deductible for federal income tax purposes. A small business will not be eligible for the assistive device credit if the device is provided for an owner of the small business unless the owner is a bona fide employee of the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501.17(1)</w:t>
      </w:r>
      <w:r>
        <w:rPr>
          <w:rFonts w:ascii="Times New Roman" w:hAnsi="Times New Roman"/>
          <w:b w:val="false"/>
          <w:i w:val="false"/>
          <w:color w:val="000000"/>
          <w:sz w:val="22"/>
        </w:rPr>
        <w:t> </w:t>
      </w:r>
      <w:r>
        <w:rPr>
          <w:rFonts w:ascii="Times New Roman" w:hAnsi="Times New Roman"/>
          <w:b w:val="false"/>
          <w:i/>
          <w:color w:val="000000"/>
          <w:sz w:val="22"/>
        </w:rPr>
        <w:t xml:space="preserve">Submitting applications for the credit. </w:t>
      </w:r>
      <w:r>
        <w:rPr>
          <w:rFonts w:ascii="Times New Roman" w:hAnsi="Times New Roman"/>
          <w:b w:val="false"/>
          <w:i w:val="false"/>
          <w:color w:val="000000"/>
          <w:sz w:val="22"/>
        </w:rPr>
        <w:t>A small business wanting to receive the assistive device tax credit must submit an application for the credit to the Iowa department of economic development and provide other information and documents requested by the Iowa department of economic development. If the taxpayer meets the criteria for qualification for the credit, the Iowa department of economic development will issue the taxpayer a certificate of entitlement for the credit. However, the aggregate amount of assistive device tax credits that may be granted by the Iowa department of economic development to all small businesses during a fiscal year cannot exceed $500,000. The certificate for entitlement of the assistive device credit is to include the taxpayer’s name, the taxpayer’s address, the taxpayer’s tax identification number, the estimated amount of the tax credit, the date on which the taxpayer’s application was approved and the date when it is anticipated that the assistive device project will be completed and a space on the application where the taxpayer is to enter the date that the assistive device project was completed. The certificate for entitlement will not be considered to be valid for purposes of claiming the assistive device credit on the taxpayer’s Iowa income tax return until the taxpayer has completed the assistive device project and has entered the completion date on the certificate of entitlement form. The tax year of the small business in which the assistive device project is completed is the tax year for which the assistive device credit may be claimed. For example, in a case where taxpayer A received a certificate of entitlement for an assistive device credit on September 15, 2000, and completed the assistive device workplace modification project on January 15, 2001, taxpayer A could claim the assistive device credit on taxpayer A’s 2001 Iowa return assuming that taxpayer A is filing returns on a calendar-year basis.</w:t>
      </w:r>
    </w:p>
    <w:p>
      <w:pPr>
        <w:spacing w:before="0" w:after="0"/>
        <w:ind w:left="120"/>
        <w:jc w:val="both"/>
      </w:pPr>
      <w:r>
        <w:rPr>
          <w:rFonts w:ascii="Times New Roman" w:hAnsi="Times New Roman"/>
          <w:b w:val="false"/>
          <w:i w:val="false"/>
          <w:color w:val="000000"/>
          <w:sz w:val="22"/>
        </w:rPr>
        <w:t>The department of revenue will not allow the assistive device credit on a taxpayer’s return if the certificate of entitlement or a legible copy of the certificate is not included with the taxpayer’s income tax return. If the taxpayer has been granted a certificate of entitlement and the taxpayer is an S corporation, where the income of the taxpayer is taxed to the individual owner(s) of the business entity, the taxpayer must provide a copy of the certificate to each of the shareholders with a statement showing how the credit is to be allocated among the individual owners of the S corporation. An individual owner is to include a copy of the certificate of entitlement and the statement of allocation of the assistive device credit with the individual’s state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501.17(2)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device” </w:t>
      </w:r>
      <w:r>
        <w:rPr>
          <w:rFonts w:ascii="Times New Roman" w:hAnsi="Times New Roman"/>
          <w:b w:val="false"/>
          <w:i w:val="false"/>
          <w:color w:val="000000"/>
          <w:sz w:val="22"/>
        </w:rPr>
        <w:t>means any item, piece of equipment, or product system which is used to increase, maintain, or improve the functional capabilities of an individual with a disability in the workplace or on the job. “Assistive device” does not mean any medical device, surgical device, or organ implanted or transplanted into or attached directly to an individual. “Assistive device” does not include any device for which a certificate of title is issued by the state department of transportation, but does include any item, piece of equipment, or product system otherwise meeting the definition of “assistive device” that is incorporated, attached, or included as a modification in or to such a device issued a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entity” </w:t>
      </w:r>
      <w:r>
        <w:rPr>
          <w:rFonts w:ascii="Times New Roman" w:hAnsi="Times New Roman"/>
          <w:b w:val="false"/>
          <w:i w:val="false"/>
          <w:color w:val="000000"/>
          <w:sz w:val="22"/>
        </w:rPr>
        <w:t>means partnership, limited liability company, S corporation, estate or trust, where the income of the business is taxed to the individual owners of the business, whether the individual owner is a partner, member, shareholder, or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“Disability” </w:t>
      </w:r>
      <w:r>
        <w:rPr>
          <w:rFonts w:ascii="Times New Roman" w:hAnsi="Times New Roman"/>
          <w:b w:val="false"/>
          <w:i w:val="false"/>
          <w:color w:val="000000"/>
          <w:sz w:val="22"/>
        </w:rPr>
        <w:t xml:space="preserve">means the same as defined in Iowa Code section </w:t>
      </w:r>
      <w:hyperlink r:id="rId155">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 Therefore, “disability” means, with respect to an individual, a physical or mental impairment that substantially limits one or more of the major life activities of the individual, a record of physical or mental impairment that substantially limits one or more of the major life activities of the individual, or being regarded as an individual with a physical or mental impairment that substantially limits one or more of the major life activities of the individual. “Disability” does not include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Homosexuality or bisexuality;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Transvestism, transsexualism, pedophilia, exhibitionism, voyeurism, gender identity disorders, or other sexual behavior disorders;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Compulsive gambling, kleptomania, or pyromania;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Psychoactive substance abuse disorders resulting from current illegal use of drugs;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Alcoholism.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an individual who is employed by the small business who meets the criteria in Treasury Regulation § 31.3401(c)-1(b), which is the definition of an employee for federal income tax withholding purposes. An individual who receives self-employment income from the small business is not to be considered to be an employee of the small business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business” </w:t>
      </w:r>
      <w:r>
        <w:rPr>
          <w:rFonts w:ascii="Times New Roman" w:hAnsi="Times New Roman"/>
          <w:b w:val="false"/>
          <w:i w:val="false"/>
          <w:color w:val="000000"/>
          <w:sz w:val="22"/>
        </w:rPr>
        <w:t>means that the business either had gross receipts in the tax year before the current tax year of $3 million or less or employed not more than 14 full-time employees during the tax year prior to the current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“Workplace modifications” </w:t>
      </w:r>
      <w:r>
        <w:rPr>
          <w:rFonts w:ascii="Times New Roman" w:hAnsi="Times New Roman"/>
          <w:b w:val="false"/>
          <w:i w:val="false"/>
          <w:color w:val="000000"/>
          <w:sz w:val="22"/>
        </w:rPr>
        <w:t>means physical alterations to the office, factory, or other work environment where the disabled employee is working or is to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501.17(3)</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w:t>
      </w:r>
      <w:r>
        <w:rPr>
          <w:rFonts w:ascii="Times New Roman" w:hAnsi="Times New Roman"/>
          <w:b w:val="false"/>
          <w:i w:val="false"/>
          <w:color w:val="000000"/>
          <w:sz w:val="22"/>
        </w:rPr>
        <w:t>If the taxpayer that was entitled to an assistive device credit is a business entity, the business entity is to allocate the allowable credit to each of the individual owners of the entity on the basis of each owner’s pro rata share of the earnings of the entity to the total earnings of the entity. Therefore, if an S corporation has an assistive device credit for a tax year of $2,500 and one shareholder of the S corporation receives 25 percent of the earnings of the corporation, that shareholder would receive an assistive device credit for the tax year of $625 or 25 percent of the total assistive device credit of the S corporation.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6">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701—501.18</w:t>
      </w:r>
      <w:r>
        <w:rPr>
          <w:rFonts w:ascii="Times New Roman" w:hAnsi="Times New Roman"/>
          <w:b/>
          <w:i w:val="false"/>
          <w:color w:val="000000"/>
          <w:sz w:val="22"/>
        </w:rPr>
        <w:t xml:space="preserve">(404A,422) </w:t>
      </w:r>
      <w:r>
        <w:rPr>
          <w:rFonts w:ascii="Times New Roman" w:hAnsi="Times New Roman"/>
          <w:b/>
          <w:i w:val="false"/>
          <w:color w:val="000000"/>
          <w:sz w:val="22"/>
        </w:rPr>
        <w:t xml:space="preserve">Historic preservation and cultural and entertainment district tax credit for projects with Part 2 applications approved and tax credits reserved prior to July 1, 2014. </w:t>
      </w:r>
      <w:r>
        <w:rPr>
          <w:rFonts w:ascii="Times New Roman" w:hAnsi="Times New Roman"/>
          <w:b w:val="false"/>
          <w:i w:val="false"/>
          <w:color w:val="000000"/>
          <w:sz w:val="22"/>
        </w:rPr>
        <w:t>A historic preservation and cultural and entertainment district tax credit, subject to the availability of the credit, may be claimed against a taxpayer’s Iowa corporate income tax liability for 25 percent of the qualified costs of rehabilitation of property to the extent the costs were incurred on or after July 1, 2000, for the approved rehabilitation projects of eligible property in Iowa.</w:t>
      </w:r>
    </w:p>
    <w:p>
      <w:pPr>
        <w:spacing w:before="0" w:after="0"/>
        <w:ind w:left="120"/>
        <w:jc w:val="both"/>
      </w:pPr>
      <w:r>
        <w:rPr>
          <w:rFonts w:ascii="Times New Roman" w:hAnsi="Times New Roman"/>
          <w:b w:val="false"/>
          <w:i w:val="false"/>
          <w:color w:val="000000"/>
          <w:sz w:val="22"/>
        </w:rPr>
        <w:t xml:space="preserve">The general assembly has mandated that the department of cultural affairs and the department of revenue adopt rules to jointly administer Iowa Code chapter </w:t>
      </w:r>
      <w:hyperlink r:id="rId157">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 xml:space="preserve">, amended the historic preservation and cultural and entertainment district tax credit program effective July 1, 2014. The department of revenue’s provisions for projects with tax credits reserved prior to July 1, 2014, are found in this rule. The department of revenue’s provisions for projects with agreements entered into on or after July 1, 2014, are found in rule </w:t>
      </w:r>
      <w:hyperlink r:id="rId158">
        <w:r>
          <w:rPr>
            <w:rStyle w:val="Hyperlink"/>
            <w:rFonts w:ascii="Times New Roman" w:hAnsi="Times New Roman"/>
            <w:b w:val="false"/>
            <w:i w:val="false"/>
            <w:color w:val="000000"/>
            <w:sz w:val="22"/>
          </w:rPr>
          <w:t>701—501.47</w:t>
        </w:r>
      </w:hyperlink>
      <w:r>
        <w:rPr>
          <w:rFonts w:ascii="Times New Roman" w:hAnsi="Times New Roman"/>
          <w:b w:val="false"/>
          <w:i w:val="false"/>
          <w:color w:val="000000"/>
          <w:sz w:val="22"/>
        </w:rPr>
        <w:t xml:space="preserve">(404A,422). The department of cultural affairs’ rules related to this program may be found at </w:t>
      </w:r>
      <w:hyperlink r:id="rId159">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 of </w:t>
      </w:r>
      <w:hyperlink r:id="rId160">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applies to projects with reservations approved prior to July 1, 2014. Division II of </w:t>
      </w:r>
      <w:hyperlink r:id="rId161">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applies to projects with agreements entered into on or after July 1, 2014.</w:t>
      </w:r>
    </w:p>
    <w:p>
      <w:pPr>
        <w:spacing w:before="0" w:after="0"/>
        <w:ind w:left="120"/>
        <w:jc w:val="both"/>
      </w:pPr>
      <w:r>
        <w:rPr>
          <w:rFonts w:ascii="Times New Roman" w:hAnsi="Times New Roman"/>
          <w:b w:val="false"/>
          <w:i w:val="false"/>
          <w:color w:val="000000"/>
          <w:sz w:val="22"/>
        </w:rPr>
        <w:t xml:space="preserve">Notwithstanding anything contained herein to the contrary, the department of cultural affairs shall not reserve tax credits under 2013 Iowa Code chapter </w:t>
      </w:r>
      <w:hyperlink r:id="rId162">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 section 1</w:t>
      </w:r>
      <w:r>
        <w:rPr>
          <w:rFonts w:ascii="Times New Roman" w:hAnsi="Times New Roman"/>
          <w:b w:val="false"/>
          <w:i w:val="false"/>
          <w:color w:val="000000"/>
          <w:sz w:val="22"/>
        </w:rPr>
        <w:t xml:space="preserve">, for applicants that do not have an approved Part 2 application and a tax credit reservation on or before June 30, 2014. Projects with approved Part 2 applications and provisional tax credit reservations on or before June 30, 2014, shall be governed by 2013 Iowa Code chapter </w:t>
      </w:r>
      <w:hyperlink r:id="rId163">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 section 1</w:t>
      </w:r>
      <w:r>
        <w:rPr>
          <w:rFonts w:ascii="Times New Roman" w:hAnsi="Times New Roman"/>
          <w:b w:val="false"/>
          <w:i w:val="false"/>
          <w:color w:val="000000"/>
          <w:sz w:val="22"/>
        </w:rPr>
        <w:t xml:space="preserve">; by </w:t>
      </w:r>
      <w:hyperlink r:id="rId164">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 and by rule </w:t>
      </w:r>
      <w:hyperlink r:id="rId165">
        <w:r>
          <w:rPr>
            <w:rStyle w:val="Hyperlink"/>
            <w:rFonts w:ascii="Times New Roman" w:hAnsi="Times New Roman"/>
            <w:b w:val="false"/>
            <w:i w:val="false"/>
            <w:color w:val="000000"/>
            <w:sz w:val="22"/>
          </w:rPr>
          <w:t>701—501.18</w:t>
        </w:r>
      </w:hyperlink>
      <w:r>
        <w:rPr>
          <w:rFonts w:ascii="Times New Roman" w:hAnsi="Times New Roman"/>
          <w:b w:val="false"/>
          <w:i w:val="false"/>
          <w:color w:val="000000"/>
          <w:sz w:val="22"/>
        </w:rPr>
        <w:t xml:space="preserve">(404A,422). Projects for which Part 2 applications were approved and agreements entered into after June 30, 2014, shall be governed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 xml:space="preserve">; by </w:t>
      </w:r>
      <w:hyperlink r:id="rId166">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II; and by rule </w:t>
      </w:r>
      <w:hyperlink r:id="rId167">
        <w:r>
          <w:rPr>
            <w:rStyle w:val="Hyperlink"/>
            <w:rFonts w:ascii="Times New Roman" w:hAnsi="Times New Roman"/>
            <w:b w:val="false"/>
            <w:i w:val="false"/>
            <w:color w:val="000000"/>
            <w:sz w:val="22"/>
          </w:rPr>
          <w:t>701—501.47</w:t>
        </w:r>
      </w:hyperlink>
      <w:r>
        <w:rPr>
          <w:rFonts w:ascii="Times New Roman" w:hAnsi="Times New Roman"/>
          <w:b w:val="false"/>
          <w:i w:val="false"/>
          <w:color w:val="000000"/>
          <w:sz w:val="22"/>
        </w:rPr>
        <w:t>(404A,422).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501.18(1)</w:t>
      </w:r>
      <w:r>
        <w:rPr>
          <w:rFonts w:ascii="Times New Roman" w:hAnsi="Times New Roman"/>
          <w:b w:val="false"/>
          <w:i w:val="false"/>
          <w:color w:val="000000"/>
          <w:sz w:val="22"/>
        </w:rPr>
        <w:t> </w:t>
      </w:r>
      <w:r>
        <w:rPr>
          <w:rFonts w:ascii="Times New Roman" w:hAnsi="Times New Roman"/>
          <w:b w:val="false"/>
          <w:i/>
          <w:color w:val="000000"/>
          <w:sz w:val="22"/>
        </w:rPr>
        <w:t xml:space="preserve">Eligible property for the historic preservation and cultural and entertainment district tax credit. </w:t>
      </w:r>
      <w:r>
        <w:rPr>
          <w:rFonts w:ascii="Times New Roman" w:hAnsi="Times New Roman"/>
          <w:b w:val="false"/>
          <w:i w:val="false"/>
          <w:color w:val="000000"/>
          <w:sz w:val="22"/>
        </w:rPr>
        <w:t>The following types of property are eligible for the historic preservation and cultural and entertainment district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Property verified as listed on the National Register of Historic Places or eligible for such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Property designated as of historic significance to a district listed in the National Register of Historic Places or eligible for such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Property or district designated a local landmark by a city or county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barn constructed prior to 1937.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501.18(2)</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review process for the historic preservation and cultural and entertainment district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Taxpayers who want to claim an income tax credit for completing a historic preservation and cultural and entertainment district project must submit an application for approval of the project. The application forms for the historic preservation and cultural and entertainment district tax credit may be requested from the State Tax Credit Program Manager, State Historic Preservation Office, Department of Cultural Affairs, 600 E. Locust, Des Moines, Iowa 50319-0290. The telephone number for this office is (515)281-4137. Applications for the credit will be accepted by the state historic preservation office on or after July 1, 2000, until such time as all the available credits allocated for each fiscal year are encumbered.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for the historic preservation and cultural and entertainment district tax credit must include all information and documentation requested on the application forms for the credit in order for the applications to be processed.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501.18(3)</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the historic preservation and cultural and entertainment district tax credit. </w:t>
      </w:r>
      <w:r>
        <w:rPr>
          <w:rFonts w:ascii="Times New Roman" w:hAnsi="Times New Roman"/>
          <w:b w:val="false"/>
          <w:i w:val="false"/>
          <w:color w:val="000000"/>
          <w:sz w:val="22"/>
        </w:rPr>
        <w:t>The amount of the historic preservation and cultural and entertainment district tax credit is 25 percent of the qualified rehabilitation costs made to eligible property in a project. Qualified rehabilitation costs are those rehabilitation costs approved by the state historic preservation office for a project for a particular taxpayer to the extent those rehabilitation costs are actually expended by that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commercial property, qualified rehabilitation costs must equal at least $50,000 or 50 percent of the assessed value of the property, excluding the value of the land, prior to rehabilitation, whichever is less. In the case of property other than commercial property, the qualified rehabilitation costs must equal at least $25,000 or 25 percent of the assessed value, excluding the value of the land, prior to the rehabilitation, whichever amount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computing the tax credit, the only costs which may be included are the qualified rehabilitation costs incurred commencing from the date on which the first qualified rehabilitation cost is incurred and ending with the end of the taxable year in which the property is placed in service. The rehabilitation period may include dates that precede approval of a project, provided that any qualified rehabilitation costs incurred prior to the date of approval of the project must be qualified rehabilitation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the historic preservation and cultural and entertainment district tax credit, qualified rehabilitation costs include those costs properly included in the basis of the eligible property for income tax purposes. Costs treated as expenses and deducted in the year paid or incurred and amounts that are otherwise not added to the basis of the property for income tax purposes are not qualified rehabilitation costs. Amounts incurred for architectural and engineering fees, site survey fees, legal expenses, insurance premiums, development fees, and other construction-related costs are qualified rehabilitation costs to the extent they are added to the basis of the eligible property for tax purposes. Costs of sidewalks, parking lots, and landscaping do not constitute qualified rehabilitation costs. Any rehabilitation costs used in the computation of the historic preservation and cultural and entertainment district tax credit are not added to the basis of the property for Iowa income tax purposes if the rehabilitation costs were incurred in a tax year beginning on or after January 1, 2000, but prior to January 1, 2001. Any rehabilitation costs incurred in a tax year beginning on or after January 1, 2001, are added to the basis of the rehabilitated property for income tax purposes except those rehabilitation costs that are equal to the amount of the computed historic preservation and cultural and entertainment district tax credit for the tax year.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basis of a commercial building in a historic district was $500,000, excluding the value of the land, before the rehabilitation project. During a project to rehabilitate this building, $600,000 in rehabilitation costs were expended to complete the project and $500,000 of those rehabilitation costs were qualified rehabilitation costs which were eligible for the historic preservation and cultural and entertainment district tax credit of $125,000. Therefore, the basis of the building for Iowa income tax purposes was $975,000, since the qualified rehabilitation costs of $125,000, which are equal to the amount of the historic preservation and cultural and entertainment district tax credit for the tax year, are not added to the basis of the rehabilitated property. The basis of the building for federal income tax purposes was $1,100,000. It should be noted that this example does not consider any possible reduced basis for the building for federal income tax purposes due to the rehabilitation investment credit provided in Section 47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501.18(4)</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historic preservation and cultural and entertainment district project and claiming the historic preservation and cultural and entertainment district tax credit on the Iowa return. </w:t>
      </w:r>
      <w:r>
        <w:rPr>
          <w:rFonts w:ascii="Times New Roman" w:hAnsi="Times New Roman"/>
          <w:b w:val="false"/>
          <w:i w:val="false"/>
          <w:color w:val="000000"/>
          <w:sz w:val="22"/>
        </w:rPr>
        <w:t xml:space="preserve">After the taxpayer completes an authorized rehabilitation project, the taxpayer must get a certificate of completion of the project from the state historic preservation office of the department of cultural affairs. After verifying the taxpayer’s eligibility for the historic preservation and cultural and entertainment district tax credit, the state historic preservation office shall issue a historic preservation and cultural and entertainment district tax credit certificate, which shall be included with the taxpayer’s income tax return for the tax year in which the rehabilitation project is completed or the year the credit was reserved, whichever is later. For example, if a project was completed in 2008 and the credit was reserved for the state fiscal year ending June 30, 2010, the credit can be claimed on the 2009 calendar year return that is due on April 30, 2010. The tax credit certificate is to include the taxpayer’s name, the taxpayer’s address, the taxpayer’s tax identification number, the address or location of the rehabilitation project, the date the project was completed, the year the tax credit was reserved, and the amount of the historic preservation and cultural and entertainment district tax credit. In addition, the tax credit certificate shall include a place for the name and tax identification number of a transferee and the amount of the tax credit being transferred, and any consideration received in exchange for the tax credit, as provided in subrule </w:t>
      </w:r>
      <w:hyperlink r:id="rId168">
        <w:r>
          <w:rPr>
            <w:rStyle w:val="Hyperlink"/>
            <w:rFonts w:ascii="Times New Roman" w:hAnsi="Times New Roman"/>
            <w:b w:val="false"/>
            <w:i w:val="false"/>
            <w:color w:val="000000"/>
            <w:sz w:val="22"/>
          </w:rPr>
          <w:t>501.18(6)</w:t>
        </w:r>
      </w:hyperlink>
      <w:r>
        <w:rPr>
          <w:rFonts w:ascii="Times New Roman" w:hAnsi="Times New Roman"/>
          <w:b w:val="false"/>
          <w:i w:val="false"/>
          <w:color w:val="000000"/>
          <w:sz w:val="22"/>
        </w:rPr>
        <w:t>. In addition, if the taxpayer is a partnership, limited liability company, estate or trust, where the tax credit is allocated to the owners or beneficiaries of the entity, a list of the owners or beneficiaries and the amount of credit allocated to each owner or beneficiary should be provided with the certificate. The tax credit certificate should be included with the income tax return for the period in which the project was completed.</w:t>
      </w:r>
    </w:p>
    <w:p>
      <w:pPr>
        <w:spacing w:before="0" w:after="0"/>
        <w:ind w:left="120"/>
        <w:jc w:val="both"/>
      </w:pPr>
      <w:r>
        <w:rPr>
          <w:rFonts w:ascii="Times New Roman" w:hAnsi="Times New Roman"/>
          <w:b w:val="false"/>
          <w:i w:val="false"/>
          <w:color w:val="000000"/>
          <w:sz w:val="22"/>
        </w:rPr>
        <w:t>For tax years ending on or after July 1, 2007, any historic preservation and cultural and entertainment district tax credit in excess of the taxpayer’s tax liability is fully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501.18(5)</w:t>
      </w:r>
      <w:r>
        <w:rPr>
          <w:rFonts w:ascii="Times New Roman" w:hAnsi="Times New Roman"/>
          <w:b w:val="false"/>
          <w:i w:val="false"/>
          <w:color w:val="000000"/>
          <w:sz w:val="22"/>
        </w:rPr>
        <w:t> </w:t>
      </w:r>
      <w:r>
        <w:rPr>
          <w:rFonts w:ascii="Times New Roman" w:hAnsi="Times New Roman"/>
          <w:b w:val="false"/>
          <w:i/>
          <w:color w:val="000000"/>
          <w:sz w:val="22"/>
        </w:rPr>
        <w:t xml:space="preserve">Allocation of historic preservation and cultural and entertainment district tax credits to individual owners of the entity for tax credits reserved for fiscal years beginning on or after July 1, 2012. </w:t>
      </w:r>
      <w:r>
        <w:rPr>
          <w:rFonts w:ascii="Times New Roman" w:hAnsi="Times New Roman"/>
          <w:b w:val="false"/>
          <w:i w:val="false"/>
          <w:color w:val="000000"/>
          <w:sz w:val="22"/>
        </w:rPr>
        <w:t>For tax credits reserved for fiscal years beginning on or after July 1, 2012, the partnership, limited liability company or S corporation may designate the amount of the tax credit to be allocated to each partner, member or shareholder. The credit does not have to be allocated based on the pro rata share of earnings of the partnership, limited liability company or S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501.18(6)</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historic preservation and cultural and entertainment district tax credit. </w:t>
      </w:r>
      <w:r>
        <w:rPr>
          <w:rFonts w:ascii="Times New Roman" w:hAnsi="Times New Roman"/>
          <w:b w:val="false"/>
          <w:i w:val="false"/>
          <w:color w:val="000000"/>
          <w:sz w:val="22"/>
        </w:rPr>
        <w:t>For tax periods beginning on or after January 1, 2003, the historic preservation and cultural and entertainment district tax credit certificates may be transferred to any person or entity. A tax credit certificate of less than $1,000 shall not be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transfers on or after July 1, 2006, the department of revenue will issue the replacement tax credit certificate to the transferee. Within 90 days of the transfer of the tax credit certificate, the transferee must submit the transferred tax credit certificate to the department of revenue along with a statement containing the transferee’s name, tax identification number and address, the denomination that each replacement tax credit certificate is to carry,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tax credit transferee shall describe the nature of nonmonetary consideration and disclose any value the transferor and transferee assigned to the nonmonetary consideration. The tax credit transferee must indicate on its statement to the department of revenue if no consideration was provided in exchange for the tax credit. If the transferee is a partnership, limited liability company or S corporation, the transferee shall provide a list of the partners, members or shareholders and information on how the historic preservation and cultural and entertainment district tax credit should be divided among the partners, members or shareholders. The transferee shall also provide the tax identification numbers and addresses of the partners, members or shareholders. The replacement tax credit certificate must contain the same information that was on the original certificate and must have the same expiration date as the original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transferee may use the amount of the tax credit for any tax period for which the original transferor could have claimed the tax credit. 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historic preservation and cultural and entertainment district tax credit of the transferee exceeds the tax liability shown on the transferee’s return, the tax credit shall be fully refundable.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69">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436</w:t>
      </w:r>
      <w:r>
        <w:rPr>
          <w:rFonts w:ascii="Times New Roman" w:hAnsi="Times New Roman"/>
          <w:b w:val="false"/>
          <w:i w:val="false"/>
          <w:color w:val="000000"/>
          <w:sz w:val="22"/>
        </w:rPr>
        <w:t xml:space="preserve">, and Iowa Code section </w:t>
      </w:r>
      <w:hyperlink r:id="rId170">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1968C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701—501.19</w:t>
      </w:r>
      <w:r>
        <w:rPr>
          <w:rFonts w:ascii="Times New Roman" w:hAnsi="Times New Roman"/>
          <w:b/>
          <w:i w:val="false"/>
          <w:color w:val="000000"/>
          <w:sz w:val="22"/>
        </w:rPr>
        <w:t xml:space="preserve">(422) </w:t>
      </w:r>
      <w:r>
        <w:rPr>
          <w:rFonts w:ascii="Times New Roman" w:hAnsi="Times New Roman"/>
          <w:b/>
          <w:i w:val="false"/>
          <w:color w:val="000000"/>
          <w:sz w:val="22"/>
        </w:rPr>
        <w:t xml:space="preserve">Ethanol blended gasoline tax credit. </w:t>
      </w:r>
      <w:r>
        <w:rPr>
          <w:rFonts w:ascii="Times New Roman" w:hAnsi="Times New Roman"/>
          <w:b w:val="false"/>
          <w:i w:val="false"/>
          <w:color w:val="000000"/>
          <w:sz w:val="22"/>
        </w:rPr>
        <w:t>Effective for tax years beginning on or after January 1, 2002, an ethanol blended gasoline tax credit may be claimed against a taxpayer’s corporation income tax liability for retail dealers of gasoline. The taxpayer must operate at least one retail motor fuel site at which more than 60 percent of the total gallons of gasoline sold and dispensed through one or more motor fuel pumps by the taxpayer in the tax year is ethanol blended gasoline. The tax credit shall be calculated separately for each retail motor fuel site operated by the taxpayer. The amount of the credit for each eligible retail motor fuel site is two and one-half cents multiplied by the total number of gallons of ethanol blended gasoline sold and dispensed through all motor fuel pumps located at that retail motor fuel site during the tax year in excess of 60 percent of all gasoline sold and dispensed through motor fuel pumps at that retail motor fuel site during the tax year.</w:t>
      </w:r>
    </w:p>
    <w:p>
      <w:pPr>
        <w:spacing w:before="0" w:after="0"/>
        <w:ind w:left="120"/>
        <w:jc w:val="both"/>
      </w:pPr>
      <w:r>
        <w:rPr>
          <w:rFonts w:ascii="Times New Roman" w:hAnsi="Times New Roman"/>
          <w:b w:val="false"/>
          <w:i w:val="false"/>
          <w:color w:val="000000"/>
          <w:sz w:val="22"/>
        </w:rPr>
        <w:t xml:space="preserve">For fiscal years ending in 2002, the tax credit is available for each eligible retail motor fuel site based on the total number of gallons of ethanol blended gasoline sold and dispensed through all motor fuel pumps located at the taxpayer’s retail motor fuel site from January 1, 2002, until the end of the taxpayer’s fiscal year. Assuming a tax period that began on July 1, 2001, and ended on June 30, 2002, the taxpayer would be eligible for the tax credit based on the gallons of ethanol blended gasoline sold from January 1, 2002, through June 30, 2002. For taxpayers having a fiscal year ending in 2002, a claim for refund to claim the ethanol blended gasoline tax credit must be filed before October 1, 2003, even though the statute of limitations for refund set forth in </w:t>
      </w:r>
      <w:hyperlink r:id="rId171">
        <w:r>
          <w:rPr>
            <w:rStyle w:val="Hyperlink"/>
            <w:rFonts w:ascii="Times New Roman" w:hAnsi="Times New Roman"/>
            <w:b w:val="false"/>
            <w:i w:val="false"/>
            <w:color w:val="000000"/>
            <w:sz w:val="22"/>
          </w:rPr>
          <w:t>701—subrule 504.3(5)</w:t>
        </w:r>
      </w:hyperlink>
      <w:r>
        <w:rPr>
          <w:rFonts w:ascii="Times New Roman" w:hAnsi="Times New Roman"/>
          <w:b w:val="false"/>
          <w:i w:val="false"/>
          <w:color w:val="000000"/>
          <w:sz w:val="22"/>
        </w:rPr>
        <w:t xml:space="preserve"> has not yet expired.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taxpayer sold 100,000 gallons of gasoline at the taxpayer’s retail motor fuel site during the tax year, 70,000 gallons of which was ethanol blended gasoline. The taxpayer is eligible for the credit since more than 60 percent of the total gallons sold was ethanol blended gasoline. The number of gallons in excess of 60 percent of all gasoline sold is 70,000 less 60,000, or 10,000 gallons. Two and one-half cents multiplied by 10,000 equals a $250 credit available.</w:t>
      </w:r>
    </w:p>
    <w:p>
      <w:pPr>
        <w:spacing w:before="0" w:after="0"/>
        <w:ind w:left="120"/>
        <w:jc w:val="both"/>
      </w:pPr>
      <w:r>
        <w:rPr>
          <w:rFonts w:ascii="Times New Roman" w:hAnsi="Times New Roman"/>
          <w:b w:val="false"/>
          <w:i w:val="false"/>
          <w:color w:val="000000"/>
          <w:sz w:val="22"/>
        </w:rPr>
        <w:t>The credit may be calculated on Form IA 6478. The credit must be calculated separately for each retail motor fuel site operated by the taxpayer. Therefore, if the taxpayer operates more than one retail motor fuel site, it is possible that one retail motor fuel site may be eligible for the credit while another retail motor fuel site may not. The credit can be taken only for those retail motor fuel sites for which more than 60 percent of gasoline sales involve ethanol blended gasoline.</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xml:space="preserve">Starting with the 2006 calendar tax year, a taxpayer may claim the ethanol blended gasoline tax credit even if the taxpayer also claims the E-85 gasoline promotion tax credit provided in rule </w:t>
      </w:r>
      <w:hyperlink r:id="rId172">
        <w:r>
          <w:rPr>
            <w:rStyle w:val="Hyperlink"/>
            <w:rFonts w:ascii="Times New Roman" w:hAnsi="Times New Roman"/>
            <w:b w:val="false"/>
            <w:i w:val="false"/>
            <w:color w:val="000000"/>
            <w:sz w:val="22"/>
          </w:rPr>
          <w:t>701—501.30</w:t>
        </w:r>
      </w:hyperlink>
      <w:r>
        <w:rPr>
          <w:rFonts w:ascii="Times New Roman" w:hAnsi="Times New Roman"/>
          <w:b w:val="false"/>
          <w:i w:val="false"/>
          <w:color w:val="000000"/>
          <w:sz w:val="22"/>
        </w:rPr>
        <w:t>(422) for the same tax year for the same ethanol gallons.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taxpayer sold 200,000 gallons of gasoline at a retail motor fuel site in 2006, of which 160,000 gallons was ethanol blended gasoline. Of these 160,000 gallons, 1,000 gallons was E-85 gasoline. Taxpayer is entitled to claim the ethanol blended gasoline tax credit of two and one-half cents multiplied by 40,000 gallons, since this constitutes the gallons in excess of 60 percent of the total gasoline gallons sold. Taxpayer may also claim the E-85 gasoline promotion tax credit on the 1,000 gallons of E-85 gasoline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“Ethanol blended gasoline” </w:t>
      </w:r>
      <w:r>
        <w:rPr>
          <w:rFonts w:ascii="Times New Roman" w:hAnsi="Times New Roman"/>
          <w:b w:val="false"/>
          <w:i w:val="false"/>
          <w:color w:val="000000"/>
          <w:sz w:val="22"/>
        </w:rPr>
        <w:t xml:space="preserve">means the same as defined in Iowa Code section </w:t>
      </w:r>
      <w:hyperlink r:id="rId173">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House File 2754, section 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“Gasoline” </w:t>
      </w:r>
      <w:r>
        <w:rPr>
          <w:rFonts w:ascii="Times New Roman" w:hAnsi="Times New Roman"/>
          <w:b w:val="false"/>
          <w:i w:val="false"/>
          <w:color w:val="000000"/>
          <w:sz w:val="22"/>
        </w:rPr>
        <w:t xml:space="preserve">means any liquid product prepared, advertised, offered for sale or sold for use as, or commonly and commercially used as, motor fuel for use in a spark-ignition, internal combustion engine, and which meets the specifications provided in Iowa Code section </w:t>
      </w:r>
      <w:hyperlink r:id="rId174">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fuel pump” </w:t>
      </w:r>
      <w:r>
        <w:rPr>
          <w:rFonts w:ascii="Times New Roman" w:hAnsi="Times New Roman"/>
          <w:b w:val="false"/>
          <w:i w:val="false"/>
          <w:color w:val="000000"/>
          <w:sz w:val="22"/>
        </w:rPr>
        <w:t>means a pump, meter, or similar commercial weighing and measuring device used to measure and dispense motor fuel for sale on a retail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dealer” </w:t>
      </w:r>
      <w:r>
        <w:rPr>
          <w:rFonts w:ascii="Times New Roman" w:hAnsi="Times New Roman"/>
          <w:b w:val="false"/>
          <w:i w:val="false"/>
          <w:color w:val="000000"/>
          <w:sz w:val="22"/>
        </w:rPr>
        <w:t>means a person engaged in the business of storing and dispensing motor fuel from a motor fuel pump for sale on a retail basis, regardless of whether the motor fuel pump is located at a retail motor fuel site including a permanent or mobile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motor fuel site” </w:t>
      </w:r>
      <w:r>
        <w:rPr>
          <w:rFonts w:ascii="Times New Roman" w:hAnsi="Times New Roman"/>
          <w:b w:val="false"/>
          <w:i w:val="false"/>
          <w:color w:val="000000"/>
          <w:sz w:val="22"/>
        </w:rPr>
        <w:t>means a geographic location in this state where a retail dealer sells and dispenses motor fuel on a retail basis. For example, tank wagons are considered retail motor fuel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“Sell” </w:t>
      </w:r>
      <w:r>
        <w:rPr>
          <w:rFonts w:ascii="Times New Roman" w:hAnsi="Times New Roman"/>
          <w:b w:val="false"/>
          <w:i w:val="false"/>
          <w:color w:val="000000"/>
          <w:sz w:val="22"/>
        </w:rPr>
        <w:t>means to sell on a retail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501.19(2)</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w:t>
      </w:r>
      <w:r>
        <w:rPr>
          <w:rFonts w:ascii="Times New Roman" w:hAnsi="Times New Roman"/>
          <w:b w:val="false"/>
          <w:i w:val="false"/>
          <w:color w:val="000000"/>
          <w:sz w:val="22"/>
        </w:rPr>
        <w:t>If the taxpayer that was entitled to the ethanol blended gasoline tax credit is a partnership, limited liability company, S corporation, estate, or trust, the business entity shall allocate the allowable credit to each of the individual owners of the entity on the basis of each owner’s pro rata share of the earnings of the entity to the total earnings of the entity. Therefore, if a partnership has an ethanol blended gasoline tax credit of $3,000 and one partner of the partnership receives 25 percent of the earnings of the partnership, that partner would receive an ethanol blended gasoline tax credit for the tax year of $750 or 25 percent of the total ethanol blended gasoline tax credit of the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501.19(3)</w:t>
      </w:r>
      <w:r>
        <w:rPr>
          <w:rFonts w:ascii="Times New Roman" w:hAnsi="Times New Roman"/>
          <w:b w:val="false"/>
          <w:i w:val="false"/>
          <w:color w:val="000000"/>
          <w:sz w:val="22"/>
        </w:rPr>
        <w:t> </w:t>
      </w:r>
      <w:r>
        <w:rPr>
          <w:rFonts w:ascii="Times New Roman" w:hAnsi="Times New Roman"/>
          <w:b w:val="false"/>
          <w:i/>
          <w:color w:val="000000"/>
          <w:sz w:val="22"/>
        </w:rPr>
        <w:t xml:space="preserve">Repeal of ethanol blended gasoline tax credit. </w:t>
      </w:r>
      <w:r>
        <w:rPr>
          <w:rFonts w:ascii="Times New Roman" w:hAnsi="Times New Roman"/>
          <w:b w:val="false"/>
          <w:i w:val="false"/>
          <w:color w:val="000000"/>
          <w:sz w:val="22"/>
        </w:rPr>
        <w:t xml:space="preserve">The ethanol blended gasoline tax credit is repealed on January 1, 2009. However, the tax credit is available for taxpayers whose fiscal year ends after December 31, 2008, for those ethanol gallons sold beginning on the first day of the taxpayer’s fiscal year until December 31, 2008. The ethanol promotion tax credit described in rule </w:t>
      </w:r>
      <w:hyperlink r:id="rId175">
        <w:r>
          <w:rPr>
            <w:rStyle w:val="Hyperlink"/>
            <w:rFonts w:ascii="Times New Roman" w:hAnsi="Times New Roman"/>
            <w:b w:val="false"/>
            <w:i w:val="false"/>
            <w:color w:val="000000"/>
            <w:sz w:val="22"/>
          </w:rPr>
          <w:t>701—501.36</w:t>
        </w:r>
      </w:hyperlink>
      <w:r>
        <w:rPr>
          <w:rFonts w:ascii="Times New Roman" w:hAnsi="Times New Roman"/>
          <w:b w:val="false"/>
          <w:i w:val="false"/>
          <w:color w:val="000000"/>
          <w:sz w:val="22"/>
        </w:rPr>
        <w:t>(422) is available beginning January 1, 2009, for retail dealers of gasoline.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taxpayer who is a retail dealer of gasoline has a fiscal year end of April 30, 2009. The taxpayer sold 150,000 gallons of gasoline from May 1, 2008, through December 31, 2008, at the taxpayer’s retail motor fuel site, of which 110,000 gallons was ethanol blended gasoline. The number of gallons in excess of 60 percent of all gasoline sold is 110,000 less 90,000, or 20,000 gallons. The taxpayer may claim the ethanol blended gasoline tax credit for the fiscal year ending April 30, 2009, in the amount of $500, or 20,000 gallons times two and one-half cents.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6">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House File 2754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701—501.20</w:t>
      </w:r>
      <w:r>
        <w:rPr>
          <w:rFonts w:ascii="Times New Roman" w:hAnsi="Times New Roman"/>
          <w:b/>
          <w:i w:val="false"/>
          <w:color w:val="000000"/>
          <w:sz w:val="22"/>
        </w:rPr>
        <w:t xml:space="preserve">(15E) </w:t>
      </w:r>
      <w:r>
        <w:rPr>
          <w:rFonts w:ascii="Times New Roman" w:hAnsi="Times New Roman"/>
          <w:b/>
          <w:i w:val="false"/>
          <w:color w:val="000000"/>
          <w:sz w:val="22"/>
        </w:rPr>
        <w:t xml:space="preserve">Eligible development business investment tax credit. </w:t>
      </w:r>
      <w:r>
        <w:rPr>
          <w:rFonts w:ascii="Times New Roman" w:hAnsi="Times New Roman"/>
          <w:b w:val="false"/>
          <w:i w:val="false"/>
          <w:color w:val="000000"/>
          <w:sz w:val="22"/>
        </w:rPr>
        <w:t>Effective for tax years beginning on or after January 1, 2001, a business which qualifies as an eligible development business may receive a tax credit of up to 10 percent of the new investment which is directly related to the construction, expansion or rehabilitation of building space to be used for manufacturing, processing, cold storage, distribution, or office facilities.</w:t>
      </w:r>
    </w:p>
    <w:p>
      <w:pPr>
        <w:spacing w:before="0" w:after="0"/>
        <w:ind w:left="120"/>
        <w:jc w:val="both"/>
      </w:pPr>
      <w:r>
        <w:rPr>
          <w:rFonts w:ascii="Times New Roman" w:hAnsi="Times New Roman"/>
          <w:b w:val="false"/>
          <w:i w:val="false"/>
          <w:color w:val="000000"/>
          <w:sz w:val="22"/>
        </w:rPr>
        <w:t xml:space="preserve">An eligible development business must be approved by the Iowa department of economic development prior to March 17, 2004, and meet the qualifications of Iowa Code section </w:t>
      </w:r>
      <w:hyperlink r:id="rId177">
        <w:r>
          <w:rPr>
            <w:rStyle w:val="Hyperlink"/>
            <w:rFonts w:ascii="Times New Roman" w:hAnsi="Times New Roman"/>
            <w:b w:val="false"/>
            <w:i w:val="false"/>
            <w:color w:val="000000"/>
            <w:sz w:val="22"/>
          </w:rPr>
          <w:t>15E.193C</w:t>
        </w:r>
      </w:hyperlink>
      <w:r>
        <w:rPr>
          <w:rFonts w:ascii="Times New Roman" w:hAnsi="Times New Roman"/>
          <w:b w:val="false"/>
          <w:i w:val="false"/>
          <w:color w:val="000000"/>
          <w:sz w:val="22"/>
        </w:rPr>
        <w:t>. Effective March 17, 2004, the eligible development business program is repealed.</w:t>
      </w:r>
    </w:p>
    <w:p>
      <w:pPr>
        <w:spacing w:before="0" w:after="0"/>
        <w:ind w:left="120"/>
        <w:jc w:val="both"/>
      </w:pPr>
      <w:r>
        <w:rPr>
          <w:rFonts w:ascii="Times New Roman" w:hAnsi="Times New Roman"/>
          <w:b w:val="false"/>
          <w:i w:val="false"/>
          <w:color w:val="000000"/>
          <w:sz w:val="22"/>
        </w:rPr>
        <w:t>New investment includes the purchase price of land and the cost of improvements made to real property. The tax credit may be claimed by an eligible development business in the tax year in which the construction, expansion or rehabilitation is completed.</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seven years or until used, whichever is the earlier.</w:t>
      </w:r>
    </w:p>
    <w:p>
      <w:pPr>
        <w:spacing w:before="0" w:after="0"/>
        <w:ind w:left="120"/>
        <w:jc w:val="both"/>
      </w:pPr>
      <w:r>
        <w:rPr>
          <w:rFonts w:ascii="Times New Roman" w:hAnsi="Times New Roman"/>
          <w:b w:val="false"/>
          <w:i w:val="false"/>
          <w:color w:val="000000"/>
          <w:sz w:val="22"/>
        </w:rPr>
        <w:t>If the business is a partnership, S corporation, limited liability company, or an estate or trust electing to have the income taxed directly to the individual, an individual may claim the credit.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If the eligible development business fails to meet and maintain any one of the requirements to be an eligible business, the business shall be subject to repayment of all or a portion of the amount of tax incentives received. For example, if within five years of project completion the development business sells or leases any space to any retail business, the development business shall proportionally repay the value of the investment credit. The proportion of the investment credit that would be due for repayment by an eligible development business for selling or leasing space to a retail business would be determined by dividing the square footage of building space occupied by the retail business by the square footage of the total building space.</w:t>
      </w:r>
    </w:p>
    <w:p>
      <w:pPr>
        <w:spacing w:before="0" w:after="0"/>
        <w:ind w:left="120"/>
        <w:jc w:val="both"/>
      </w:pPr>
      <w:r>
        <w:rPr>
          <w:rFonts w:ascii="Times New Roman" w:hAnsi="Times New Roman"/>
          <w:b w:val="false"/>
          <w:i w:val="false"/>
          <w:color w:val="000000"/>
          <w:sz w:val="22"/>
        </w:rPr>
        <w:t>An eligible business, which is not a development business, which operates in an enterprise zone cannot claim an investment tax credit if the property is owned, or was previously owned, by an approved development business that has already received an investment tax credit. An eligible business, which is not a development business, can claim an investment tax credit only on additional, new improvements made to real property that was not included in the development business’s approved application for the investment tax credit.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8">
        <w:r>
          <w:rPr>
            <w:rStyle w:val="Hyperlink"/>
            <w:rFonts w:ascii="Times New Roman" w:hAnsi="Times New Roman"/>
            <w:b w:val="false"/>
            <w:i w:val="false"/>
            <w:color w:val="000000"/>
            <w:sz w:val="22"/>
          </w:rPr>
          <w:t>15E.193C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701—501.21</w:t>
      </w:r>
      <w:r>
        <w:rPr>
          <w:rFonts w:ascii="Times New Roman" w:hAnsi="Times New Roman"/>
          <w:b/>
          <w:i w:val="false"/>
          <w:color w:val="000000"/>
          <w:sz w:val="22"/>
        </w:rPr>
        <w:t xml:space="preserve">(15E,422) </w:t>
      </w:r>
      <w:r>
        <w:rPr>
          <w:rFonts w:ascii="Times New Roman" w:hAnsi="Times New Roman"/>
          <w:b/>
          <w:i w:val="false"/>
          <w:color w:val="000000"/>
          <w:sz w:val="22"/>
        </w:rPr>
        <w:t xml:space="preserve">Venture capital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501.21(1)</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for an equity investment in a community-based seed capital fund or qualifying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or community-based seed capital fund before January 1, 2011. </w:t>
      </w:r>
      <w:r>
        <w:rPr>
          <w:rFonts w:ascii="Times New Roman" w:hAnsi="Times New Roman"/>
          <w:b w:val="false"/>
          <w:i w:val="false"/>
          <w:color w:val="000000"/>
          <w:sz w:val="22"/>
        </w:rPr>
        <w:t xml:space="preserve">See rule </w:t>
      </w:r>
      <w:hyperlink r:id="rId179">
        <w:r>
          <w:rPr>
            <w:rStyle w:val="Hyperlink"/>
            <w:rFonts w:ascii="Times New Roman" w:hAnsi="Times New Roman"/>
            <w:b w:val="false"/>
            <w:i w:val="false"/>
            <w:color w:val="000000"/>
            <w:sz w:val="22"/>
          </w:rPr>
          <w:t>123—2.1</w:t>
        </w:r>
      </w:hyperlink>
      <w:r>
        <w:rPr>
          <w:rFonts w:ascii="Times New Roman" w:hAnsi="Times New Roman"/>
          <w:b w:val="false"/>
          <w:i w:val="false"/>
          <w:color w:val="000000"/>
          <w:sz w:val="22"/>
        </w:rPr>
        <w:t>(15E) for the discussion of the investment tax credit for an equity investment in a community-based seed capital fund or an equity investment made on or after January 1, 2004, in a qualifying business, along with the issuance of tax credit certificates by the Iowa capital investment board, for equity investments made before January 1, 2011.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or community-based seed capital fund on or after January 1, 2011, and before July 2, 2015. </w:t>
      </w:r>
      <w:r>
        <w:rPr>
          <w:rFonts w:ascii="Times New Roman" w:hAnsi="Times New Roman"/>
          <w:b w:val="false"/>
          <w:i w:val="false"/>
          <w:color w:val="000000"/>
          <w:sz w:val="22"/>
        </w:rPr>
        <w:t xml:space="preserve">For equity investments made on or after January 1, 2011, see </w:t>
      </w:r>
      <w:hyperlink r:id="rId180">
        <w:r>
          <w:rPr>
            <w:rStyle w:val="Hyperlink"/>
            <w:rFonts w:ascii="Times New Roman" w:hAnsi="Times New Roman"/>
            <w:b w:val="false"/>
            <w:i w:val="false"/>
            <w:color w:val="000000"/>
            <w:sz w:val="22"/>
          </w:rPr>
          <w:t>261—Chapter 115</w:t>
        </w:r>
      </w:hyperlink>
      <w:r>
        <w:rPr>
          <w:rFonts w:ascii="Times New Roman" w:hAnsi="Times New Roman"/>
          <w:b w:val="false"/>
          <w:i w:val="false"/>
          <w:color w:val="000000"/>
          <w:sz w:val="22"/>
        </w:rPr>
        <w:t xml:space="preserve"> for information regarding eligibility for qualifying businesses and community-based seed capital funds, applications for the investment tax credit for equity investments in a qualifying business or community-based seed capital fund,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Certificate issuance. The department of revenue will be notified by the economic development authority when the tax credit certificates are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Amount of the tax credit. The credit is equal to 20 percent of the taxpayer’s equity investment in a qualifying business or community-based seed capital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Year in which the tax credit may be claimed.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For investments made prior to January 1, 2014, a taxpayer shall not claim the tax credit prior to the third tax year following the tax year in which the investment is made. For investments made in qualifying businesses on or after January 1, 2014, the credit can be claimed in the year of the investment, but these investments cannot be redeemed prior to January 1, 2016. For example, if a corporation taxpayer whose tax year ends on December 31, 2012, makes an equity investment during the 2012 calendar year, the corporation taxpayer cannot claim the tax credit until the tax year ending December 31, 2015. For fiscal years beginning July 1, 2011, the amount of tax credits authorized cannot exceed $2 million. The tax credit certificate must be included with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Carried over tax credits. If a tax credit is carried over and issued for the tax year immediately following the year in which the investment was made because the $2 million cap has been reached, the tax credit may be claimed by the taxpayer for the third tax year following the tax year for which the credit is issued. For example, if a corporation taxpayer whose tax year ends on December 31, 2012, makes an equity investment in December 2012 and the $2 million cap for the fiscal year ending June 30, 2013, had already been reached, the tax credit will be issued for the tax year ending December 31, 2013, and cannot be redeemed until the tax year ending December 31,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Limitations. Any credit in excess of the tax liability for the tax year may be credited to the tax liability for the following five years or until used, whichever is the earlier. The tax credit cannot be carried back to a tax year prior to the tax year in which the taxpayer claims the tax credit. The tax credit is not transferable to any other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 rata tax credit claims for certain business entities. For equity investments made in a community-based seed capital fund and equity investments made on or after January 1, 2004, in a qualifying business,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on or after July 2, 2015. </w:t>
      </w:r>
      <w:r>
        <w:rPr>
          <w:rFonts w:ascii="Times New Roman" w:hAnsi="Times New Roman"/>
          <w:b w:val="false"/>
          <w:i w:val="false"/>
          <w:color w:val="000000"/>
          <w:sz w:val="22"/>
        </w:rPr>
        <w:t xml:space="preserve">For equity investments made on or after July 2, 2015, see </w:t>
      </w:r>
      <w:hyperlink r:id="rId181">
        <w:r>
          <w:rPr>
            <w:rStyle w:val="Hyperlink"/>
            <w:rFonts w:ascii="Times New Roman" w:hAnsi="Times New Roman"/>
            <w:b w:val="false"/>
            <w:i w:val="false"/>
            <w:color w:val="000000"/>
            <w:sz w:val="22"/>
          </w:rPr>
          <w:t>261—Chapter 115</w:t>
        </w:r>
      </w:hyperlink>
      <w:r>
        <w:rPr>
          <w:rFonts w:ascii="Times New Roman" w:hAnsi="Times New Roman"/>
          <w:b w:val="false"/>
          <w:i w:val="false"/>
          <w:color w:val="000000"/>
          <w:sz w:val="22"/>
        </w:rPr>
        <w:t xml:space="preserve"> for information regarding eligibility for qualifying businesses, applications for the investment tax credit for equity investments in a qualifying business,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Certificate issuance. The department of revenue will be notified by the economic development authority when the tax credit certificates are issued.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Amount of the tax credit. For fiscal years beginning July 1, 2011, the amount of the tax credits authorized cannot exceed $2 million. The credit is equal to 25 percent of the taxpayer’s equity investment in a qualifying business. In any one calendar year, the amount of tax credits issued for any one qualifying business shall not exceed $500,000. For purposes of this paragraph, a tax credit issued to a partnership, limited liability company, S corporation, estate or trust electing to have income taxed directly to the individual shall be deemed to be issued to the individual owners based upon a pro rata share of the individual’s earnings from the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Year in which the credit may be claimed. A taxpayer shall not claim a tax credit prior to September 1, 2016. The tax credit certificate must be included with the taxpayer’s return for the tax year in which the credit may be redeemed as stated on the tax credit certificate. For the purposes of this paragraph,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 rata tax credit claims for certain business entities.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 Any credits claimed by an individual are subject to the limitations provided in </w:t>
      </w:r>
      <w:hyperlink r:id="rId182">
        <w:r>
          <w:rPr>
            <w:rStyle w:val="Hyperlink"/>
            <w:rFonts w:ascii="Times New Roman" w:hAnsi="Times New Roman"/>
            <w:b w:val="false"/>
            <w:i w:val="false"/>
            <w:color w:val="000000"/>
            <w:sz w:val="22"/>
          </w:rPr>
          <w:t>701—paragraph 304.22(1)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Carryforward period. For a tax credit claimed against the taxes imposed in Iowa Code chapter </w:t>
      </w:r>
      <w:hyperlink r:id="rId183">
        <w:r>
          <w:rPr>
            <w:rStyle w:val="Hyperlink"/>
            <w:rFonts w:ascii="Times New Roman" w:hAnsi="Times New Roman"/>
            <w:b w:val="false"/>
            <w:i w:val="false"/>
            <w:color w:val="000000"/>
            <w:sz w:val="22"/>
          </w:rPr>
          <w:t>422, division III</w:t>
        </w:r>
      </w:hyperlink>
      <w:r>
        <w:rPr>
          <w:rFonts w:ascii="Times New Roman" w:hAnsi="Times New Roman"/>
          <w:b w:val="false"/>
          <w:i w:val="false"/>
          <w:color w:val="000000"/>
          <w:sz w:val="22"/>
        </w:rPr>
        <w:t xml:space="preserve">, any tax credit in excess of the taxpayer’s liability for the tax year may be credited to the tax liability for the following three years or until depleted, whichever is earlier.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Refunds, transfers, and carryback prohibited. The tax credit cannot be carried back to a tax year prior to the tax year in which the taxpayer claims the tax credit. The tax credit is not refundable and is not transferable to any other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501.21(2)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for an equity investment in a venture capital fund. </w:t>
      </w:r>
      <w:r>
        <w:rPr>
          <w:rFonts w:ascii="Times New Roman" w:hAnsi="Times New Roman"/>
          <w:b w:val="false"/>
          <w:i w:val="false"/>
          <w:color w:val="000000"/>
          <w:sz w:val="22"/>
        </w:rPr>
        <w:t xml:space="preserve">See rule </w:t>
      </w:r>
      <w:hyperlink r:id="rId184">
        <w:r>
          <w:rPr>
            <w:rStyle w:val="Hyperlink"/>
            <w:rFonts w:ascii="Times New Roman" w:hAnsi="Times New Roman"/>
            <w:b w:val="false"/>
            <w:i w:val="false"/>
            <w:color w:val="000000"/>
            <w:sz w:val="22"/>
          </w:rPr>
          <w:t>123—3.1</w:t>
        </w:r>
      </w:hyperlink>
      <w:r>
        <w:rPr>
          <w:rFonts w:ascii="Times New Roman" w:hAnsi="Times New Roman"/>
          <w:b w:val="false"/>
          <w:i w:val="false"/>
          <w:color w:val="000000"/>
          <w:sz w:val="22"/>
        </w:rPr>
        <w:t>(15E) for the discussion of the investment tax credit for an equity investment in a venture capital fund, along with the issuance of tax credit certificates by the Iowa capital investment board. This credit is repealed for investments in venture capital funds made after July 1, 2010.</w:t>
      </w:r>
    </w:p>
    <w:p>
      <w:pPr>
        <w:spacing w:before="0" w:after="0"/>
        <w:ind w:left="120"/>
        <w:jc w:val="both"/>
      </w:pPr>
      <w:r>
        <w:rPr>
          <w:rFonts w:ascii="Times New Roman" w:hAnsi="Times New Roman"/>
          <w:b w:val="false"/>
          <w:i w:val="false"/>
          <w:color w:val="000000"/>
          <w:sz w:val="22"/>
        </w:rPr>
        <w:t>The department of revenue will be notified by the Iowa capital investment board when the tax credit certificates are issued. The tax credit certificate must be attached to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used, whichever is the earlier.</w:t>
      </w:r>
    </w:p>
    <w:p>
      <w:pPr>
        <w:spacing w:before="0" w:after="0"/>
        <w:ind w:left="120"/>
        <w:jc w:val="both"/>
      </w:pPr>
      <w:r>
        <w:rPr>
          <w:rFonts w:ascii="Times New Roman" w:hAnsi="Times New Roman"/>
          <w:b w:val="false"/>
          <w:i w:val="false"/>
          <w:color w:val="000000"/>
          <w:sz w:val="22"/>
        </w:rPr>
        <w:t>For equity investments made in a venture capital fund,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501.21(3)</w:t>
      </w:r>
      <w:r>
        <w:rPr>
          <w:rFonts w:ascii="Times New Roman" w:hAnsi="Times New Roman"/>
          <w:b w:val="false"/>
          <w:i w:val="false"/>
          <w:color w:val="000000"/>
          <w:sz w:val="22"/>
        </w:rPr>
        <w:t> </w:t>
      </w:r>
      <w:r>
        <w:rPr>
          <w:rFonts w:ascii="Times New Roman" w:hAnsi="Times New Roman"/>
          <w:b w:val="false"/>
          <w:i/>
          <w:color w:val="000000"/>
          <w:sz w:val="22"/>
        </w:rPr>
        <w:t xml:space="preserve">Contingent tax credit for investments in Iowa fund of funds. </w:t>
      </w:r>
      <w:r>
        <w:rPr>
          <w:rFonts w:ascii="Times New Roman" w:hAnsi="Times New Roman"/>
          <w:b w:val="false"/>
          <w:i w:val="false"/>
          <w:color w:val="000000"/>
          <w:sz w:val="22"/>
        </w:rPr>
        <w:t xml:space="preserve">See rule </w:t>
      </w:r>
      <w:hyperlink r:id="rId185">
        <w:r>
          <w:rPr>
            <w:rStyle w:val="Hyperlink"/>
            <w:rFonts w:ascii="Times New Roman" w:hAnsi="Times New Roman"/>
            <w:b w:val="false"/>
            <w:i w:val="false"/>
            <w:color w:val="000000"/>
            <w:sz w:val="22"/>
          </w:rPr>
          <w:t>123—4.1</w:t>
        </w:r>
      </w:hyperlink>
      <w:r>
        <w:rPr>
          <w:rFonts w:ascii="Times New Roman" w:hAnsi="Times New Roman"/>
          <w:b w:val="false"/>
          <w:i w:val="false"/>
          <w:color w:val="000000"/>
          <w:sz w:val="22"/>
        </w:rPr>
        <w:t>(15E) for the discussion of the contingent tax credit available for investments made in the Iowa fund of funds organized by the Iowa capital investment corporation. Tax credit certificates related to the contingent tax credits will be issued by the Iowa capital investment board.</w:t>
      </w:r>
    </w:p>
    <w:p>
      <w:pPr>
        <w:spacing w:before="0" w:after="0"/>
        <w:ind w:left="120"/>
        <w:jc w:val="both"/>
      </w:pPr>
      <w:r>
        <w:rPr>
          <w:rFonts w:ascii="Times New Roman" w:hAnsi="Times New Roman"/>
          <w:b w:val="false"/>
          <w:i w:val="false"/>
          <w:color w:val="000000"/>
          <w:sz w:val="22"/>
        </w:rPr>
        <w:t>The department of revenue will be notified by the Iowa capital investment board when these tax credit certificates are issued and, if applicable, when they are redeemed. If the tax credit certificate is redeemed, the certificate must be attached to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If the tax credit certificate is redeemed, any credit in excess of the tax liability for the tax year may be credited to the tax liability for the following seven years or until used, whichever is the earlier.</w:t>
      </w:r>
    </w:p>
    <w:p>
      <w:pPr>
        <w:spacing w:before="0" w:after="0"/>
        <w:ind w:left="120"/>
        <w:jc w:val="both"/>
      </w:pPr>
      <w:r>
        <w:rPr>
          <w:rFonts w:ascii="Times New Roman" w:hAnsi="Times New Roman"/>
          <w:b w:val="false"/>
          <w:i w:val="false"/>
          <w:color w:val="000000"/>
          <w:sz w:val="22"/>
        </w:rPr>
        <w:t>If the tax credit certificate is redeemed,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501.21(4)</w:t>
      </w:r>
      <w:r>
        <w:rPr>
          <w:rFonts w:ascii="Times New Roman" w:hAnsi="Times New Roman"/>
          <w:b w:val="false"/>
          <w:i w:val="false"/>
          <w:color w:val="000000"/>
          <w:sz w:val="22"/>
        </w:rPr>
        <w:t> </w:t>
      </w:r>
      <w:r>
        <w:rPr>
          <w:rFonts w:ascii="Times New Roman" w:hAnsi="Times New Roman"/>
          <w:b w:val="false"/>
          <w:i/>
          <w:color w:val="000000"/>
          <w:sz w:val="22"/>
        </w:rPr>
        <w:t xml:space="preserve">Innovation fund investment tax credit. </w:t>
      </w:r>
      <w:r>
        <w:rPr>
          <w:rFonts w:ascii="Times New Roman" w:hAnsi="Times New Roman"/>
          <w:b w:val="false"/>
          <w:i w:val="false"/>
          <w:color w:val="000000"/>
          <w:sz w:val="22"/>
        </w:rPr>
        <w:t xml:space="preserve">See </w:t>
      </w:r>
      <w:hyperlink r:id="rId186">
        <w:r>
          <w:rPr>
            <w:rStyle w:val="Hyperlink"/>
            <w:rFonts w:ascii="Times New Roman" w:hAnsi="Times New Roman"/>
            <w:b w:val="false"/>
            <w:i w:val="false"/>
            <w:color w:val="000000"/>
            <w:sz w:val="22"/>
          </w:rPr>
          <w:t>261—Chapter 116</w:t>
        </w:r>
      </w:hyperlink>
      <w:r>
        <w:rPr>
          <w:rFonts w:ascii="Times New Roman" w:hAnsi="Times New Roman"/>
          <w:b w:val="false"/>
          <w:i w:val="false"/>
          <w:color w:val="000000"/>
          <w:sz w:val="22"/>
        </w:rPr>
        <w:t xml:space="preserve"> for information regarding eligibility for an innovation fund, applications for the investment tax credit for investments in an innovation fund,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xml:space="preserve">The department of revenue will be notified by the economic development authority when the tax credit certificates are issued. The credit is equal to 20 percent of the taxpayer’s equity investment in the form of cash in an innovation fund for tax years beginning and investments made on or after January 1, 2011, and before January 1, 2013. For tax years beginning and investments made on or after January 1, 2013, the taxpayer may claim a tax credit equal to 25 percent of the taxpayer’s equity investment in the form of cash in an innovation fund.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A taxpayer shall claim the tax credit for the tax year in which the investment is made. For fiscal years beginning July 1, 2011, the amount of tax credits authorized cannot exceed $8 million. No tax credit certificates will be issued prior to September 1, 2014. The tax credit certificate must be attached to the taxpayer’s return for the tax year in which the investment was made as stated on the tax credit certificate.</w:t>
      </w:r>
    </w:p>
    <w:p>
      <w:pPr>
        <w:spacing w:before="0" w:after="0"/>
        <w:ind w:left="120"/>
        <w:jc w:val="both"/>
      </w:pPr>
      <w:r>
        <w:rPr>
          <w:rFonts w:ascii="Times New Roman" w:hAnsi="Times New Roman"/>
          <w:b w:val="false"/>
          <w:i w:val="false"/>
          <w:color w:val="000000"/>
          <w:sz w:val="22"/>
        </w:rPr>
        <w:t>If a tax credit is carried over and issued for the tax year immediately following the year in which the investment was made because the $8 million cap has been reached, the tax credit may be claimed by the taxpayer for the tax year following the tax year for which the credit is issued. For example, if a corporation taxpayer whose tax year ending on December 31, 2013, makes an equity investment in December 2013 and the $8 million cap for the fiscal year ending June 30, 2014, had already been reached, the tax credit will be issued for the tax year ending December 31, 2014, and can be redeemed for the tax year ending December 31, 2014.</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depleted, whichever is the earlier. The tax credit cannot be carried back to a tax year prior to the tax year in which the taxpayer claims the tax credit.</w:t>
      </w:r>
    </w:p>
    <w:p>
      <w:pPr>
        <w:spacing w:before="0" w:after="0"/>
        <w:ind w:left="120"/>
        <w:jc w:val="both"/>
      </w:pPr>
      <w:r>
        <w:rPr>
          <w:rFonts w:ascii="Times New Roman" w:hAnsi="Times New Roman"/>
          <w:b w:val="false"/>
          <w:i w:val="false"/>
          <w:color w:val="000000"/>
          <w:sz w:val="22"/>
        </w:rPr>
        <w:t>The innovation fund tax credit certificate may be transferred once to any person or entity.</w:t>
      </w:r>
    </w:p>
    <w:p>
      <w:pPr>
        <w:spacing w:before="0" w:after="0"/>
        <w:ind w:left="120"/>
        <w:jc w:val="both"/>
      </w:pPr>
      <w:r>
        <w:rPr>
          <w:rFonts w:ascii="Times New Roman" w:hAnsi="Times New Roman"/>
          <w:b w:val="false"/>
          <w:i w:val="false"/>
          <w:color w:val="000000"/>
          <w:sz w:val="22"/>
        </w:rPr>
        <w:t>Within 90 days of transfer of the tax credit certificate, the transferee must submit the transferred tax credit certificate to the department, along with a statement which contains the transferee’s name, address and tax identification number and the amount of the tax credit being transferred. Within 30 days of receiving the transferred tax credit certificate and the statement from the transferee, the department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innovation fund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and the same expiration date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For equity investments made in an innovation fund,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7">
        <w:r>
          <w:rPr>
            <w:rStyle w:val="Hyperlink"/>
            <w:rFonts w:ascii="Times New Roman" w:hAnsi="Times New Roman"/>
            <w:b w:val="false"/>
            <w:i w:val="false"/>
            <w:color w:val="000000"/>
            <w:sz w:val="22"/>
          </w:rPr>
          <w:t>15E.42</w:t>
        </w:r>
      </w:hyperlink>
      <w:r>
        <w:rPr>
          <w:rFonts w:ascii="Times New Roman" w:hAnsi="Times New Roman"/>
          <w:b w:val="false"/>
          <w:i w:val="false"/>
          <w:color w:val="000000"/>
          <w:sz w:val="22"/>
        </w:rPr>
        <w:t xml:space="preserve">, </w:t>
      </w:r>
      <w:hyperlink r:id="rId188">
        <w:r>
          <w:rPr>
            <w:rStyle w:val="Hyperlink"/>
            <w:rFonts w:ascii="Times New Roman" w:hAnsi="Times New Roman"/>
            <w:b w:val="false"/>
            <w:i w:val="false"/>
            <w:color w:val="000000"/>
            <w:sz w:val="22"/>
          </w:rPr>
          <w:t>15E.52</w:t>
        </w:r>
      </w:hyperlink>
      <w:r>
        <w:rPr>
          <w:rFonts w:ascii="Times New Roman" w:hAnsi="Times New Roman"/>
          <w:b w:val="false"/>
          <w:i w:val="false"/>
          <w:color w:val="000000"/>
          <w:sz w:val="22"/>
        </w:rPr>
        <w:t xml:space="preserve">, </w:t>
      </w:r>
      <w:hyperlink r:id="rId189">
        <w:r>
          <w:rPr>
            <w:rStyle w:val="Hyperlink"/>
            <w:rFonts w:ascii="Times New Roman" w:hAnsi="Times New Roman"/>
            <w:b w:val="false"/>
            <w:i w:val="false"/>
            <w:color w:val="000000"/>
            <w:sz w:val="22"/>
          </w:rPr>
          <w:t>15E.66</w:t>
        </w:r>
      </w:hyperlink>
      <w:r>
        <w:rPr>
          <w:rFonts w:ascii="Times New Roman" w:hAnsi="Times New Roman"/>
          <w:b w:val="false"/>
          <w:i w:val="false"/>
          <w:color w:val="000000"/>
          <w:sz w:val="22"/>
        </w:rPr>
        <w:t xml:space="preserve"> and </w:t>
      </w:r>
      <w:hyperlink r:id="rId190">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and section </w:t>
      </w:r>
      <w:hyperlink r:id="rId191">
        <w:r>
          <w:rPr>
            <w:rStyle w:val="Hyperlink"/>
            <w:rFonts w:ascii="Times New Roman" w:hAnsi="Times New Roman"/>
            <w:b w:val="false"/>
            <w:i w:val="false"/>
            <w:color w:val="000000"/>
            <w:sz w:val="22"/>
          </w:rPr>
          <w:t>15E.43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2015 Iowa Acts, chapter 138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9966B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2632C</w:t>
      </w:r>
      <w:r>
        <w:rPr>
          <w:rFonts w:ascii="Times New Roman" w:hAnsi="Times New Roman"/>
          <w:b w:val="false"/>
          <w:i w:val="false"/>
          <w:color w:val="000000"/>
          <w:sz w:val="16"/>
        </w:rPr>
        <w:t>, IAB 7/20/16, effective 8/24/16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701—501.22</w:t>
      </w:r>
      <w:r>
        <w:rPr>
          <w:rFonts w:ascii="Times New Roman" w:hAnsi="Times New Roman"/>
          <w:b/>
          <w:i w:val="false"/>
          <w:color w:val="000000"/>
          <w:sz w:val="22"/>
        </w:rPr>
        <w:t xml:space="preserve">(15) </w:t>
      </w:r>
      <w:r>
        <w:rPr>
          <w:rFonts w:ascii="Times New Roman" w:hAnsi="Times New Roman"/>
          <w:b/>
          <w:i w:val="false"/>
          <w:color w:val="000000"/>
          <w:sz w:val="22"/>
        </w:rPr>
        <w:t xml:space="preserve">New capital investment program tax credits. </w:t>
      </w:r>
      <w:r>
        <w:rPr>
          <w:rFonts w:ascii="Times New Roman" w:hAnsi="Times New Roman"/>
          <w:b w:val="false"/>
          <w:i w:val="false"/>
          <w:color w:val="000000"/>
          <w:sz w:val="22"/>
        </w:rPr>
        <w:t xml:space="preserve">Effective for tax periods beginning on or after January 1, 2003, a business which qualifies under the new capital investment program is eligible to receive tax credits. An eligible business under the new capital investment program must be approved by the Iowa department of economic development and meet the qualifications of </w:t>
      </w:r>
      <w:r>
        <w:rPr>
          <w:rFonts w:ascii="Times New Roman" w:hAnsi="Times New Roman"/>
          <w:b w:val="false"/>
          <w:i w:val="false"/>
          <w:color w:val="000000"/>
          <w:sz w:val="22"/>
        </w:rPr>
        <w:t>2003 Iowa Acts, chapter 125, section 4</w:t>
      </w:r>
      <w:r>
        <w:rPr>
          <w:rFonts w:ascii="Times New Roman" w:hAnsi="Times New Roman"/>
          <w:b w:val="false"/>
          <w:i w:val="false"/>
          <w:color w:val="000000"/>
          <w:sz w:val="22"/>
        </w:rPr>
        <w:t xml:space="preserve">. The new capital investment program was repealed on July 1, 2005, and has been replaced with the high quality job creation program. See rule </w:t>
      </w:r>
      <w:hyperlink r:id="rId192">
        <w:r>
          <w:rPr>
            <w:rStyle w:val="Hyperlink"/>
            <w:rFonts w:ascii="Times New Roman" w:hAnsi="Times New Roman"/>
            <w:b w:val="false"/>
            <w:i w:val="false"/>
            <w:color w:val="000000"/>
            <w:sz w:val="22"/>
          </w:rPr>
          <w:t>701—501.28</w:t>
        </w:r>
      </w:hyperlink>
      <w:r>
        <w:rPr>
          <w:rFonts w:ascii="Times New Roman" w:hAnsi="Times New Roman"/>
          <w:b w:val="false"/>
          <w:i w:val="false"/>
          <w:color w:val="000000"/>
          <w:sz w:val="22"/>
        </w:rPr>
        <w:t>(15) for information on the tax credits available under the high quality job creation program. Any tax credits earned by businesses approved under the new capital investment program prior to July 1, 2005, remain valid, and can be claimed on tax returns filed after July 1,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501.22(1)</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 business approved under the new capital investment program is eligible for an additional research activities credit as described in subrule </w:t>
      </w:r>
      <w:hyperlink r:id="rId193">
        <w:r>
          <w:rPr>
            <w:rStyle w:val="Hyperlink"/>
            <w:rFonts w:ascii="Times New Roman" w:hAnsi="Times New Roman"/>
            <w:b w:val="false"/>
            <w:i w:val="false"/>
            <w:color w:val="000000"/>
            <w:sz w:val="22"/>
          </w:rPr>
          <w:t>501.7(5)</w:t>
        </w:r>
      </w:hyperlink>
      <w:r>
        <w:rPr>
          <w:rFonts w:ascii="Times New Roman" w:hAnsi="Times New Roman"/>
          <w:b w:val="false"/>
          <w:i w:val="false"/>
          <w:color w:val="000000"/>
          <w:sz w:val="22"/>
        </w:rPr>
        <w:t xml:space="preserve">. This credit for increasing research activities is in lieu of the research activities credit described in subrule </w:t>
      </w:r>
      <w:hyperlink r:id="rId194">
        <w:r>
          <w:rPr>
            <w:rStyle w:val="Hyperlink"/>
            <w:rFonts w:ascii="Times New Roman" w:hAnsi="Times New Roman"/>
            <w:b w:val="false"/>
            <w:i w:val="false"/>
            <w:color w:val="000000"/>
            <w:sz w:val="22"/>
          </w:rPr>
          <w:t>501.7(3)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501.22(2)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An eligible business can claim an investment tax credit equal to a percentage of the new investment directly related to new jobs created by the location or expansion of an eligible business. The percentage is equal to the amount provided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New investment directly related to new jobs created by the location or expansion of an eligible business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machinery and equipment, as defined in Iowa Code section </w:t>
      </w:r>
      <w:hyperlink r:id="rId195">
        <w:r>
          <w:rPr>
            <w:rStyle w:val="Hyperlink"/>
            <w:rFonts w:ascii="Times New Roman" w:hAnsi="Times New Roman"/>
            <w:b w:val="false"/>
            <w:i w:val="false"/>
            <w:color w:val="000000"/>
            <w:sz w:val="22"/>
          </w:rPr>
          <w:t>427A.1(1)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purchased for use in the operation of the eligible business. The purchase price shall be depreciated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purchase price of real property and any buildings and structures located on the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of improvements made to real property which is used in the operation of the eligible business.</w:t>
      </w:r>
    </w:p>
    <w:p>
      <w:pPr>
        <w:spacing w:before="0" w:after="0"/>
        <w:ind w:left="120"/>
        <w:jc w:val="both"/>
      </w:pPr>
      <w:r>
        <w:rPr>
          <w:rFonts w:ascii="Times New Roman" w:hAnsi="Times New Roman"/>
          <w:b w:val="false"/>
          <w:i w:val="false"/>
          <w:color w:val="000000"/>
          <w:sz w:val="22"/>
        </w:rPr>
        <w:t>For eligible businesses approved by the Iowa department of economic development on or after March 17, 2004, certain lease payments made by eligible businesses to a third-party developer will be considered to be new investment for purposes of computing the investment tax credit. The eligible business shall enter into a lease agreement with the third-party developer for a minimum of five years. The investment tax credit is based on the annual base rent paid to a third-party developer by the eligible business for a period not to exceed ten years. The total costs of the annual base rent payments for the ten-year period cannot exceed the cost of the land and the third-party developer’s cost to build or renovate the building used by the eligible business. The annual base rent is defined as the total lease payment less taxes, insurance and operating and maintenance expenses.</w:t>
      </w:r>
    </w:p>
    <w:p>
      <w:pPr>
        <w:spacing w:before="0" w:after="0"/>
        <w:ind w:left="120"/>
        <w:jc w:val="both"/>
      </w:pPr>
      <w:r>
        <w:rPr>
          <w:rFonts w:ascii="Times New Roman" w:hAnsi="Times New Roman"/>
          <w:b w:val="false"/>
          <w:i w:val="false"/>
          <w:color w:val="000000"/>
          <w:sz w:val="22"/>
        </w:rPr>
        <w:t>Any credit in excess of the tax liability for the tax period may be carried forward seven years or until used, whichever is the earlier.</w:t>
      </w:r>
    </w:p>
    <w:p>
      <w:pPr>
        <w:spacing w:before="0" w:after="0"/>
        <w:ind w:left="120"/>
        <w:jc w:val="both"/>
      </w:pPr>
      <w:r>
        <w:rPr>
          <w:rFonts w:ascii="Times New Roman" w:hAnsi="Times New Roman"/>
          <w:b w:val="false"/>
          <w:i w:val="false"/>
          <w:color w:val="000000"/>
          <w:sz w:val="22"/>
        </w:rPr>
        <w:t xml:space="preserve">If the business is a partnership, S corporation, limited liability company, cooperative organized under Iowa Code chapter </w:t>
      </w:r>
      <w:hyperlink r:id="rId196">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 electing to have the income taxed directly to an individual, an individual may claim the credit. The amount of the credit claimed by an individual must be based on the individual’s pro rata share of the individual’s earnings of the partnership, S corporation, limited liability company, cooperative organized under Iowa Code chapter </w:t>
      </w:r>
      <w:hyperlink r:id="rId197">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 credit percentage. </w:t>
      </w:r>
      <w:r>
        <w:rPr>
          <w:rFonts w:ascii="Times New Roman" w:hAnsi="Times New Roman"/>
          <w:b w:val="false"/>
          <w:i w:val="false"/>
          <w:color w:val="000000"/>
          <w:sz w:val="22"/>
        </w:rPr>
        <w:t>The amount of tax credit claimed shall be based on the number of high-quality jobs created as determined by the Iowa department of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no high-quality jobs are created but economic activity within Iowa is advanced, the eligible business may claim a tax credit of up to 1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1 to 5 high-quality jobs are created, the eligible business may claim a tax credit of up to 2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6 to 10 high-quality jobs are created, the eligible business may claim a tax credit of up to 3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11 to 15 high-quality jobs are created, the eligible business may claim a tax credit of up to 4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16 or more high-quality jobs are created, the eligible business may claim a tax credit of up to 5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credit—value-added agricultural products or biotechnology-related processes. </w:t>
      </w:r>
      <w:r>
        <w:rPr>
          <w:rFonts w:ascii="Times New Roman" w:hAnsi="Times New Roman"/>
          <w:b w:val="false"/>
          <w:i w:val="false"/>
          <w:color w:val="000000"/>
          <w:sz w:val="22"/>
        </w:rPr>
        <w:t xml:space="preserve">An eligible business whose project primarily involves the production of value-added agricultural products or uses biotechnology-related processes may elect to receive a refund for all or a portion of an unused investment tax credit.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w:t>
      </w:r>
    </w:p>
    <w:p>
      <w:pPr>
        <w:spacing w:before="0" w:after="0"/>
        <w:ind w:left="120"/>
        <w:jc w:val="both"/>
      </w:pPr>
      <w:r>
        <w:rPr>
          <w:rFonts w:ascii="Times New Roman" w:hAnsi="Times New Roman"/>
          <w:b w:val="false"/>
          <w:i w:val="false"/>
          <w:color w:val="000000"/>
          <w:sz w:val="22"/>
        </w:rPr>
        <w:t xml:space="preserve">Eligible businesses that elect to receive a refund shall apply to the Iowa department of economic development for tax credit certificates between May 1 and May 15 of each fiscal year through the fiscal year ending June 30, 2009. The election to receive a refund of all or a portion of an unused investment tax credit is no longer available beginning with the fiscal year ending June 30, 2010. Only those businesses that have completed projects before the May 1 filing date may apply for a tax credit certificate. The Iowa department of economic development shall not issue tax credit certificates for more than $4 million during a fiscal year to eligible businesses for this program and eligible businesses described in subrule </w:t>
      </w:r>
      <w:hyperlink r:id="rId198">
        <w:r>
          <w:rPr>
            <w:rStyle w:val="Hyperlink"/>
            <w:rFonts w:ascii="Times New Roman" w:hAnsi="Times New Roman"/>
            <w:b w:val="false"/>
            <w:i w:val="false"/>
            <w:color w:val="000000"/>
            <w:sz w:val="22"/>
          </w:rPr>
          <w:t>501.10(4)</w:t>
        </w:r>
      </w:hyperlink>
      <w:r>
        <w:rPr>
          <w:rFonts w:ascii="Times New Roman" w:hAnsi="Times New Roman"/>
          <w:b w:val="false"/>
          <w:i w:val="false"/>
          <w:color w:val="000000"/>
          <w:sz w:val="22"/>
        </w:rPr>
        <w:t>. If applications are received for more than $4 million, the applicants shall receive certificates for a prorated amount.</w:t>
      </w:r>
    </w:p>
    <w:p>
      <w:pPr>
        <w:spacing w:before="0" w:after="0"/>
        <w:ind w:left="120"/>
        <w:jc w:val="both"/>
      </w:pPr>
      <w:r>
        <w:rPr>
          <w:rFonts w:ascii="Times New Roman" w:hAnsi="Times New Roman"/>
          <w:b w:val="false"/>
          <w:i w:val="false"/>
          <w:color w:val="000000"/>
          <w:sz w:val="22"/>
        </w:rPr>
        <w:t xml:space="preserve">The economic development authority shall issue tax credit certificates within a reasonable period of time. Tax credit certificates are valid for the tax year following project completion. The tax credit certificate must be included with the tax return for the tax year during which the tax credit is claimed. The tax credit certificate shall not be transferred, except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 as provided in subrule </w:t>
      </w:r>
      <w:hyperlink r:id="rId199">
        <w:r>
          <w:rPr>
            <w:rStyle w:val="Hyperlink"/>
            <w:rFonts w:ascii="Times New Roman" w:hAnsi="Times New Roman"/>
            <w:b w:val="false"/>
            <w:i w:val="false"/>
            <w:color w:val="000000"/>
            <w:sz w:val="22"/>
          </w:rPr>
          <w:t>501.10(4)</w:t>
        </w:r>
      </w:hyperlink>
      <w:r>
        <w:rPr>
          <w:rFonts w:ascii="Times New Roman" w:hAnsi="Times New Roman"/>
          <w:b w:val="false"/>
          <w:i w:val="false"/>
          <w:color w:val="000000"/>
          <w:sz w:val="22"/>
        </w:rPr>
        <w:t>. For value-added agricultural projects involving ethanol, the cooperative must submit a list of its members and the share of each member’s interest in the cooperative. The economic development authority shall issue a tax credit certificate to each member on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an eligible business fails to maintain the requirements of the new capital investment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of the taxpayer to maintain the requirements of the new capital investment program. This is because it is a recovery of an incentive, rather than an adjustment to the taxpayer’s tax liability. Details on the calculation of the repayment can be found in </w:t>
      </w:r>
      <w:hyperlink r:id="rId200">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An eligible business in the new capital investment program may also be required to repay all or a portion of the tax incentives received on Iowa returns if the eligible business experiences a layoff of employees in Iowa or closes any of its facilities in Iowa.</w:t>
      </w:r>
    </w:p>
    <w:p>
      <w:pPr>
        <w:spacing w:before="0" w:after="0"/>
        <w:ind w:left="120"/>
        <w:jc w:val="both"/>
      </w:pPr>
      <w:r>
        <w:rPr>
          <w:rFonts w:ascii="Times New Roman" w:hAnsi="Times New Roman"/>
          <w:b w:val="false"/>
          <w:i w:val="false"/>
          <w:color w:val="000000"/>
          <w:sz w:val="22"/>
        </w:rPr>
        <w:t>If, within five years of purchase, the eligible business sells, disposes of, razes, or otherwise renders unusable all or a part of the land, buildings, or other existing structures for which a tax credit was claimed under this subrule, the income tax liability of the eligible business shall be increased by one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hundred percent of the investment tax credit claimed if the property ceases to be eligible for the tax credit within one full year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Eighty percent of the investment tax credit claimed if the property ceases to be eligible for the tax credit within two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Sixty percent of the investment tax credit claimed if the property ceases to be eligible for the tax credit within three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Forty percent of the tax credit claimed if the property ceases to be eligible for the tax credit within four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Twenty percent of the investment tax credit claimed if the property ceases to be eligible for the tax credit within five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501.22(3)</w:t>
      </w:r>
      <w:r>
        <w:rPr>
          <w:rFonts w:ascii="Times New Roman" w:hAnsi="Times New Roman"/>
          <w:b w:val="false"/>
          <w:i w:val="false"/>
          <w:color w:val="000000"/>
          <w:sz w:val="22"/>
        </w:rPr>
        <w:t> </w:t>
      </w:r>
      <w:r>
        <w:rPr>
          <w:rFonts w:ascii="Times New Roman" w:hAnsi="Times New Roman"/>
          <w:b w:val="false"/>
          <w:i/>
          <w:color w:val="000000"/>
          <w:sz w:val="22"/>
        </w:rPr>
        <w:t xml:space="preserve">Corporate tax credit—certain sales taxes paid by developer. </w:t>
      </w:r>
      <w:r>
        <w:rPr>
          <w:rFonts w:ascii="Times New Roman" w:hAnsi="Times New Roman"/>
          <w:b w:val="false"/>
          <w:i w:val="false"/>
          <w:color w:val="000000"/>
          <w:sz w:val="22"/>
        </w:rPr>
        <w:t>For eligible businesses approved by the Iowa department of economic development on or after March 17, 2004, the eligible business may claim a corporate tax credit for certain sales taxes paid by a third-party developer.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Sales taxes eligible for the credit. </w:t>
      </w:r>
      <w:r>
        <w:rPr>
          <w:rFonts w:ascii="Times New Roman" w:hAnsi="Times New Roman"/>
          <w:b w:val="false"/>
          <w:i w:val="false"/>
          <w:color w:val="000000"/>
          <w:sz w:val="22"/>
        </w:rPr>
        <w:t>The sales taxes paid by the third-party developer which are eligible for this credit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sales and use tax for gas, electricity, water, or sewer utility services, goods, wares, or merchandise, or on services rendered to, furnished to or performed for a contractor or subcontractor and used in the fulfillment of a written contract relating to the construction or equipping of a facility within the economic development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Iowa sales and use tax paid for racks, shelving, and conveyor equipment to be used in a warehouse or distribution center within the economic development area.</w:t>
      </w:r>
    </w:p>
    <w:p>
      <w:pPr>
        <w:spacing w:before="0" w:after="0"/>
        <w:ind w:left="120"/>
        <w:jc w:val="both"/>
      </w:pPr>
      <w:r>
        <w:rPr>
          <w:rFonts w:ascii="Times New Roman" w:hAnsi="Times New Roman"/>
          <w:b w:val="false"/>
          <w:i w:val="false"/>
          <w:color w:val="000000"/>
          <w:sz w:val="22"/>
        </w:rPr>
        <w:t>Any Iowa sales and use tax paid relating to intangible property, furniture and other furnishings is not eligible for the corporate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How to claim the credit. </w:t>
      </w:r>
      <w:r>
        <w:rPr>
          <w:rFonts w:ascii="Times New Roman" w:hAnsi="Times New Roman"/>
          <w:b w:val="false"/>
          <w:i w:val="false"/>
          <w:color w:val="000000"/>
          <w:sz w:val="22"/>
        </w:rPr>
        <w:t xml:space="preserve">The third-party developer must provide to the Iowa department of economic development the amount of Iowa sales and use tax paid as described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The amount of Iowa sales and use tax attributable to racks, shelving, and conveyor equipment must be identified separately.</w:t>
      </w:r>
    </w:p>
    <w:p>
      <w:pPr>
        <w:spacing w:before="0" w:after="0"/>
        <w:ind w:left="120"/>
        <w:jc w:val="both"/>
      </w:pPr>
      <w:r>
        <w:rPr>
          <w:rFonts w:ascii="Times New Roman" w:hAnsi="Times New Roman"/>
          <w:b w:val="false"/>
          <w:i w:val="false"/>
          <w:color w:val="000000"/>
          <w:sz w:val="22"/>
        </w:rPr>
        <w:t>The Iowa department of economic development will issue a tax credit certificate to the eligible business equal to the Iowa sales and use tax paid by the third-party developer for gas, electricity, water, or sewer utility services, goods, wares, or merchandise, or on services rendered to, furnished to or performed for a contractor or subcontractor and used in the fulfillment of a written contract relating to the construction or equipping of a facility. In addition, the Iowa department of economic development will also issue a separate tax credit certificate to the eligible business equal to the Iowa sales and use tax paid by the third-party developer for racks, shelving, and conveyor equipment to be used in a warehouse or distribution center.</w:t>
      </w:r>
    </w:p>
    <w:p>
      <w:pPr>
        <w:spacing w:before="0" w:after="0"/>
        <w:ind w:left="120"/>
        <w:jc w:val="both"/>
      </w:pPr>
      <w:r>
        <w:rPr>
          <w:rFonts w:ascii="Times New Roman" w:hAnsi="Times New Roman"/>
          <w:b w:val="false"/>
          <w:i w:val="false"/>
          <w:color w:val="000000"/>
          <w:sz w:val="22"/>
        </w:rPr>
        <w:t>The tax credit certificate shall contain the name, address, and tax identification number of the eligible business, along with the amount of the tax credit and the year in which the tax credit can be claimed. The tax credit certificate must be attached to the taxpayer’s income tax return for the tax year for which the tax credit is claimed. Any tax credit in excess of the taxpayer’s tax liability is refundable. In lieu of claiming the refund, the taxpayer may elect to have the overpayment credited to the tax liability for the following seven years or until it is used, whichever is the earlier.</w:t>
      </w:r>
    </w:p>
    <w:p>
      <w:pPr>
        <w:spacing w:before="0" w:after="0"/>
        <w:ind w:left="120"/>
        <w:jc w:val="both"/>
      </w:pPr>
      <w:r>
        <w:rPr>
          <w:rFonts w:ascii="Times New Roman" w:hAnsi="Times New Roman"/>
          <w:b w:val="false"/>
          <w:i w:val="false"/>
          <w:color w:val="000000"/>
          <w:sz w:val="22"/>
        </w:rPr>
        <w:t>For the tax credit certificate relating to Iowa sales and use tax paid by the third-party developer for racks, shelving, and conveyor equipment, the aggregate amount of tax credit certificates and tax refunds for Iowa sales and use tax paid for racks, shelving, and conveyor equipment to eligible businesses under the new jobs and income program, enterprise zone program and new capital investment program cannot exceed $500,000 in a fiscal year. The requests for tax credit certificates or refunds will be processed in the order they are received on a first-come, first-served basis until the amount of credits authorized for issuance has been exhausted. If applications for tax credit certificates or refunds exceed the $500,000 limitation for any fiscal year, the applications shall be considered in succeeding fiscal years.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1">
        <w:r>
          <w:rPr>
            <w:rStyle w:val="Hyperlink"/>
            <w:rFonts w:ascii="Times New Roman" w:hAnsi="Times New Roman"/>
            <w:b w:val="false"/>
            <w:i w:val="false"/>
            <w:color w:val="000000"/>
            <w:sz w:val="22"/>
          </w:rPr>
          <w:t>15.331C</w:t>
        </w:r>
      </w:hyperlink>
      <w:r>
        <w:rPr>
          <w:rFonts w:ascii="Times New Roman" w:hAnsi="Times New Roman"/>
          <w:b w:val="false"/>
          <w:i w:val="false"/>
          <w:color w:val="000000"/>
          <w:sz w:val="22"/>
        </w:rPr>
        <w:t xml:space="preserve">, </w:t>
      </w:r>
      <w:hyperlink r:id="rId202">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2380</w:t>
      </w:r>
      <w:r>
        <w:rPr>
          <w:rFonts w:ascii="Times New Roman" w:hAnsi="Times New Roman"/>
          <w:b w:val="false"/>
          <w:i w:val="false"/>
          <w:color w:val="000000"/>
          <w:sz w:val="22"/>
        </w:rPr>
        <w:t xml:space="preserve">, and </w:t>
      </w:r>
      <w:hyperlink r:id="rId203">
        <w:r>
          <w:rPr>
            <w:rStyle w:val="Hyperlink"/>
            <w:rFonts w:ascii="Times New Roman" w:hAnsi="Times New Roman"/>
            <w:b w:val="false"/>
            <w:i w:val="false"/>
            <w:color w:val="000000"/>
            <w:sz w:val="22"/>
          </w:rPr>
          <w:t>15.381 to 15.387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701—501.23</w:t>
      </w:r>
      <w:r>
        <w:rPr>
          <w:rFonts w:ascii="Times New Roman" w:hAnsi="Times New Roman"/>
          <w:b/>
          <w:i w:val="false"/>
          <w:color w:val="000000"/>
          <w:sz w:val="22"/>
        </w:rPr>
        <w:t xml:space="preserve">(15E,422) </w:t>
      </w:r>
      <w:r>
        <w:rPr>
          <w:rFonts w:ascii="Times New Roman" w:hAnsi="Times New Roman"/>
          <w:b/>
          <w:i w:val="false"/>
          <w:color w:val="000000"/>
          <w:sz w:val="22"/>
        </w:rPr>
        <w:t xml:space="preserve">Endow Iowa tax credit. </w:t>
      </w:r>
      <w:r>
        <w:rPr>
          <w:rFonts w:ascii="Times New Roman" w:hAnsi="Times New Roman"/>
          <w:b w:val="false"/>
          <w:i w:val="false"/>
          <w:color w:val="000000"/>
          <w:sz w:val="22"/>
        </w:rPr>
        <w:t xml:space="preserve">Effective for tax years beginning on or after January 1, 2003, a taxpayer who makes an endowment gift to an endow Iowa qualified community foundation may qualify for an endow Iowa tax credit, subject to the availability of the credit. For tax years beginning on or after January 1, 2003, but before January 1, 2010, the credit is equal to 20 percent of a taxpayer’s endowment gift to an endow Iowa qualified community foundation approved by the Iowa department of economic development. For tax years beginning on or after January 1, 2010, the credit is equal to 25 percent of a taxpayer’s endowment gift to an endow Iowa qualified community foundation approved by the Iowa department of economic development. For tax years beginning on or after January 1, 2010, a taxpayer cannot claim a deduction for charitable contributions under </w:t>
      </w:r>
      <w:r>
        <w:rPr>
          <w:rFonts w:ascii="Times New Roman" w:hAnsi="Times New Roman"/>
          <w:b w:val="false"/>
          <w:i w:val="false"/>
          <w:color w:val="000000"/>
          <w:sz w:val="22"/>
        </w:rPr>
        <w:t>Section 170 of the Internal Revenue Code</w:t>
      </w:r>
      <w:r>
        <w:rPr>
          <w:rFonts w:ascii="Times New Roman" w:hAnsi="Times New Roman"/>
          <w:b w:val="false"/>
          <w:i w:val="false"/>
          <w:color w:val="000000"/>
          <w:sz w:val="22"/>
        </w:rPr>
        <w:t xml:space="preserve"> for the amount of the contribution for which the tax credit is claimed for Iowa tax purposes. The administrative rules for the endow Iowa tax credit for the Iowa department of economic development may be found under </w:t>
      </w:r>
      <w:hyperlink r:id="rId204">
        <w:r>
          <w:rPr>
            <w:rStyle w:val="Hyperlink"/>
            <w:rFonts w:ascii="Times New Roman" w:hAnsi="Times New Roman"/>
            <w:b w:val="false"/>
            <w:i w:val="false"/>
            <w:color w:val="000000"/>
            <w:sz w:val="22"/>
          </w:rPr>
          <w:t>261—Chapter 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total amount of endow Iowa tax credits available is $2 million in the aggregate for the 2003 and 2004 calendar years. The total amount of endow Iowa tax credits is $2 million annually for the 2005-2007 calendar years, and $200,000 of these tax credits on an annual basis is reserved for endowment gifts of $30,000 or less. The maximum amount of tax credit granted to a single taxpayer shall not exceed $100,000 for the 2003-2007 calendar years. The total amount of endow Iowa tax credits annually for the 2008 and 2009 calendar years is $2 million plus a percentage of the tax imposed on the adjusted gross receipts from gambling games in accordance with Iowa Code section </w:t>
      </w:r>
      <w:hyperlink r:id="rId205">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xml:space="preserve">. The total amount of endow Iowa tax credits annually for 2010 is $2.7 million plus a percentage of the tax imposed on the adjusted gross receipts from gambling games in accordance with Iowa Code section </w:t>
      </w:r>
      <w:hyperlink r:id="rId206">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xml:space="preserve">. The total amount of endow Iowa tax credits annually for 2011 is $3.5 million plus a percentage of the tax imposed on the adjusted gross receipts from gambling games in accordance with Iowa Code section </w:t>
      </w:r>
      <w:hyperlink r:id="rId207">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The maximum amount of tax credit granted to a single taxpayer shall not exceed 5 percent of the total endow Iowa tax credit amount authorized for 2008 and subsequent years. For calendar year 2012 and subsequent calendar years, the total amount of endow Iowa tax credits is $6 million; the maximum amount of tax credit authorized to a single taxpayer is $300,000 ($6 million multiplied by 5 percent). The endow Iowa tax credit cannot be transferred to any other taxpayer.</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used, whichever is the earlier.</w:t>
      </w:r>
    </w:p>
    <w:p>
      <w:pPr>
        <w:spacing w:before="0" w:after="0"/>
        <w:ind w:left="120"/>
        <w:jc w:val="both"/>
      </w:pPr>
      <w:r>
        <w:rPr>
          <w:rFonts w:ascii="Times New Roman" w:hAnsi="Times New Roman"/>
          <w:b w:val="false"/>
          <w:i w:val="false"/>
          <w:color w:val="000000"/>
          <w:sz w:val="22"/>
        </w:rPr>
        <w:t>If a taxpayer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8">
        <w:r>
          <w:rPr>
            <w:rStyle w:val="Hyperlink"/>
            <w:rFonts w:ascii="Times New Roman" w:hAnsi="Times New Roman"/>
            <w:b w:val="false"/>
            <w:i w:val="false"/>
            <w:color w:val="000000"/>
            <w:sz w:val="22"/>
          </w:rPr>
          <w:t>15E.305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620</w:t>
      </w:r>
      <w:r>
        <w:rPr>
          <w:rFonts w:ascii="Times New Roman" w:hAnsi="Times New Roman"/>
          <w:b w:val="false"/>
          <w:i w:val="false"/>
          <w:color w:val="000000"/>
          <w:sz w:val="22"/>
        </w:rPr>
        <w:t xml:space="preserve">, and Iowa Code section </w:t>
      </w:r>
      <w:hyperlink r:id="rId209">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701—501.24</w:t>
      </w:r>
      <w:r>
        <w:rPr>
          <w:rFonts w:ascii="Times New Roman" w:hAnsi="Times New Roman"/>
          <w:b/>
          <w:i w:val="false"/>
          <w:color w:val="000000"/>
          <w:sz w:val="22"/>
        </w:rPr>
        <w:t xml:space="preserve">(422) </w:t>
      </w:r>
      <w:r>
        <w:rPr>
          <w:rFonts w:ascii="Times New Roman" w:hAnsi="Times New Roman"/>
          <w:b/>
          <w:i w:val="false"/>
          <w:color w:val="000000"/>
          <w:sz w:val="22"/>
        </w:rPr>
        <w:t xml:space="preserve">Soy-based cutting tool oil tax credit. </w:t>
      </w:r>
      <w:r>
        <w:rPr>
          <w:rFonts w:ascii="Times New Roman" w:hAnsi="Times New Roman"/>
          <w:b w:val="false"/>
          <w:i w:val="false"/>
          <w:color w:val="000000"/>
          <w:sz w:val="22"/>
        </w:rPr>
        <w:t xml:space="preserve">Effective for tax periods ending after June 30, 2005, and beginning before January 1, 2007, a manufacturer may claim a soy-based cutting tool oil tax credit. A manufacturer, as defined in Iowa Code section </w:t>
      </w:r>
      <w:hyperlink r:id="rId210">
        <w:r>
          <w:rPr>
            <w:rStyle w:val="Hyperlink"/>
            <w:rFonts w:ascii="Times New Roman" w:hAnsi="Times New Roman"/>
            <w:b w:val="false"/>
            <w:i w:val="false"/>
            <w:color w:val="000000"/>
            <w:sz w:val="22"/>
          </w:rPr>
          <w:t>428.20</w:t>
        </w:r>
      </w:hyperlink>
      <w:r>
        <w:rPr>
          <w:rFonts w:ascii="Times New Roman" w:hAnsi="Times New Roman"/>
          <w:b w:val="false"/>
          <w:i w:val="false"/>
          <w:color w:val="000000"/>
          <w:sz w:val="22"/>
        </w:rPr>
        <w:t>, may claim the credit equal to the costs incurred during the tax year for the purchase and replacement costs relating to the transition from using nonsoy-based cutting tool oil to using soy-based cutting tool oil.</w:t>
      </w:r>
    </w:p>
    <w:p>
      <w:pPr>
        <w:spacing w:before="0" w:after="0"/>
        <w:ind w:left="120"/>
        <w:jc w:val="both"/>
      </w:pPr>
      <w:r>
        <w:rPr>
          <w:rFonts w:ascii="Times New Roman" w:hAnsi="Times New Roman"/>
          <w:b w:val="false"/>
          <w:i w:val="false"/>
          <w:color w:val="000000"/>
          <w:sz w:val="22"/>
        </w:rPr>
        <w:t>All of the following conditions must be met to qualify for the tax credit.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costs must be incurred after June 30, 2005, and before January 1, 2007.</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costs must be incurred in the first 12 months of the transition from using nonsoy-based cutting tool oil to using soy-based cutting tool oil.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soy-based cutting tool oil must contain at least 51 percent soy-based products.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costs of the purchase and replacement must not exceed $2 per gallon of soy-based cutting tool oil used in the transition.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number of gallons used in the transition cannot exceed 2,000 gallons.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manufacturer shall not deduct for Iowa income tax purposes the costs incurred in the transition to using soy-based cutting tool oil which are deductible for federal tax purposes.</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If a taxpayer is a partnership, limited liability company, S corporation, or an estate or trust electing to have the income taxed directly to an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1">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2005 Iowa Acts, Senate File 389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701—501.25</w:t>
      </w:r>
      <w:r>
        <w:rPr>
          <w:rFonts w:ascii="Times New Roman" w:hAnsi="Times New Roman"/>
          <w:b/>
          <w:i w:val="false"/>
          <w:color w:val="000000"/>
          <w:sz w:val="22"/>
        </w:rPr>
        <w:t xml:space="preserve">(15I,422) </w:t>
      </w:r>
      <w:r>
        <w:rPr>
          <w:rFonts w:ascii="Times New Roman" w:hAnsi="Times New Roman"/>
          <w:b/>
          <w:i w:val="false"/>
          <w:color w:val="000000"/>
          <w:sz w:val="22"/>
        </w:rPr>
        <w:t xml:space="preserve">Wage-benefits tax credit. </w:t>
      </w:r>
      <w:r>
        <w:rPr>
          <w:rFonts w:ascii="Times New Roman" w:hAnsi="Times New Roman"/>
          <w:b w:val="false"/>
          <w:i w:val="false"/>
          <w:color w:val="000000"/>
          <w:sz w:val="22"/>
        </w:rPr>
        <w:t>Effective for tax years ending on or after June 9, 2006, a wage-benefits tax credit equal to a percentage of the annual wages and benefits paid for a qualified new job created by the location or expansion of the business in Iowa is available for qualified businesses.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“Average county wage” </w:t>
      </w:r>
      <w:r>
        <w:rPr>
          <w:rFonts w:ascii="Times New Roman" w:hAnsi="Times New Roman"/>
          <w:b w:val="false"/>
          <w:i w:val="false"/>
          <w:color w:val="000000"/>
          <w:sz w:val="22"/>
        </w:rPr>
        <w:t>means the annualized average hourly wage calculated by the Iowa department of economic development using the most current four quarters of wage and employment information as provided in the Quarterly Covered Wage and Employment Data report provided by the department of workforce development. Agricultural/mining and governmental employment categories are deleted in compiling the wage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“Benefits” </w:t>
      </w:r>
      <w:r>
        <w:rPr>
          <w:rFonts w:ascii="Times New Roman" w:hAnsi="Times New Roman"/>
          <w:b w:val="false"/>
          <w:i w:val="false"/>
          <w:color w:val="000000"/>
          <w:sz w:val="22"/>
        </w:rPr>
        <w:t>means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Medical and dental insurance plans.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Pension and profit-sharing plans.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Child care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Life insurance coverage.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Vision insurance plan.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Disability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means the equivalent of employment of one person: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8 hours per day for a 5-day, 40-hour workweek for 52 weeks per year, including paid holidays, vacations, and other paid leave,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number of hours or days per week, including paid holidays, vacations, and other paid leave, currently established by schedule, custom or otherwise, as constituting a week of full-time work for the kind of service an individual performs for an employing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“Grow Iowa values fund” </w:t>
      </w:r>
      <w:r>
        <w:rPr>
          <w:rFonts w:ascii="Times New Roman" w:hAnsi="Times New Roman"/>
          <w:b w:val="false"/>
          <w:i w:val="false"/>
          <w:color w:val="000000"/>
          <w:sz w:val="22"/>
        </w:rPr>
        <w:t xml:space="preserve">means the grow Iowa values fund created in Iowa Code Supplement section </w:t>
      </w:r>
      <w:hyperlink r:id="rId212">
        <w:r>
          <w:rPr>
            <w:rStyle w:val="Hyperlink"/>
            <w:rFonts w:ascii="Times New Roman" w:hAnsi="Times New Roman"/>
            <w:b w:val="false"/>
            <w:i w:val="false"/>
            <w:color w:val="000000"/>
            <w:sz w:val="22"/>
          </w:rPr>
          <w:t>15G.108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“Nonqualified new job” </w:t>
      </w:r>
      <w:r>
        <w:rPr>
          <w:rFonts w:ascii="Times New Roman" w:hAnsi="Times New Roman"/>
          <w:b w:val="false"/>
          <w:i w:val="false"/>
          <w:color w:val="000000"/>
          <w:sz w:val="22"/>
        </w:rPr>
        <w:t>means any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job previously filled by the same employee 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job that was relocated from another location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job that is created as a result of a consolidation, merger, or restructuring of a business entity if the job does not represent a new job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new job”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“job creation” </w:t>
      </w:r>
      <w:r>
        <w:rPr>
          <w:rFonts w:ascii="Times New Roman" w:hAnsi="Times New Roman"/>
          <w:b w:val="false"/>
          <w:i w:val="false"/>
          <w:color w:val="000000"/>
          <w:sz w:val="22"/>
        </w:rPr>
        <w:t>means a job that meets all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 new full-time job that has not existed in the business within the previous 12 months 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filled by a new employee for at least 12 months.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filled by a resident of the state of Iowa.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not created as a result of a change in ownership.</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Was created on or after June 9,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business” </w:t>
      </w:r>
      <w:r>
        <w:rPr>
          <w:rFonts w:ascii="Times New Roman" w:hAnsi="Times New Roman"/>
          <w:b w:val="false"/>
          <w:i w:val="false"/>
          <w:color w:val="000000"/>
          <w:sz w:val="22"/>
        </w:rPr>
        <w:t>means a business which sells its product directly to a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“Retained qualified new job”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“job retention” </w:t>
      </w:r>
      <w:r>
        <w:rPr>
          <w:rFonts w:ascii="Times New Roman" w:hAnsi="Times New Roman"/>
          <w:b w:val="false"/>
          <w:i w:val="false"/>
          <w:color w:val="000000"/>
          <w:sz w:val="22"/>
        </w:rPr>
        <w:t>means the continued employment, after the first 12 months of employment, of the same employee in a qualified new job for another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business” </w:t>
      </w:r>
      <w:r>
        <w:rPr>
          <w:rFonts w:ascii="Times New Roman" w:hAnsi="Times New Roman"/>
          <w:b w:val="false"/>
          <w:i w:val="false"/>
          <w:color w:val="000000"/>
          <w:sz w:val="22"/>
        </w:rPr>
        <w:t>means a business which is not engaged in the sale of tangible personal property, and which provides services to a local consumer market and does not have a significant proportion of its sales coming from outside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501.25(2)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credit. </w:t>
      </w:r>
      <w:r>
        <w:rPr>
          <w:rFonts w:ascii="Times New Roman" w:hAnsi="Times New Roman"/>
          <w:b w:val="false"/>
          <w:i w:val="false"/>
          <w:color w:val="000000"/>
          <w:sz w:val="22"/>
        </w:rPr>
        <w:t>A business which is not a retail or service business may claim the wage-benefits tax credit which is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annual wages and benefits for the qualified new job equal less than 130 percent of the average county wage, the credit is 0 percent of the annual wage and benefits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annual wages and benefits for the qualified new job equal at least 130 percent but less than 160 percent of the average county wage, the credit is 5 percent of the annual wage and benefits paid for each qualified new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annual wages and benefits for the qualified new job equal at least 160 percent of the average county wage, the credit is 10 percent of the annual wage and benefits paid for each qualified new job.</w:t>
      </w:r>
    </w:p>
    <w:p>
      <w:pPr>
        <w:spacing w:before="0" w:after="0"/>
        <w:ind w:left="120"/>
        <w:jc w:val="both"/>
      </w:pPr>
      <w:r>
        <w:rPr>
          <w:rFonts w:ascii="Times New Roman" w:hAnsi="Times New Roman"/>
          <w:b w:val="false"/>
          <w:i w:val="false"/>
          <w:color w:val="000000"/>
          <w:sz w:val="22"/>
        </w:rPr>
        <w:t>If the business is a partnership, S corporation, limited liability company, or estate or trust electing to have the income taxed directly to the individual, an individual may claim the tax credit. The amount claimed by the individual shall be based upon the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501.25(3)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the tax credit, tax credit certificate and amount of tax credit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claim the wage-benefits tax credit, the business must submit an application to the department along with information on the qualified new job or retained qualified new job. The application cannot be submitted until the end of the twelfth month after the qualified job was filled. For example, if the new job was created on June 9, 2005, the application cannot be submitted until June 9, 2006. The following information must be submitted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federal identification number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activities of the business. If applicable, the proportion of the sales of the business which come from outside Iowa should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wages and benefits paid to each employee for each new job for the previous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computation of the amount of credit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address and state of residence of each new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that the qualified new job was 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indication of whether the job is a qualified new job or a retained qualified new job for which an application was filed for a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type of tax for which the credit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If the business is a partnership, S corporation, limited liability company, or estate or trust, a schedule of the partners, shareholders, members or beneficiaries. This schedule shall include the names, addresses and federal identification number of the partners, shareholders, members or beneficiaries, along with their percentage of the pro rata share of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the application, the department has 45 days either to approve or disapprove the application. If the department does not act on the application within 45 days, the application is deemed to be approved. If the department disapproves the application, the business may appeal the decision to the Iowa economic development board within 30 days of the notice of disapproval.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application is approved, or if the Iowa economic development board approves the application that was previously denied by the department, a tax credit certificate will be issued by the department to the business, subject to the availability of the amount of credits that may be issued. The tax credit certificate will contain the name, address and tax identification number of the business (or individual, estate or trust, if applicable), the date of the qualified new job(s), the wage and benefits paid for each job(s) for the 12-month period, the amount of the credit, the tax period for which the credit may be applied, and the type of tax for which the credit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tax credit certificates that are issued in a fiscal year cannot exceed $10 million for the fiscal year ending June 30, 2007, and shall not exceed $4 million for the fiscal years ending June 30, 2008, through June 30, 2011. The tax credit certificates are issued on a first-come, first-served basis. Therefore, if tax credit certificates have already been issued for the $10 million limit for the fiscal year ending June 30, 2007, any applications for tax credit certificates received after the $10 million limit has been reached will be denied. Similarly, if tax credit certificates have already been issued for the $4 million limit for the fiscal years ending June 30, 2008, through June 30, 2011, any applications for tax credit certificates received after the $4 million limit has been reached will be denied. If a business failed to receive all or a part of the tax credit due to the $10 million or $4 million limitation, the business may reapply for the tax credit for the retained new job for a subsequent tax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which qualifies for the tax credit for the fiscal year ending June 30, 2007, is eligible to receive the tax credit certificate for each of the fiscal years ending June 30, 2008, through June 30, 2011, subject to the $4 million limit for tax credits for the fiscal years ending June 30, 2008, through June 30, 2011, if the business retains the qualified new job during each of the fiscal years ending June 30, 2008, through June 30, 2011. The business must reapply by June 30 of each fiscal year for the tax credit, and the percentage of the wages and benefits allowed for the credit set forth in subrule </w:t>
      </w:r>
      <w:hyperlink r:id="rId213">
        <w:r>
          <w:rPr>
            <w:rStyle w:val="Hyperlink"/>
            <w:rFonts w:ascii="Times New Roman" w:hAnsi="Times New Roman"/>
            <w:b w:val="false"/>
            <w:i w:val="false"/>
            <w:color w:val="000000"/>
            <w:sz w:val="22"/>
          </w:rPr>
          <w:t>501.25(2)</w:t>
        </w:r>
      </w:hyperlink>
      <w:r>
        <w:rPr>
          <w:rFonts w:ascii="Times New Roman" w:hAnsi="Times New Roman"/>
          <w:b w:val="false"/>
          <w:i w:val="false"/>
          <w:color w:val="000000"/>
          <w:sz w:val="22"/>
        </w:rPr>
        <w:t xml:space="preserve"> for the first year is applicable for each subsequent period. Preference will be given in issuing tax credit certificates for those businesses that retain qualified new jobs, and preference will be given in the order in which applications were filed for the fiscal year ending June 30, 2007. Therefore, those businesses which received the first $4 million of tax credits for the year ending June 30, 2007, in which the qualified jobs were created will automatically receive a tax credit for the fiscal years ending June 30, 2008, through June 30, 2011, as long as the qualified jobs are retained and an application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the fiscal years ending June 30, 2008, through June 30, 2011, if credits become available because the jobs were not retained by businesses which received the first $4 million of credits for the year ending June 30, 2007, an application which was originally denied will be considered in the order in which the application was received for the fiscal year ending June 30, 2007.</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Wage-benefits tax credits of $4 million were issued for the fiscal year ending June 30, 2007, relating to applications filed between July 1, 2006, and March 31, 2007. For the next fiscal year ending June 30, 2008, the same businesses that received the $4 million in wage-benefits tax credits filed applications totaling $3 million for the retained jobs for which the application for the prior year was filed on or before March 31, 2007. The first $3 million of the available $4 million will be allowed to these same businesses. The remaining $1 million that is still available for the year ending June 30, 2008, will be allowed for those retained jobs for which applications for the prior year were filed starting on April 1, 2007, until the remaining $1 million in tax credits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may apply in writing to the Iowa economic development board for a waiver of the average wage and benefit requirement. See </w:t>
      </w:r>
      <w:hyperlink r:id="rId214">
        <w:r>
          <w:rPr>
            <w:rStyle w:val="Hyperlink"/>
            <w:rFonts w:ascii="Times New Roman" w:hAnsi="Times New Roman"/>
            <w:b w:val="false"/>
            <w:i w:val="false"/>
            <w:color w:val="000000"/>
            <w:sz w:val="22"/>
          </w:rPr>
          <w:t>261—subrule 68.3(2)</w:t>
        </w:r>
      </w:hyperlink>
      <w:r>
        <w:rPr>
          <w:rFonts w:ascii="Times New Roman" w:hAnsi="Times New Roman"/>
          <w:b w:val="false"/>
          <w:i w:val="false"/>
          <w:color w:val="000000"/>
          <w:sz w:val="22"/>
        </w:rPr>
        <w:t xml:space="preserve"> for more detail on the procedures to apply for a waiver of the wage and benefit requirement. If a waiver is granted, the business must provide the department with the waiver and it must be attached to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may receive other federal, state, and local incentives and tax credits in addition to the wage-benefits tax credit. However, a business that receives a wage-benefits tax credit cannot receive tax incentives under the high quality job creation program set forth in Iowa Code chapter </w:t>
      </w:r>
      <w:hyperlink r:id="rId215">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2005 Iowa Acts, chapter 150</w:t>
      </w:r>
      <w:r>
        <w:rPr>
          <w:rFonts w:ascii="Times New Roman" w:hAnsi="Times New Roman"/>
          <w:b w:val="false"/>
          <w:i w:val="false"/>
          <w:color w:val="000000"/>
          <w:sz w:val="22"/>
        </w:rPr>
        <w:t>, or moneys from the grow Iowa values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501.25(4)</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noninclusive examples illustrate how this 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Business A operates a grocery store and hires five new employees, each of whom will earn wages and benefits in excess of 130 percent of the average county wage. Business A would not qualify for the wage-benefits tax credit because Business A is a retail business.</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Business B operates an accounting firm and hires two new accountants, each of whom will earn wages and benefits in excess of 160 percent of the average county wage. The accounting firm provides services to clients wholly within Iowa. Business B would not qualify for the wage-benefits tax credit because it is a service business. The majority of its sales are generated from within the state of Iowa and thus Business B, because it is a service business, is not eligible for the credit.</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Business C operates a software development business and hires two new programmers, each of whom will earn wages and benefits in excess of 160 percent of the average county wage. Over 50 percent of the customers of Business C are located outside Iowa. Business C would qualify for the wage-benefits tax credit because a majority of its sales are coming from outside the state, even though Business C is engaged in the performance of services.</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Business D is a manufacturer that hires a new employee in Clayton County, Iowa, on July 8, 2005. The average county wage for Clayton County for the third quarter of 2005 is $11.86 per hour. If the average county wage per hour for Clayton County is $11.95 for the fourth quarter of 2005, $12.05 for the first quarter of 2006, and $12.14 for the second quarter of 2006, the annualized average county wage for this 12-month period is $12.00 per hour. This wage equates to an average annual wage of $24,960 ($12.00 × 40 hours × 52 weeks). In order to qualify for the 5 percent wage-benefits tax credit, the new employee must receive wages and benefits totaling $32,448 (130 percent of $24,960) for the 12-month period from July 8, 2005, through July 7, 2006. In order to qualify for the 10 percent wage-benefits tax credit, the new employee must receive wages and benefits totaling $39,936 (160 percent of $24,960) for the 12-month period from July 8, 2005, through July 7, 2006.</w:t>
      </w:r>
    </w:p>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Business E is a manufacturer that hires three new employees in Grundy County, Iowa, on July 1, 2005. If the average county wage for the 12-month period from July 1, 2005, through June 30, 2006, is $13.75 per hour in Grundy County, this wage equates to an average county wage of $28,600. The wages and benefits for each of these three new employees is $40,000 for the period from July 1, 2005, through June 30, 2006, which is 140 percent of the average county wage. Business E is entitled to a wage-benefits tax credit of $2,000 for each employee ($40,000 × 5 percent), for a total wage-benefits tax credit of $6,000. If Business E files on a calendar-year basis, the $6,000 wage-benefits tax credit can be claimed on the tax return for the period ending December 31, 2006.</w:t>
      </w:r>
    </w:p>
    <w:p>
      <w:pPr>
        <w:spacing w:before="0" w:after="0"/>
        <w:ind w:left="120"/>
        <w:jc w:val="both"/>
      </w:pPr>
      <w:r>
        <w:rPr>
          <w:rFonts w:ascii="Times New Roman" w:hAnsi="Times New Roman"/>
          <w:b w:val="false"/>
          <w:i w:val="false"/>
          <w:color w:val="000000"/>
          <w:sz w:val="22"/>
        </w:rPr>
        <w:t xml:space="preserve">EXAMPLE 6: </w:t>
      </w:r>
      <w:r>
        <w:rPr>
          <w:rFonts w:ascii="Times New Roman" w:hAnsi="Times New Roman"/>
          <w:b w:val="false"/>
          <w:i w:val="false"/>
          <w:color w:val="000000"/>
          <w:sz w:val="22"/>
        </w:rPr>
        <w:t>Business F is a manufacturer that hires ten new employees on July 1, 2005, and qualifies for the wage-benefits tax credit because the wages and benefits paid exceed 130 percent of the average county wage. Business F receives a wage-benefits tax credit in July 2006 for these ten employees, which can be used on the tax return for the period ending December 31, 2006. On August 31, 2006, two of the employees leave the business and are replaced by two new employees. Business F is entitled to a wage-benefits tax credit for only eight employees in July 2007 because only eight employees continued employment for the subsequent 12 months, which meets the definition of a retained qualified new job. Business F cannot request a wage-benefits tax credit for the two employees hired on August 31, 2006. Business F cannot request the wage-benefits tax credit because these two full-time jobs existed in the business within the previous 12 months in Iowa, and these jobs do not meet the definition of a qualified new job or retained qualified new job.</w:t>
      </w:r>
    </w:p>
    <w:p>
      <w:pPr>
        <w:spacing w:before="0" w:after="0"/>
        <w:ind w:left="120"/>
        <w:jc w:val="both"/>
      </w:pPr>
      <w:r>
        <w:rPr>
          <w:rFonts w:ascii="Times New Roman" w:hAnsi="Times New Roman"/>
          <w:b w:val="false"/>
          <w:i w:val="false"/>
          <w:color w:val="000000"/>
          <w:sz w:val="22"/>
        </w:rPr>
        <w:t xml:space="preserve">EXAMPLE 7: </w:t>
      </w:r>
      <w:r>
        <w:rPr>
          <w:rFonts w:ascii="Times New Roman" w:hAnsi="Times New Roman"/>
          <w:b w:val="false"/>
          <w:i w:val="false"/>
          <w:color w:val="000000"/>
          <w:sz w:val="22"/>
        </w:rPr>
        <w:t>Business G is a manufacturer that hires ten new employees on July 1, 2005, and qualifies for the wage-benefits tax credit because the wages and benefits paid exceed 130 percent of the average county wage. Business G receives a wage-benefits tax credit in July 2006 for these ten employees equal to 5 percent of the wages and benefits paid. On October 1, 2006, Business G hires an additional five employees, each of whom receives wages and benefits in excess of 130 percent of the average county wage. Business G can apply for the wage-benefits tax credit on October 1, 2007, for these five employees, since these employees have now been employed for 12 months. However, the credit may not be allowed if more than $4 million of retained job applications is received for the fiscal year ending June 30, 2008.</w:t>
      </w:r>
    </w:p>
    <w:p>
      <w:pPr>
        <w:spacing w:before="0" w:after="0"/>
        <w:ind w:left="120"/>
        <w:jc w:val="both"/>
      </w:pPr>
      <w:r>
        <w:rPr>
          <w:rFonts w:ascii="Times New Roman" w:hAnsi="Times New Roman"/>
          <w:b w:val="false"/>
          <w:i w:val="false"/>
          <w:color w:val="000000"/>
          <w:sz w:val="22"/>
        </w:rPr>
        <w:t xml:space="preserve">EXAMPLE 8: </w:t>
      </w:r>
      <w:r>
        <w:rPr>
          <w:rFonts w:ascii="Times New Roman" w:hAnsi="Times New Roman"/>
          <w:b w:val="false"/>
          <w:i w:val="false"/>
          <w:color w:val="000000"/>
          <w:sz w:val="22"/>
        </w:rPr>
        <w:t>Assume the same facts as Example 6, except that the $10 million limit of tax credits has already been met for the fiscal year ending June 30, 2007, and Business F hired five new employees on August 31, 2006. Business F can apply for the wage-benefits tax credit for the three employees on August 31, 2007, a number which is above the ten full-time jobs originally created, but Business F may not receive the tax credit if more than $4 million of retained job applications is received for the fiscal year ending June 30, 2008.</w:t>
      </w:r>
    </w:p>
    <w:p>
      <w:pPr>
        <w:spacing w:before="0" w:after="0"/>
        <w:ind w:left="120"/>
        <w:jc w:val="both"/>
      </w:pPr>
      <w:r>
        <w:rPr>
          <w:rFonts w:ascii="Times New Roman" w:hAnsi="Times New Roman"/>
          <w:b w:val="false"/>
          <w:i w:val="false"/>
          <w:color w:val="000000"/>
          <w:sz w:val="22"/>
        </w:rPr>
        <w:t xml:space="preserve">EXAMPLE 9: </w:t>
      </w:r>
      <w:r>
        <w:rPr>
          <w:rFonts w:ascii="Times New Roman" w:hAnsi="Times New Roman"/>
          <w:b w:val="false"/>
          <w:i w:val="false"/>
          <w:color w:val="000000"/>
          <w:sz w:val="22"/>
        </w:rPr>
        <w:t>Assume the same facts as Example 7, except that the ten employees hired on July 1, 2005, by Business G received wages and benefits equal to 155 percent of the average county wage, and the five employees hired on October 1, 2006, by Business G received wages equal to 161 percent of the average county wage. Business G can apply for the tax credit on October 1, 2007, equal to 10 percent of the wages and benefits paid for the employees hired on October 1, 2006. On July 1, 2007, Business G can reapply for the tax credit equal to 5 percent of the wages and benefits paid only for the ten employees originally hired on July 1, 2005, even if the wages and benefits for these ten employees exceed 160 percent of the average county wage for the period from July 1, 2006, through June 30,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501.25(5)</w:t>
      </w:r>
      <w:r>
        <w:rPr>
          <w:rFonts w:ascii="Times New Roman" w:hAnsi="Times New Roman"/>
          <w:b w:val="false"/>
          <w:i w:val="false"/>
          <w:color w:val="000000"/>
          <w:sz w:val="22"/>
        </w:rPr>
        <w:t> </w:t>
      </w:r>
      <w:r>
        <w:rPr>
          <w:rFonts w:ascii="Times New Roman" w:hAnsi="Times New Roman"/>
          <w:b w:val="false"/>
          <w:i/>
          <w:color w:val="000000"/>
          <w:sz w:val="22"/>
        </w:rPr>
        <w:t xml:space="preserve">Repeal of the wage-benefits tax credit. </w:t>
      </w:r>
      <w:r>
        <w:rPr>
          <w:rFonts w:ascii="Times New Roman" w:hAnsi="Times New Roman"/>
          <w:b w:val="false"/>
          <w:i w:val="false"/>
          <w:color w:val="000000"/>
          <w:sz w:val="22"/>
        </w:rPr>
        <w:t xml:space="preserve">The wage-benefits tax credit is repealed effective July 1, 2008. However, the wage-benefits tax credit is still available through the fiscal year ending June 30, 2011, as provided in paragraphs </w:t>
      </w:r>
      <w:hyperlink r:id="rId216">
        <w:r>
          <w:rPr>
            <w:rStyle w:val="Hyperlink"/>
            <w:rFonts w:ascii="Times New Roman" w:hAnsi="Times New Roman"/>
            <w:b w:val="false"/>
            <w:i w:val="false"/>
            <w:color w:val="000000"/>
            <w:sz w:val="22"/>
          </w:rPr>
          <w:t>501.25(3)</w:t>
        </w:r>
      </w:hyperlink>
      <w:r>
        <w:rPr>
          <w:rFonts w:ascii="Times New Roman" w:hAnsi="Times New Roman"/>
          <w:b w:val="false"/>
          <w:i/>
          <w:color w:val="000000"/>
          <w:sz w:val="22"/>
        </w:rPr>
        <w:t>“d,”</w:t>
      </w:r>
      <w:r>
        <w:rPr>
          <w:rFonts w:ascii="Times New Roman" w:hAnsi="Times New Roman"/>
          <w:b w:val="false"/>
          <w:i w:val="false"/>
          <w:color w:val="000000"/>
          <w:sz w:val="22"/>
        </w:rPr>
        <w:t xml:space="preserve">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A business is not entitled to a wage-benefits tax credit for a qualified new job created on or after July 1, 2008.</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17">
        <w:r>
          <w:rPr>
            <w:rStyle w:val="Hyperlink"/>
            <w:rFonts w:ascii="Times New Roman" w:hAnsi="Times New Roman"/>
            <w:b w:val="false"/>
            <w:i w:val="false"/>
            <w:color w:val="000000"/>
            <w:sz w:val="22"/>
          </w:rPr>
          <w:t>15I</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House File 2700, section 167</w:t>
      </w:r>
      <w:r>
        <w:rPr>
          <w:rFonts w:ascii="Times New Roman" w:hAnsi="Times New Roman"/>
          <w:b w:val="false"/>
          <w:i w:val="false"/>
          <w:color w:val="000000"/>
          <w:sz w:val="22"/>
        </w:rPr>
        <w:t xml:space="preserve">, and Iowa Code section </w:t>
      </w:r>
      <w:hyperlink r:id="rId218">
        <w:r>
          <w:rPr>
            <w:rStyle w:val="Hyperlink"/>
            <w:rFonts w:ascii="Times New Roman" w:hAnsi="Times New Roman"/>
            <w:b w:val="false"/>
            <w:i w:val="false"/>
            <w:color w:val="000000"/>
            <w:sz w:val="22"/>
          </w:rPr>
          <w:t>422.33(18)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701—501.26</w:t>
      </w:r>
      <w:r>
        <w:rPr>
          <w:rFonts w:ascii="Times New Roman" w:hAnsi="Times New Roman"/>
          <w:b/>
          <w:i w:val="false"/>
          <w:color w:val="000000"/>
          <w:sz w:val="22"/>
        </w:rPr>
        <w:t xml:space="preserve">(422,476B) </w:t>
      </w:r>
      <w:r>
        <w:rPr>
          <w:rFonts w:ascii="Times New Roman" w:hAnsi="Times New Roman"/>
          <w:b/>
          <w:i w:val="false"/>
          <w:color w:val="000000"/>
          <w:sz w:val="22"/>
        </w:rPr>
        <w:t xml:space="preserve">Wind energy production tax credit. </w:t>
      </w:r>
      <w:r>
        <w:rPr>
          <w:rFonts w:ascii="Times New Roman" w:hAnsi="Times New Roman"/>
          <w:b w:val="false"/>
          <w:i w:val="false"/>
          <w:color w:val="000000"/>
          <w:sz w:val="22"/>
        </w:rPr>
        <w:t xml:space="preserve">Effective for tax years beginning on or after July 1, 2006, an owner of a qualified wind energy production facility that has been approved by the Iowa utilities board may claim a wind energy production tax credit for qualified electricity sold by the owner or used for on-site consumption against a taxpayer’s Iowa corporation income tax liability. The administrative rules for the certification of eligibility for the wind energy production tax credit for the Iowa utilities board may be found in rule </w:t>
      </w:r>
      <w:hyperlink r:id="rId219">
        <w:r>
          <w:rPr>
            <w:rStyle w:val="Hyperlink"/>
            <w:rFonts w:ascii="Times New Roman" w:hAnsi="Times New Roman"/>
            <w:b w:val="false"/>
            <w:i w:val="false"/>
            <w:color w:val="000000"/>
            <w:sz w:val="22"/>
          </w:rPr>
          <w:t>199—15.18</w:t>
        </w:r>
      </w:hyperlink>
      <w:r>
        <w:rPr>
          <w:rFonts w:ascii="Times New Roman" w:hAnsi="Times New Roman"/>
          <w:b w:val="false"/>
          <w:i w:val="false"/>
          <w:color w:val="000000"/>
          <w:sz w:val="22"/>
        </w:rPr>
        <w:t>(476B).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501.26(1)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review process for the wind energy production tax credit. </w:t>
      </w:r>
      <w:r>
        <w:rPr>
          <w:rFonts w:ascii="Times New Roman" w:hAnsi="Times New Roman"/>
          <w:b w:val="false"/>
          <w:i w:val="false"/>
          <w:color w:val="000000"/>
          <w:sz w:val="22"/>
        </w:rPr>
        <w:t xml:space="preserve">An owner of a wind energy production facility must be approved by the Iowa utilities board in order to qualify for the wind energy production tax credit. The facility must be an electrical production facility that produces electricity from wind, is located in Iowa, and must be placed in service on or after July 1, 2005, but before July 1, 2012. For applications filed on or after March 1, 2008, a facility must consist of one or more wind turbines which have a combined nameplate generating capacity of at least 2 megawatts and no more than 30 megawatts. For applications filed on or after July 1, 2009, by a private college or university, community college, institution under the control of the state board of regents, public or accredited nonpublic elementary and secondary school, or public hospital as defined in Iowa Code section </w:t>
      </w:r>
      <w:hyperlink r:id="rId220">
        <w:r>
          <w:rPr>
            <w:rStyle w:val="Hyperlink"/>
            <w:rFonts w:ascii="Times New Roman" w:hAnsi="Times New Roman"/>
            <w:b w:val="false"/>
            <w:i w:val="false"/>
            <w:color w:val="000000"/>
            <w:sz w:val="22"/>
          </w:rPr>
          <w:t>249J.3</w:t>
        </w:r>
      </w:hyperlink>
      <w:r>
        <w:rPr>
          <w:rFonts w:ascii="Times New Roman" w:hAnsi="Times New Roman"/>
          <w:b w:val="false"/>
          <w:i w:val="false"/>
          <w:color w:val="000000"/>
          <w:sz w:val="22"/>
        </w:rPr>
        <w:t>, the facility must have a combined nameplate capacity of no less than ¾ of a megawatt.</w:t>
      </w:r>
    </w:p>
    <w:p>
      <w:pPr>
        <w:spacing w:before="0" w:after="0"/>
        <w:ind w:left="120"/>
        <w:jc w:val="both"/>
      </w:pPr>
      <w:r>
        <w:rPr>
          <w:rFonts w:ascii="Times New Roman" w:hAnsi="Times New Roman"/>
          <w:b w:val="false"/>
          <w:i w:val="false"/>
          <w:color w:val="000000"/>
          <w:sz w:val="22"/>
        </w:rPr>
        <w:t>The maximum amount of nameplate generating capacity for all qualified wind energy production facilities cannot exceed 50 megawatts of nameplate generating capacity. An owner shall not own more than two qualified facilities. A facility that is not operational within 18 months after issuance of the approval from the Iowa utilities board will no longer be considered a qualified facility. However, a facility that is not operational within 18 months due to the unavailability of necessary equipment shall be granted an additional 12 months to become operational.</w:t>
      </w:r>
    </w:p>
    <w:p>
      <w:pPr>
        <w:spacing w:before="0" w:after="0"/>
        <w:ind w:left="120"/>
        <w:jc w:val="both"/>
      </w:pPr>
      <w:r>
        <w:rPr>
          <w:rFonts w:ascii="Times New Roman" w:hAnsi="Times New Roman"/>
          <w:b w:val="false"/>
          <w:i w:val="false"/>
          <w:color w:val="000000"/>
          <w:sz w:val="22"/>
        </w:rPr>
        <w:t xml:space="preserve">An owner of the qualified facility must apply to the Iowa utilities board for the wind energy production tax credit. The application for the tax credit must be filed no later than 30 days after the close of the tax year for which the credit is applied. The information to be included in the application is set forth in </w:t>
      </w:r>
      <w:hyperlink r:id="rId221">
        <w:r>
          <w:rPr>
            <w:rStyle w:val="Hyperlink"/>
            <w:rFonts w:ascii="Times New Roman" w:hAnsi="Times New Roman"/>
            <w:b w:val="false"/>
            <w:i w:val="false"/>
            <w:color w:val="000000"/>
            <w:sz w:val="22"/>
          </w:rPr>
          <w:t>199—subrule 15.20(1)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501.26(2)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credit. </w:t>
      </w:r>
      <w:r>
        <w:rPr>
          <w:rFonts w:ascii="Times New Roman" w:hAnsi="Times New Roman"/>
          <w:b w:val="false"/>
          <w:i w:val="false"/>
          <w:color w:val="000000"/>
          <w:sz w:val="22"/>
        </w:rPr>
        <w:t>The wind energy production credit equals one cent multiplied by the number of kilowatt-hours of qualified electricity sold or used for on-site consumption by the owner during the tax year. For the first tax year in which the credit is applied, the kilowatt-hours of qualified electricity sold may exceed 12 months.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qualified facility was placed in service on April 1, 2006, and the taxpayer files on a calendar-year basis. The first year for which the credit can be claimed is the period ending December 31, 2007, since that is the first tax year that began on or after July 1, 2006. The credit for the 2007 tax year can include electricity sold between April 1, 2006, and December 31, 2007.</w:t>
      </w:r>
    </w:p>
    <w:p>
      <w:pPr>
        <w:spacing w:before="0" w:after="0"/>
        <w:ind w:left="120"/>
        <w:jc w:val="both"/>
      </w:pPr>
      <w:r>
        <w:rPr>
          <w:rFonts w:ascii="Times New Roman" w:hAnsi="Times New Roman"/>
          <w:b w:val="false"/>
          <w:i w:val="false"/>
          <w:color w:val="000000"/>
          <w:sz w:val="22"/>
        </w:rPr>
        <w:t xml:space="preserve">The credit is not allowed for any kilowatt-hours of electricity sold to a related person. The definition of “related person” uses the same criteria set forth in </w:t>
      </w:r>
      <w:r>
        <w:rPr>
          <w:rFonts w:ascii="Times New Roman" w:hAnsi="Times New Roman"/>
          <w:b w:val="false"/>
          <w:i w:val="false"/>
          <w:color w:val="000000"/>
          <w:sz w:val="22"/>
        </w:rPr>
        <w:t>Section 45(e)(4) of the Internal Revenue Code</w:t>
      </w:r>
      <w:r>
        <w:rPr>
          <w:rFonts w:ascii="Times New Roman" w:hAnsi="Times New Roman"/>
          <w:b w:val="false"/>
          <w:i w:val="false"/>
          <w:color w:val="000000"/>
          <w:sz w:val="22"/>
        </w:rPr>
        <w:t xml:space="preserve"> relating to the federal renewable electricity production credit. Persons shall be treated as related to each other if such persons are treated as a single employer under Treasury Regulation §1.52-1. In the case of a corporation that is a member of an affiliated group of corporations filing a federal consolidated return, such corporation shall be treated as selling electricity to an unrelated person if such electricity is sold to the person by another member of the affiliated group.</w:t>
      </w:r>
    </w:p>
    <w:p>
      <w:pPr>
        <w:spacing w:before="0" w:after="0"/>
        <w:ind w:left="120"/>
        <w:jc w:val="both"/>
      </w:pPr>
      <w:r>
        <w:rPr>
          <w:rFonts w:ascii="Times New Roman" w:hAnsi="Times New Roman"/>
          <w:b w:val="false"/>
          <w:i w:val="false"/>
          <w:color w:val="000000"/>
          <w:sz w:val="22"/>
        </w:rPr>
        <w:t xml:space="preserve">The utilities board will notify the department of the number of kilowatt-hours of electricity sold by the qualified facility or generated and used on site by the qualified facility during the tax year. The department will calculate the credit and issue a tax credit certificate to the owner. The tax credit certificate will include the taxpayer’s name, address and federal identification number, the tax type for which the credit will be claimed, the amount of the credit and the tax year for which the credit may be claimed. In addition, the tax credit certificate will include a place for the name and tax identification number of a transferee and the amount of the tax credit certificate, as provided in subrule </w:t>
      </w:r>
      <w:hyperlink r:id="rId222">
        <w:r>
          <w:rPr>
            <w:rStyle w:val="Hyperlink"/>
            <w:rFonts w:ascii="Times New Roman" w:hAnsi="Times New Roman"/>
            <w:b w:val="false"/>
            <w:i w:val="false"/>
            <w:color w:val="000000"/>
            <w:sz w:val="22"/>
          </w:rPr>
          <w:t>501.26(3)</w:t>
        </w:r>
      </w:hyperlink>
      <w:r>
        <w:rPr>
          <w:rFonts w:ascii="Times New Roman" w:hAnsi="Times New Roman"/>
          <w:b w:val="false"/>
          <w:i w:val="false"/>
          <w:color w:val="000000"/>
          <w:sz w:val="22"/>
        </w:rPr>
        <w:t xml:space="preserve">. If the department refuses to issue the tax credit certificate, the taxpayer shall be notified in writing and the taxpayer will have 60 days from the date of denial to file a protest in accordance with rule </w:t>
      </w:r>
      <w:hyperlink r:id="rId223">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 xml:space="preserve">(17A). The department will not issue a tax credit certificate if the facility is not operational within 18 months after approval was given by the utilities board, unless a 12-month extension is granted by the utilities board as provided in subrule </w:t>
      </w:r>
      <w:hyperlink r:id="rId224">
        <w:r>
          <w:rPr>
            <w:rStyle w:val="Hyperlink"/>
            <w:rFonts w:ascii="Times New Roman" w:hAnsi="Times New Roman"/>
            <w:b w:val="false"/>
            <w:i w:val="false"/>
            <w:color w:val="000000"/>
            <w:sz w:val="22"/>
          </w:rPr>
          <w:t>501.26(1)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If the taxpayer is a partnership, limited liability company, S corporation, or estate or trust requesting a credit for individual or corporation income tax, the tax credit certificate will be issued to the partners, members, shareholders or beneficiaries based on the partner’s, member’s, shareholder’s or beneficiary’s pro rata share of earnings of the partnership, limited liability company, S corporation, or estate or trust, except when the taxpayer is eligible to receive renewable electricity production tax credits authorized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In cases where the taxpayer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the partnership, limited liability company or S corporation may designate the amount of the tax credit to be allocated to each partner, member or shareholder. In addition, if a taxpayer is a partnership, limited liability company, S corporation, or estate or trust that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the taxpayer may distribute the tax credit to an equity holder or beneficiary as a liquidating distribution or portion thereof, of an equity holder’s interest in the partnership, limited liability company or S corporation, or the beneficiary’s interest in the estate or trust.</w:t>
      </w:r>
    </w:p>
    <w:p>
      <w:pPr>
        <w:spacing w:before="0" w:after="0"/>
        <w:ind w:left="120"/>
        <w:jc w:val="both"/>
      </w:pPr>
      <w:r>
        <w:rPr>
          <w:rFonts w:ascii="Times New Roman" w:hAnsi="Times New Roman"/>
          <w:b w:val="false"/>
          <w:i w:val="false"/>
          <w:color w:val="000000"/>
          <w:sz w:val="22"/>
        </w:rPr>
        <w:t>The credit can be allowed for a ten-year period beginning on the date the qualified facility was originally placed in service. For example, if a facility was placed in service on April 1, 2006, the credit can be claimed for kilowatt-hours of electricity sold between April 1, 2006, and March 31, 2016.</w:t>
      </w:r>
    </w:p>
    <w:p>
      <w:pPr>
        <w:spacing w:before="0" w:after="0"/>
        <w:ind w:left="120"/>
        <w:jc w:val="both"/>
      </w:pPr>
      <w:r>
        <w:rPr>
          <w:rFonts w:ascii="Times New Roman" w:hAnsi="Times New Roman"/>
          <w:b w:val="false"/>
          <w:i w:val="false"/>
          <w:color w:val="000000"/>
          <w:sz w:val="22"/>
        </w:rPr>
        <w:t>To claim the tax credit, the taxpayer must include the tax credit certificate with the tax return for the tax year set forth on the certificate. Any tax credit in excess of the tax liability may be carried forward for seven years or until it is used, whichever is the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501.26(3)</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wind energy production tax credit certificate. </w:t>
      </w:r>
      <w:r>
        <w:rPr>
          <w:rFonts w:ascii="Times New Roman" w:hAnsi="Times New Roman"/>
          <w:b w:val="false"/>
          <w:i w:val="false"/>
          <w:color w:val="000000"/>
          <w:sz w:val="22"/>
        </w:rPr>
        <w:t>The wind energy production tax credit certificate may be transferred to any person or entity.</w:t>
      </w:r>
    </w:p>
    <w:p>
      <w:pPr>
        <w:spacing w:before="0" w:after="0"/>
        <w:ind w:left="120"/>
        <w:jc w:val="both"/>
      </w:pPr>
      <w:r>
        <w:rPr>
          <w:rFonts w:ascii="Times New Roman" w:hAnsi="Times New Roman"/>
          <w:b w:val="false"/>
          <w:i w:val="false"/>
          <w:color w:val="000000"/>
          <w:sz w:val="22"/>
        </w:rPr>
        <w:t>Within 30 days of transfer of the tax credit certificate, the transferee must submit the transferred tax credit certificate to the department, along with a statement which contains the transferee’s name, address and tax identification number and the amount of the tax credit being transferred. Within 30 days of receiving the transferred tax credit certificate and the statement from the transferee, the department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wind energy production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and the same expiration date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5">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and chapter </w:t>
      </w:r>
      <w:hyperlink r:id="rId226">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2011 Iowa Acts, House File 672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701—501.27</w:t>
      </w:r>
      <w:r>
        <w:rPr>
          <w:rFonts w:ascii="Times New Roman" w:hAnsi="Times New Roman"/>
          <w:b/>
          <w:i w:val="false"/>
          <w:color w:val="000000"/>
          <w:sz w:val="22"/>
        </w:rPr>
        <w:t xml:space="preserve">(422,476C) </w:t>
      </w:r>
      <w:r>
        <w:rPr>
          <w:rFonts w:ascii="Times New Roman" w:hAnsi="Times New Roman"/>
          <w:b/>
          <w:i w:val="false"/>
          <w:color w:val="000000"/>
          <w:sz w:val="22"/>
        </w:rPr>
        <w:t xml:space="preserve">Renewable energy tax credit. </w:t>
      </w:r>
      <w:r>
        <w:rPr>
          <w:rFonts w:ascii="Times New Roman" w:hAnsi="Times New Roman"/>
          <w:b w:val="false"/>
          <w:i w:val="false"/>
          <w:color w:val="000000"/>
          <w:sz w:val="22"/>
        </w:rPr>
        <w:t xml:space="preserve">Effective for tax years beginning on or after July 1, 2006, a purchaser or producer of renewable energy whose facility has been approved by the Iowa utilities board may claim a renewable energy tax credit for qualified renewable energy against a taxpayer’s Iowa corporation income tax liability.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501.27(1)</w:t>
      </w:r>
      <w:r>
        <w:rPr>
          <w:rFonts w:ascii="Times New Roman" w:hAnsi="Times New Roman"/>
          <w:b w:val="false"/>
          <w:i w:val="false"/>
          <w:color w:val="000000"/>
          <w:sz w:val="22"/>
        </w:rPr>
        <w:t> </w:t>
      </w:r>
      <w:r>
        <w:rPr>
          <w:rFonts w:ascii="Times New Roman" w:hAnsi="Times New Roman"/>
          <w:b w:val="false"/>
          <w:i/>
          <w:color w:val="000000"/>
          <w:sz w:val="22"/>
        </w:rPr>
        <w:t xml:space="preserve">Eligible facility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facility application process, generally. </w:t>
      </w:r>
      <w:r>
        <w:rPr>
          <w:rFonts w:ascii="Times New Roman" w:hAnsi="Times New Roman"/>
          <w:b w:val="false"/>
          <w:i w:val="false"/>
          <w:color w:val="000000"/>
          <w:sz w:val="22"/>
        </w:rPr>
        <w:t xml:space="preserve">A producer or purchaser of a renewable energy facility must be approved as an eligible renewable energy facility by the Iowa utilities board in order to qualify for the renewable energy tax credit. The eligible renewable energy facility can be a wind energy conversion facility, biogas recovery facility, biomass conversion facility, methane gas recovery facility, solar energy conversion facility or refuse conversion facility. The facility must be located in Iowa and placed in service on or after July 1, 2005, and before January 1, 2018. The administrative rules for the certification of eligibility for the renewable energy tax credit for the Iowa utilities board may be found in rule </w:t>
      </w:r>
      <w:hyperlink r:id="rId227">
        <w:r>
          <w:rPr>
            <w:rStyle w:val="Hyperlink"/>
            <w:rFonts w:ascii="Times New Roman" w:hAnsi="Times New Roman"/>
            <w:b w:val="false"/>
            <w:i w:val="false"/>
            <w:color w:val="000000"/>
            <w:sz w:val="22"/>
          </w:rPr>
          <w:t>199—15.19</w:t>
        </w:r>
      </w:hyperlink>
      <w:r>
        <w:rPr>
          <w:rFonts w:ascii="Times New Roman" w:hAnsi="Times New Roman"/>
          <w:b w:val="false"/>
          <w:i w:val="false"/>
          <w:color w:val="000000"/>
          <w:sz w:val="22"/>
        </w:rPr>
        <w:t>(476C).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Limitations on maximum energy production and nameplate generating capacity. </w:t>
      </w:r>
      <w:r>
        <w:rPr>
          <w:rFonts w:ascii="Times New Roman" w:hAnsi="Times New Roman"/>
          <w:b w:val="false"/>
          <w:i w:val="false"/>
          <w:color w:val="000000"/>
          <w:sz w:val="22"/>
        </w:rPr>
        <w:t xml:space="preserve">The maximum amount of nameplate generating capacity of all wind energy conversion facilities cannot exceed 363 megawatts of nameplate generating capacity. For tax years beginning prior to January 1, 2015, the maximum amount of energy production capacity for biogas recovery facilities, biomass conversion facilities, methane gas recovery facilities, solar energy conversion facilities and refuse conversion facilities cannot exceed a combined output of 53 megawatts of nameplate generating capacity and 167 billion British thermal units of heat for a commercial purpose. For tax years beginning on or after January 1, 2015, the maximum amount of energy production for biogas recovery facilities, biomass conversion facilities, methane gas recovery facilities, solar energy conversion facilities and refuse conversion facilities cannot exceed a combined output of 63 megawatts of nameplate generating capacity and, annually, 167 billion British thermal units of heat for a commercial purpose. A facility that is not operational within 30 months after issuance of approval from the utilities board will no longer be considered a qualified facility. However, if the facility is a wind energy conversion property and is not operational within 18 months due to the unavailability of necessary equipment, the facility may apply for a 12-month extension of the 30-month limit. Extensions can be renewed for succeeding 12-month periods if the facility applies for the extension prior to expiration of the current extension period. A producer of renewable energy, which is the person who owns the renewable energy facility, cannot own more than two eligible renewable energy facilities. A person that has an equity interest equal to or greater than 51 percent in an eligible renewable energy facility cannot have an equity interest greater than 10 percent in any other renewable energy facility. However, for tax years beginning on or after January 1, 2015, an entity described in Iowa Code section </w:t>
      </w:r>
      <w:hyperlink r:id="rId228">
        <w:r>
          <w:rPr>
            <w:rStyle w:val="Hyperlink"/>
            <w:rFonts w:ascii="Times New Roman" w:hAnsi="Times New Roman"/>
            <w:b w:val="false"/>
            <w:i w:val="false"/>
            <w:color w:val="000000"/>
            <w:sz w:val="22"/>
          </w:rPr>
          <w:t>476C.1(6)</w:t>
        </w:r>
      </w:hyperlink>
      <w:r>
        <w:rPr>
          <w:rFonts w:ascii="Times New Roman" w:hAnsi="Times New Roman"/>
          <w:b w:val="false"/>
          <w:i/>
          <w:color w:val="000000"/>
          <w:sz w:val="22"/>
        </w:rPr>
        <w:t>“b”</w:t>
      </w:r>
      <w:r>
        <w:rPr>
          <w:rFonts w:ascii="Times New Roman" w:hAnsi="Times New Roman"/>
          <w:b w:val="false"/>
          <w:i w:val="false"/>
          <w:color w:val="000000"/>
          <w:sz w:val="22"/>
        </w:rPr>
        <w:t xml:space="preserve">(4) or (5) may have an ownership interest in up to four solar energy conversion facilities described in Iowa Code section </w:t>
      </w:r>
      <w:hyperlink r:id="rId229">
        <w:r>
          <w:rPr>
            <w:rStyle w:val="Hyperlink"/>
            <w:rFonts w:ascii="Times New Roman" w:hAnsi="Times New Roman"/>
            <w:b w:val="false"/>
            <w:i w:val="false"/>
            <w:color w:val="000000"/>
            <w:sz w:val="22"/>
          </w:rPr>
          <w:t>476C.3(4)</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501.27(2)</w:t>
      </w:r>
      <w:r>
        <w:rPr>
          <w:rFonts w:ascii="Times New Roman" w:hAnsi="Times New Roman"/>
          <w:b w:val="false"/>
          <w:i w:val="false"/>
          <w:color w:val="000000"/>
          <w:sz w:val="22"/>
        </w:rPr>
        <w:t> </w:t>
      </w:r>
      <w:r>
        <w:rPr>
          <w:rFonts w:ascii="Times New Roman" w:hAnsi="Times New Roman"/>
          <w:b w:val="false"/>
          <w:i/>
          <w:color w:val="000000"/>
          <w:sz w:val="22"/>
        </w:rPr>
        <w:t xml:space="preserve">Tax credit certificate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Tax credit application process. </w:t>
      </w:r>
      <w:r>
        <w:rPr>
          <w:rFonts w:ascii="Times New Roman" w:hAnsi="Times New Roman"/>
          <w:b w:val="false"/>
          <w:i w:val="false"/>
          <w:color w:val="000000"/>
          <w:sz w:val="22"/>
        </w:rPr>
        <w:t xml:space="preserve">A producer or purchaser of a renewable energy facility must apply to the utilities board for the renewable energy tax credit. The application for the tax credit must be filed no later than 30 days after the close of the tax year for which the credit is applied. The information to be included in the application is set forth in </w:t>
      </w:r>
      <w:hyperlink r:id="rId230">
        <w:r>
          <w:rPr>
            <w:rStyle w:val="Hyperlink"/>
            <w:rFonts w:ascii="Times New Roman" w:hAnsi="Times New Roman"/>
            <w:b w:val="false"/>
            <w:i w:val="false"/>
            <w:color w:val="000000"/>
            <w:sz w:val="22"/>
          </w:rPr>
          <w:t>199—subrule 15.21(1)</w:t>
        </w:r>
      </w:hyperlink>
      <w:r>
        <w:rPr>
          <w:rFonts w:ascii="Times New Roman" w:hAnsi="Times New Roman"/>
          <w:b w:val="false"/>
          <w:i w:val="false"/>
          <w:color w:val="000000"/>
          <w:sz w:val="22"/>
        </w:rPr>
        <w:t>. The utilities board will notify the department of the number of kilowatt-hours, standard cubic feet or British thermal units that were generated and purchased from an eligible facility or used for on-site consumption by the producer during the tax year for which the credit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 credit calculation. </w:t>
      </w:r>
      <w:r>
        <w:rPr>
          <w:rFonts w:ascii="Times New Roman" w:hAnsi="Times New Roman"/>
          <w:b w:val="false"/>
          <w:i w:val="false"/>
          <w:color w:val="000000"/>
          <w:sz w:val="22"/>
        </w:rPr>
        <w:t xml:space="preserve">The department shall calculate the amount of the credit for which the applicant is eligible in accordance with subrules </w:t>
      </w:r>
      <w:hyperlink r:id="rId231">
        <w:r>
          <w:rPr>
            <w:rStyle w:val="Hyperlink"/>
            <w:rFonts w:ascii="Times New Roman" w:hAnsi="Times New Roman"/>
            <w:b w:val="false"/>
            <w:i w:val="false"/>
            <w:color w:val="000000"/>
            <w:sz w:val="22"/>
          </w:rPr>
          <w:t>501.27(3)</w:t>
        </w:r>
      </w:hyperlink>
      <w:r>
        <w:rPr>
          <w:rFonts w:ascii="Times New Roman" w:hAnsi="Times New Roman"/>
          <w:b w:val="false"/>
          <w:i w:val="false"/>
          <w:color w:val="000000"/>
          <w:sz w:val="22"/>
        </w:rPr>
        <w:t xml:space="preserve"> and </w:t>
      </w:r>
      <w:hyperlink r:id="rId232">
        <w:r>
          <w:rPr>
            <w:rStyle w:val="Hyperlink"/>
            <w:rFonts w:ascii="Times New Roman" w:hAnsi="Times New Roman"/>
            <w:b w:val="false"/>
            <w:i w:val="false"/>
            <w:color w:val="000000"/>
            <w:sz w:val="22"/>
          </w:rPr>
          <w:t>501.27(4)</w:t>
        </w:r>
      </w:hyperlink>
      <w:r>
        <w:rPr>
          <w:rFonts w:ascii="Times New Roman" w:hAnsi="Times New Roman"/>
          <w:b w:val="false"/>
          <w:i w:val="false"/>
          <w:color w:val="000000"/>
          <w:sz w:val="22"/>
        </w:rPr>
        <w:t xml:space="preserve"> and shall issue a tax credit certificate for that amount or shall notify the applicant in writing of its refusal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Tax credit certificate issuance. </w:t>
      </w:r>
      <w:r>
        <w:rPr>
          <w:rFonts w:ascii="Times New Roman" w:hAnsi="Times New Roman"/>
          <w:b w:val="false"/>
          <w:i w:val="false"/>
          <w:color w:val="000000"/>
          <w:sz w:val="22"/>
        </w:rPr>
        <w:t xml:space="preserve">The tax credit certificate will include the taxpayer’s name, address and federal identification number; the tax type for which the credit will be claimed; the amount of the credit; and the tax year for which the credit may be claimed. In addition, the tax credit certificate will include a place for the name and tax identification number of a transferee and the amount of the tax credit certificate, as provided in subrule </w:t>
      </w:r>
      <w:hyperlink r:id="rId233">
        <w:r>
          <w:rPr>
            <w:rStyle w:val="Hyperlink"/>
            <w:rFonts w:ascii="Times New Roman" w:hAnsi="Times New Roman"/>
            <w:b w:val="false"/>
            <w:i w:val="false"/>
            <w:color w:val="000000"/>
            <w:sz w:val="22"/>
          </w:rPr>
          <w:t>501.27(5)</w:t>
        </w:r>
      </w:hyperlink>
      <w:r>
        <w:rPr>
          <w:rFonts w:ascii="Times New Roman" w:hAnsi="Times New Roman"/>
          <w:b w:val="false"/>
          <w:i w:val="false"/>
          <w:color w:val="000000"/>
          <w:sz w:val="22"/>
        </w:rPr>
        <w:t xml:space="preserve">. Once a tax credit certificate is issued pursuant to Iowa Code chapter </w:t>
      </w:r>
      <w:hyperlink r:id="rId234">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it shall not be terminated or rescinded.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Taxpayers that are partnerships, limited liability companies, S corporations, or estates or trusts. </w:t>
      </w:r>
      <w:r>
        <w:rPr>
          <w:rFonts w:ascii="Times New Roman" w:hAnsi="Times New Roman"/>
          <w:b w:val="false"/>
          <w:i w:val="false"/>
          <w:color w:val="000000"/>
          <w:sz w:val="22"/>
        </w:rPr>
        <w:t xml:space="preserve">If the taxpayer is a partnership, limited liability company, S corporation, or estate or trust requesting a credit for individual or corporation income tax, the tax credit certificate will be issued to the partners, members, shareholders or beneficiaries based on the partner’s, member’s, shareholder’s or beneficiary’s pro rata share of earnings of the partnership, limited liability company, S corporation, or estate or trust, except when the taxpayer is eligible to receive renewable electricity production tax credits authorized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In cases where the taxpayer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the partnership, limited liability company or S corporation may designate the amount of the tax credit to be allocated to each partner, member or shareholder. In addition, if a taxpayer is a partnership, limited liability company, S corporation, or estate or trust that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the taxpayer may distribute the tax credit to an equity holder or beneficiary as a liquidating distribution, or portion thereof, of an equity holder’s interest in the partnership, limited liability company or S corporation or of the beneficiary’s interest in the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To claim the tax credit, the taxpayer must include the tax credit certificate with the tax return for the tax period set forth on the certificate. Any tax credit in excess of the tax liability may be carried forward for seven years or until it is used, whichever is the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501.27(3)</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Energy production. </w:t>
      </w:r>
      <w:r>
        <w:rPr>
          <w:rFonts w:ascii="Times New Roman" w:hAnsi="Times New Roman"/>
          <w:b w:val="false"/>
          <w:i w:val="false"/>
          <w:color w:val="000000"/>
          <w:sz w:val="22"/>
        </w:rPr>
        <w:t>Of the maximum amount of energy production capacity equivalent for biogas recovery facilities, biomass conversion facilities, methane gas recovery facilities, solar energy conversion facilities and refuse conversion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 single facility may be allocated more than ten megawatts of nameplate generating capacity or energy production capacity equivalent.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on or after January 1, 2015, ten megawatts of nameplate generating capacity or energy production capacity equivalent shall be reserved for solar energy conversion facilities described in Iowa Code section </w:t>
      </w:r>
      <w:hyperlink r:id="rId235">
        <w:r>
          <w:rPr>
            <w:rStyle w:val="Hyperlink"/>
            <w:rFonts w:ascii="Times New Roman" w:hAnsi="Times New Roman"/>
            <w:b w:val="false"/>
            <w:i w:val="false"/>
            <w:color w:val="000000"/>
            <w:sz w:val="22"/>
          </w:rPr>
          <w:t>476C.3(4)</w:t>
        </w:r>
      </w:hyperlink>
      <w:r>
        <w:rPr>
          <w:rFonts w:ascii="Times New Roman" w:hAnsi="Times New Roman"/>
          <w:b w:val="false"/>
          <w:i/>
          <w:color w:val="000000"/>
          <w:sz w:val="22"/>
        </w:rPr>
        <w:t>“b”</w:t>
      </w:r>
      <w:r>
        <w:rPr>
          <w:rFonts w:ascii="Times New Roman" w:hAnsi="Times New Roman"/>
          <w:b w:val="false"/>
          <w:i w:val="false"/>
          <w:color w:val="000000"/>
          <w:sz w:val="22"/>
        </w:rPr>
        <w:t xml:space="preserve">(3) that have a generating capacity of one and one-half megawatts or 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2014, 55 billion British thermal units of heat for a commercial purpose shall be reserved annually for an eligible facility that is a refuse conversion facility for processed, engineered fuel from a multicounty solid waste management planning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2014, the maximum annual amount of energy production capacity for a single refuse conversion facility is 55 billion British thermal units of heat for a commercial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Related persons. </w:t>
      </w:r>
      <w:r>
        <w:rPr>
          <w:rFonts w:ascii="Times New Roman" w:hAnsi="Times New Roman"/>
          <w:b w:val="false"/>
          <w:i w:val="false"/>
          <w:color w:val="000000"/>
          <w:sz w:val="22"/>
        </w:rPr>
        <w:t>The credit is not allowed for any kilowatt-hours, standard cubic feet or British thermal units that are purchased from an eligible facility by a related person. Persons shall be treated as related to each other if either person owns an 80 percent or more equity interest in the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Operation. </w:t>
      </w:r>
      <w:r>
        <w:rPr>
          <w:rFonts w:ascii="Times New Roman" w:hAnsi="Times New Roman"/>
          <w:b w:val="false"/>
          <w:i w:val="false"/>
          <w:color w:val="000000"/>
          <w:sz w:val="22"/>
        </w:rPr>
        <w:t xml:space="preserve">The facility must be operational within 30 months after approval was given by the utilities board, unless a 12-month extension is granted by the utilities board as provided in subrule </w:t>
      </w:r>
      <w:hyperlink r:id="rId236">
        <w:r>
          <w:rPr>
            <w:rStyle w:val="Hyperlink"/>
            <w:rFonts w:ascii="Times New Roman" w:hAnsi="Times New Roman"/>
            <w:b w:val="false"/>
            <w:i w:val="false"/>
            <w:color w:val="000000"/>
            <w:sz w:val="22"/>
          </w:rPr>
          <w:t>501.27(1)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for persons that have received a credit under Iowa Code chapter </w:t>
      </w:r>
      <w:hyperlink r:id="rId237">
        <w:r>
          <w:rPr>
            <w:rStyle w:val="Hyperlink"/>
            <w:rFonts w:ascii="Times New Roman" w:hAnsi="Times New Roman"/>
            <w:b w:val="false"/>
            <w:i/>
            <w:color w:val="000000"/>
            <w:sz w:val="22"/>
          </w:rPr>
          <w:t>476B</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A person that has received a wind energy production tax credit pursuant to Iowa Code chapter </w:t>
      </w:r>
      <w:hyperlink r:id="rId238">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 xml:space="preserve"> may not be issued a renewable energy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Ten-year award limitation. </w:t>
      </w:r>
      <w:r>
        <w:rPr>
          <w:rFonts w:ascii="Times New Roman" w:hAnsi="Times New Roman"/>
          <w:b w:val="false"/>
          <w:i w:val="false"/>
          <w:color w:val="000000"/>
          <w:sz w:val="22"/>
        </w:rPr>
        <w:t>The credit is allowed for a ten-year period beginning on the date the purchaser first purchases renewable energy from a qualified facility or on the date the qualified facility first began producing renewable energy for on-site consumption. For example, if a renewable energy facility first began producing energy for on-site consumption on April 1, 2006, the credit can be claimed for kilowatt-hours, standard cubic feet or British thermal units generated and used for on-site consumption by the producer between April 1, 2006, and March 31, 2016. Tax credit certificates cannot be issued for renewable energy purchased or produced for on-site consumption after December 31, 2027.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501.27(4)</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credit. </w:t>
      </w:r>
      <w:r>
        <w:rPr>
          <w:rFonts w:ascii="Times New Roman" w:hAnsi="Times New Roman"/>
          <w:b w:val="false"/>
          <w:i w:val="false"/>
          <w:color w:val="000000"/>
          <w:sz w:val="22"/>
        </w:rPr>
        <w:t>The renewable energy tax credit equals 1½ cents per kilowatt-hour of electricity, or $1.44 per 1000 standard cubic feet of hydrogen fuel, or $4.50 per 1 million British thermal units of methane gas or other biogas used to generate electricity, or $4.50 per 1 million British thermal units of heat for a commercial purpose generated by and purchased from an eligible renewable energy facility or used for on-site consumption by the producer during the tax year. For the first tax year in which the credit is applied, the kilowatt-hours, standard cubic feet or British thermal units generated by and purchased from the facility or used for on-site consumption by the producer may exceed 12 months if the facility was operational for fewer than 12 months in its initial year of operation.</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qualified wind energy production facility was placed in service on April 1, 2006, and the taxpayer files on a calendar-year basis. The first year for which the credit can be claimed is the year ending December 31, 2007, since that is the first tax year that began on or after July 1, 2006. The credit for the 2007 tax year can include electricity generated and purchased or used for on-site consumption by the producer between April 1, 2006, and December 31,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501.27(5)</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renewable energy tax credit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One-transfer limitation. </w:t>
      </w:r>
      <w:r>
        <w:rPr>
          <w:rFonts w:ascii="Times New Roman" w:hAnsi="Times New Roman"/>
          <w:b w:val="false"/>
          <w:i w:val="false"/>
          <w:color w:val="000000"/>
          <w:sz w:val="22"/>
        </w:rPr>
        <w:t>The renewable energy tax credit certificate may be transferred once to any person or entity. A decision between a producer and purchaser of renewable energy regarding who may claim the tax credit is not considered a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Transfer process—information required. </w:t>
      </w:r>
      <w:r>
        <w:rPr>
          <w:rFonts w:ascii="Times New Roman" w:hAnsi="Times New Roman"/>
          <w:b w:val="false"/>
          <w:i w:val="false"/>
          <w:color w:val="000000"/>
          <w:sz w:val="22"/>
        </w:rPr>
        <w:t>Within 30 days of transfer of the tax credit certificate, the transferee must submit the transferred tax credit certificate to the department, along with a statement which contains the transferee’s name, address and tax identification number; the amount of the tax credit being transferred; the value of any consideration provided by the transferee to the transferor; and any other information required by the department. Within 30 days of receiving the transferred tax credit certificate and the statement from the transferee, the department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renewable energy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and the same expiration date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Tax year. </w:t>
      </w:r>
      <w:r>
        <w:rPr>
          <w:rFonts w:ascii="Times New Roman" w:hAnsi="Times New Roman"/>
          <w:b w:val="false"/>
          <w:i w:val="false"/>
          <w:color w:val="000000"/>
          <w:sz w:val="22"/>
        </w:rPr>
        <w:t xml:space="preserve">The transferee may use the amount of the tax credit for any tax year for which the original transferor could have claimed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501.27(6)</w:t>
      </w:r>
      <w:r>
        <w:rPr>
          <w:rFonts w:ascii="Times New Roman" w:hAnsi="Times New Roman"/>
          <w:b w:val="false"/>
          <w:i w:val="false"/>
          <w:color w:val="000000"/>
          <w:sz w:val="22"/>
        </w:rPr>
        <w:t> </w:t>
      </w:r>
      <w:r>
        <w:rPr>
          <w:rFonts w:ascii="Times New Roman" w:hAnsi="Times New Roman"/>
          <w:b w:val="false"/>
          <w:i/>
          <w:color w:val="000000"/>
          <w:sz w:val="22"/>
        </w:rPr>
        <w:t xml:space="preserve">Small wind innovation zones. </w:t>
      </w:r>
      <w:r>
        <w:rPr>
          <w:rFonts w:ascii="Times New Roman" w:hAnsi="Times New Roman"/>
          <w:b w:val="false"/>
          <w:i w:val="false"/>
          <w:color w:val="000000"/>
          <w:sz w:val="22"/>
        </w:rPr>
        <w:t xml:space="preserve">Effective for tax years beginning on or after January 1, 2009, an owner of a small wind energy system operating within a small wind innovation zone which has been approved by the Iowa utilities board is eligible for the renewable energy tax credit. The administrative rules of the Iowa utilities board for the certification of eligibility for owners of small wind energy systems operating within a small wind innovation zone may be found in rule </w:t>
      </w:r>
      <w:hyperlink r:id="rId239">
        <w:r>
          <w:rPr>
            <w:rStyle w:val="Hyperlink"/>
            <w:rFonts w:ascii="Times New Roman" w:hAnsi="Times New Roman"/>
            <w:b w:val="false"/>
            <w:i w:val="false"/>
            <w:color w:val="000000"/>
            <w:sz w:val="22"/>
          </w:rPr>
          <w:t>199—15.22</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501.27(7)</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If the department refuses to issue the tax credit certificate, the taxpayer shall be notified in writing and the taxpayer will have 60 days from the date of denial to file a protest in accordance with rule </w:t>
      </w:r>
      <w:hyperlink r:id="rId240">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1">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and chapter </w:t>
      </w:r>
      <w:hyperlink r:id="rId242">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2015 Iowa Acts, chapter 124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2016 Iowa Acts, House File 2468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8605B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2772C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701—501.28</w:t>
      </w:r>
      <w:r>
        <w:rPr>
          <w:rFonts w:ascii="Times New Roman" w:hAnsi="Times New Roman"/>
          <w:b/>
          <w:i w:val="false"/>
          <w:color w:val="000000"/>
          <w:sz w:val="22"/>
        </w:rPr>
        <w:t xml:space="preserve">(15) </w:t>
      </w:r>
      <w:r>
        <w:rPr>
          <w:rFonts w:ascii="Times New Roman" w:hAnsi="Times New Roman"/>
          <w:b/>
          <w:i w:val="false"/>
          <w:color w:val="000000"/>
          <w:sz w:val="22"/>
        </w:rPr>
        <w:t xml:space="preserve">High quality job creation program. </w:t>
      </w:r>
      <w:r>
        <w:rPr>
          <w:rFonts w:ascii="Times New Roman" w:hAnsi="Times New Roman"/>
          <w:b w:val="false"/>
          <w:i w:val="false"/>
          <w:color w:val="000000"/>
          <w:sz w:val="22"/>
        </w:rPr>
        <w:t xml:space="preserve">Effective for tax periods ending on or after July 1, 2005, for programs approved on or after July 1, 2005, but before July 1, 2009, a business which qualifies under the high quality job creation program is eligible to receive tax credits. The high quality job creation program replaces the new jobs and income program and the new capital investment program. An eligible business under the high quality job creation program must be approved by the Iowa department of economic development and meet the qualifications of Iowa Code section </w:t>
      </w:r>
      <w:hyperlink r:id="rId243">
        <w:r>
          <w:rPr>
            <w:rStyle w:val="Hyperlink"/>
            <w:rFonts w:ascii="Times New Roman" w:hAnsi="Times New Roman"/>
            <w:b w:val="false"/>
            <w:i w:val="false"/>
            <w:color w:val="000000"/>
            <w:sz w:val="22"/>
          </w:rPr>
          <w:t>15.329</w:t>
        </w:r>
      </w:hyperlink>
      <w:r>
        <w:rPr>
          <w:rFonts w:ascii="Times New Roman" w:hAnsi="Times New Roman"/>
          <w:b w:val="false"/>
          <w:i w:val="false"/>
          <w:color w:val="000000"/>
          <w:sz w:val="22"/>
        </w:rPr>
        <w:t xml:space="preserve">. The administrative rules for the high quality job creation program for the Iowa department of economic development may be found at </w:t>
      </w:r>
      <w:hyperlink r:id="rId244">
        <w:r>
          <w:rPr>
            <w:rStyle w:val="Hyperlink"/>
            <w:rFonts w:ascii="Times New Roman" w:hAnsi="Times New Roman"/>
            <w:b w:val="false"/>
            <w:i w:val="false"/>
            <w:color w:val="000000"/>
            <w:sz w:val="22"/>
          </w:rPr>
          <w:t>261—Chapter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high quality job creation program was repealed on July 1, 2009, and has been replaced with the high quality jobs program. See rule </w:t>
      </w:r>
      <w:hyperlink r:id="rId245">
        <w:r>
          <w:rPr>
            <w:rStyle w:val="Hyperlink"/>
            <w:rFonts w:ascii="Times New Roman" w:hAnsi="Times New Roman"/>
            <w:b w:val="false"/>
            <w:i w:val="false"/>
            <w:color w:val="000000"/>
            <w:sz w:val="22"/>
          </w:rPr>
          <w:t>701—501.40</w:t>
        </w:r>
      </w:hyperlink>
      <w:r>
        <w:rPr>
          <w:rFonts w:ascii="Times New Roman" w:hAnsi="Times New Roman"/>
          <w:b w:val="false"/>
          <w:i w:val="false"/>
          <w:color w:val="000000"/>
          <w:sz w:val="22"/>
        </w:rPr>
        <w:t>(15) for information on the investment tax credit and additional research activities credit under the high quality jobs program. Any investment tax credit and additional research activities credit earned by businesses approved under the high quality job creation program prior to July 1, 2009, remains valid and can be claimed on tax returns filed after July 1, 2009.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501.28(1)</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An eligible business approved under the high quality job creation program is eligible for an additional research activities credit as subrule described in </w:t>
      </w:r>
      <w:hyperlink r:id="rId246">
        <w:r>
          <w:rPr>
            <w:rStyle w:val="Hyperlink"/>
            <w:rFonts w:ascii="Times New Roman" w:hAnsi="Times New Roman"/>
            <w:b w:val="false"/>
            <w:i w:val="false"/>
            <w:color w:val="000000"/>
            <w:sz w:val="22"/>
          </w:rPr>
          <w:t>501.7(4)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Research activities allowable for the Iowa research activities credit include expenses related to the development and deployment of innovative renewable energy generation components manufactured or assembled in Iowa; such expenses related to the development and deployment of innovative renewable energy generation components are not eligible for the federal credit for increasing research activities. For purposes of this subrule, innovative renewable energy generation components do not include components with more than 200 megawatts in installed effective nameplate capacity. The research activities credit related to renewable energy generation components under the high quality job creation program and the enterprise zone program shall not exceed $1 million in the aggregate.</w:t>
      </w:r>
    </w:p>
    <w:p>
      <w:pPr>
        <w:spacing w:before="0" w:after="0"/>
        <w:ind w:left="120"/>
        <w:jc w:val="both"/>
      </w:pPr>
      <w:r>
        <w:rPr>
          <w:rFonts w:ascii="Times New Roman" w:hAnsi="Times New Roman"/>
          <w:b w:val="false"/>
          <w:i w:val="false"/>
          <w:color w:val="000000"/>
          <w:sz w:val="22"/>
        </w:rPr>
        <w:t xml:space="preserve">These expenses related to the development and deployment of innovative renewable energy generation components are applicable only to the additional research activities credit set forth in this subrule and are not applicable to the research activities credit set forth in subrule </w:t>
      </w:r>
      <w:hyperlink r:id="rId247">
        <w:r>
          <w:rPr>
            <w:rStyle w:val="Hyperlink"/>
            <w:rFonts w:ascii="Times New Roman" w:hAnsi="Times New Roman"/>
            <w:b w:val="false"/>
            <w:i w:val="false"/>
            <w:color w:val="000000"/>
            <w:sz w:val="22"/>
          </w:rPr>
          <w:t>501.7(3)</w:t>
        </w:r>
      </w:hyperlink>
      <w:r>
        <w:rPr>
          <w:rFonts w:ascii="Times New Roman" w:hAnsi="Times New Roman"/>
          <w:b w:val="false"/>
          <w:i w:val="false"/>
          <w:color w:val="000000"/>
          <w:sz w:val="22"/>
        </w:rPr>
        <w:t xml:space="preserve">. The research activities credit is subject to the threshold amounts of qualifying investment set forth in Iowa department of economic development </w:t>
      </w:r>
      <w:hyperlink r:id="rId248">
        <w:r>
          <w:rPr>
            <w:rStyle w:val="Hyperlink"/>
            <w:rFonts w:ascii="Times New Roman" w:hAnsi="Times New Roman"/>
            <w:b w:val="false"/>
            <w:i w:val="false"/>
            <w:color w:val="000000"/>
            <w:sz w:val="22"/>
          </w:rPr>
          <w:t>261—subrule 68.4(7)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501.28(2)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An eligible business can claim an investment tax credit equal to a percentage of the new investment directly related to new jobs created by the location or expansion of an eligible business. The percentage is equal to the amount provided in Iowa department of economic development </w:t>
      </w:r>
      <w:hyperlink r:id="rId249">
        <w:r>
          <w:rPr>
            <w:rStyle w:val="Hyperlink"/>
            <w:rFonts w:ascii="Times New Roman" w:hAnsi="Times New Roman"/>
            <w:b w:val="false"/>
            <w:i w:val="false"/>
            <w:color w:val="000000"/>
            <w:sz w:val="22"/>
          </w:rPr>
          <w:t>261—subrule 68.4(7)</w:t>
        </w:r>
      </w:hyperlink>
      <w:r>
        <w:rPr>
          <w:rFonts w:ascii="Times New Roman" w:hAnsi="Times New Roman"/>
          <w:b w:val="false"/>
          <w:i w:val="false"/>
          <w:color w:val="000000"/>
          <w:sz w:val="22"/>
        </w:rPr>
        <w:t>. New investment directly related to new jobs created by the location or expansion of an eligible business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machinery and equipment, as defined in Iowa Code section </w:t>
      </w:r>
      <w:hyperlink r:id="rId250">
        <w:r>
          <w:rPr>
            <w:rStyle w:val="Hyperlink"/>
            <w:rFonts w:ascii="Times New Roman" w:hAnsi="Times New Roman"/>
            <w:b w:val="false"/>
            <w:i w:val="false"/>
            <w:color w:val="000000"/>
            <w:sz w:val="22"/>
          </w:rPr>
          <w:t>427A.1(1), paragraphs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“j,”</w:t>
        </w:r>
      </w:hyperlink>
      <w:r>
        <w:rPr>
          <w:rFonts w:ascii="Times New Roman" w:hAnsi="Times New Roman"/>
          <w:b w:val="false"/>
          <w:i w:val="false"/>
          <w:color w:val="000000"/>
          <w:sz w:val="22"/>
        </w:rPr>
        <w:t xml:space="preserve"> purchased for use in the operation of the eligible business. The purchase price shall be depreciated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purchase price of real property and any buildings and structures located on the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of improvements made to real property which is used in the operation of the eligible business.</w:t>
      </w:r>
    </w:p>
    <w:p>
      <w:pPr>
        <w:spacing w:before="0" w:after="0"/>
        <w:ind w:left="120"/>
        <w:jc w:val="both"/>
      </w:pPr>
      <w:r>
        <w:rPr>
          <w:rFonts w:ascii="Times New Roman" w:hAnsi="Times New Roman"/>
          <w:b w:val="false"/>
          <w:i w:val="false"/>
          <w:color w:val="000000"/>
          <w:sz w:val="22"/>
        </w:rPr>
        <w:t>In addition, certain lease payments made by eligible businesses to a third-party developer will be considered to be new investment for purposes of computing the investment tax credit. The eligible business shall enter into a lease agreement with the third-party developer for a minimum of five years. The investment tax credit is based on the annual base rent paid to a third-party developer by the eligible business for a period not to exceed ten years. The total costs of the annual base rent payments for the ten-year period cannot exceed the cost of the land and the third-party developer’s cost to build or renovate the building used by the eligible business. The annual base rent is defined as the total lease payment less taxes, insurance and operating and maintenance expenses.</w:t>
      </w:r>
    </w:p>
    <w:p>
      <w:pPr>
        <w:spacing w:before="0" w:after="0"/>
        <w:ind w:left="120"/>
        <w:jc w:val="both"/>
      </w:pPr>
      <w:r>
        <w:rPr>
          <w:rFonts w:ascii="Times New Roman" w:hAnsi="Times New Roman"/>
          <w:b w:val="false"/>
          <w:i w:val="false"/>
          <w:color w:val="000000"/>
          <w:sz w:val="22"/>
        </w:rPr>
        <w:t>The investment tax credit can be claimed in the tax year in which the qualifying assets are placed in service. The investment tax credit will be amortized over a five-year period. Any credit in excess of the tax liability for the tax period may be carried forward seven years or until used, whichever is the earlier.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eligible business which files tax returns on a calendar-year basis earned $100,000 of investment tax credits for new investment made in 2006. The business can claim $20,000 of investment tax credits for each of the years from 2006 through 2010. The $20,000 of investment tax credit that can be claimed in 2006 can be carried forward to the 2007-2013 tax years if the entire credit cannot be claimed on the 2006 return. Similarly, the $20,000 investment tax credit that can be claimed in 2007 can be carried forward to the 2008-2014 tax years if the entire credit cannot be claimed on the 2007 return.</w:t>
      </w:r>
    </w:p>
    <w:p>
      <w:pPr>
        <w:spacing w:before="0" w:after="0"/>
        <w:ind w:left="120"/>
        <w:jc w:val="both"/>
      </w:pPr>
      <w:r>
        <w:rPr>
          <w:rFonts w:ascii="Times New Roman" w:hAnsi="Times New Roman"/>
          <w:b w:val="false"/>
          <w:i w:val="false"/>
          <w:color w:val="000000"/>
          <w:sz w:val="22"/>
        </w:rPr>
        <w:t xml:space="preserve">If the business is a partnership, S corporation, limited liability company, cooperative organized under Iowa Code chapter </w:t>
      </w:r>
      <w:hyperlink r:id="rId251">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 electing to have the income taxed directly to an individual, an individual may claim the credit. The amount of the credit claimed by an individual must be based on the individual’s pro rata share of the individual’s earnings of the partnership, S corporation, limited liability company, cooperative organized under Iowa Code chapter </w:t>
      </w:r>
      <w:hyperlink r:id="rId252">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 electing to have the income taxed directly to an individual.</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eligible business which files tax returns on a calendar-year basis was awarded $500,000 in investment tax credits in December 2008. The credits were amortized over a five-year period, with $100,000 of investment tax credits being available for the fiscal years ending June 30, 2009, through June 30, 2013. This equates to the investment tax credit being available for the 2008-2012 calendar year returns since the due date of these returns range from April 30, 2009, through April 30, 2013, which falls within the fiscal years ending June 30, 2009, through June 30, 2013. The eligible business placed the qualifying assets in service during the 2010 calendar year. The eligible business can claim $300,000 of investment tax credit for 2010, $100,000 of investment tax credit for 2011 and $100,000 of investment tax credit for 2012. Of the $300,000 claimed for the 2010 tax year, $100,000 can be carried forward until the 2015 tax year, $100,000 can be carried forward to the 2016 tax year, and $100,000 can be carried forward to the 2017 tax year. The seven-year carryforward period is determined by the amortization schedule, not the initial year in which the investment tax credit can be claimed on an Iowa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credit—value-added agricultural products or biotechnology-related processes. </w:t>
      </w:r>
      <w:r>
        <w:rPr>
          <w:rFonts w:ascii="Times New Roman" w:hAnsi="Times New Roman"/>
          <w:b w:val="false"/>
          <w:i w:val="false"/>
          <w:color w:val="000000"/>
          <w:sz w:val="22"/>
        </w:rPr>
        <w:t xml:space="preserve">An eligible business whose project primarily involves the production of value-added agricultural products or uses biotechnology-related processes may elect to receive a refund for all or a portion of an unused investment tax credit.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w:t>
      </w:r>
    </w:p>
    <w:p>
      <w:pPr>
        <w:spacing w:before="0" w:after="0"/>
        <w:ind w:left="120"/>
        <w:jc w:val="both"/>
      </w:pPr>
      <w:r>
        <w:rPr>
          <w:rFonts w:ascii="Times New Roman" w:hAnsi="Times New Roman"/>
          <w:b w:val="false"/>
          <w:i w:val="false"/>
          <w:color w:val="000000"/>
          <w:sz w:val="22"/>
        </w:rPr>
        <w:t xml:space="preserve">Eligible businesses that elect to receive a refund shall apply to the Iowa department of economic development for tax credit certificates between May 1 and May 15 of each fiscal year through the fiscal year ending June 30, 2009. The election to receive a refund of all or a portion of an unused investment tax credit is no longer available beginning with the fiscal year ending June 30, 2010. Only those businesses that have completed projects before the May 1 filing date may apply for a tax credit certificate. The Iowa department of economic development shall not issue tax credit certificates for more than $4 million during a fiscal year to eligible businesses for this program and the enterprise zone program described in subrule </w:t>
      </w:r>
      <w:hyperlink r:id="rId253">
        <w:r>
          <w:rPr>
            <w:rStyle w:val="Hyperlink"/>
            <w:rFonts w:ascii="Times New Roman" w:hAnsi="Times New Roman"/>
            <w:b w:val="false"/>
            <w:i w:val="false"/>
            <w:color w:val="000000"/>
            <w:sz w:val="22"/>
          </w:rPr>
          <w:t>501.14(2)</w:t>
        </w:r>
      </w:hyperlink>
      <w:r>
        <w:rPr>
          <w:rFonts w:ascii="Times New Roman" w:hAnsi="Times New Roman"/>
          <w:b w:val="false"/>
          <w:i w:val="false"/>
          <w:color w:val="000000"/>
          <w:sz w:val="22"/>
        </w:rPr>
        <w:t>. If applications are received for more than $4 million, the applicants shall receive certificates for a prorated amount.</w:t>
      </w:r>
    </w:p>
    <w:p>
      <w:pPr>
        <w:spacing w:before="0" w:after="0"/>
        <w:ind w:left="120"/>
        <w:jc w:val="both"/>
      </w:pPr>
      <w:r>
        <w:rPr>
          <w:rFonts w:ascii="Times New Roman" w:hAnsi="Times New Roman"/>
          <w:b w:val="false"/>
          <w:i w:val="false"/>
          <w:color w:val="000000"/>
          <w:sz w:val="22"/>
        </w:rPr>
        <w:t xml:space="preserve">The economic development authority shall issue tax credit certificates within a reasonable period of time. Tax credit certificates are valid for the tax year following project completion. The tax credit certificate must be included with the tax return for the tax year during which the tax credit is claimed. The tax credit certificate shall not be transferred, except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 as provided in subrule </w:t>
      </w:r>
      <w:hyperlink r:id="rId254">
        <w:r>
          <w:rPr>
            <w:rStyle w:val="Hyperlink"/>
            <w:rFonts w:ascii="Times New Roman" w:hAnsi="Times New Roman"/>
            <w:b w:val="false"/>
            <w:i w:val="false"/>
            <w:color w:val="000000"/>
            <w:sz w:val="22"/>
          </w:rPr>
          <w:t>501.10(4)</w:t>
        </w:r>
      </w:hyperlink>
      <w:r>
        <w:rPr>
          <w:rFonts w:ascii="Times New Roman" w:hAnsi="Times New Roman"/>
          <w:b w:val="false"/>
          <w:i w:val="false"/>
          <w:color w:val="000000"/>
          <w:sz w:val="22"/>
        </w:rPr>
        <w:t>. For value-added agricultural projects involving ethanol, the cooperative must submit a list of its members and the share of each member’s interest in the cooperative. The economic development authority shall issue a tax credit certificate to each member on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an eligible business fails to maintain the requirements of the high quality job creation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of the eligible business to maintain the requirements of the high quality job creation program because it is a recovery of an incentive, rather than an adjustment to the taxpayer’s tax liability. Details on the calculation of the repayment can be found in </w:t>
      </w:r>
      <w:hyperlink r:id="rId255">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An eligible business in the high quality job creation program may also be required to repay all or a portion of the tax incentives received on Iowa returns if the eligible business experiences a layoff of employees in Iowa or closes any of its facilities in Iowa.</w:t>
      </w:r>
    </w:p>
    <w:p>
      <w:pPr>
        <w:spacing w:before="0" w:after="0"/>
        <w:ind w:left="120"/>
        <w:jc w:val="both"/>
      </w:pPr>
      <w:r>
        <w:rPr>
          <w:rFonts w:ascii="Times New Roman" w:hAnsi="Times New Roman"/>
          <w:b w:val="false"/>
          <w:i w:val="false"/>
          <w:color w:val="000000"/>
          <w:sz w:val="22"/>
        </w:rPr>
        <w:t>If, within five years of purchase, the eligible business sells, disposes of, razes, or otherwise renders unusable all or a part of the land, buildings, or other existing structures for which a tax credit was claimed under this subrule, the income tax liability of the eligible business shall be increased by one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hundred percent of the investment tax credit claimed if the property ceases to be eligible for the tax credit within one full year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Eighty percent of the investment tax credit claimed if the property ceases to be eligible for the tax credit within two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Sixty percent of the investment tax credit claimed if the property ceases to be eligible for the tax credit within three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Forty percent of the tax credit claimed if the property ceases to be eligible for the tax credit within four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Twenty percent of the investment tax credit claimed if the property ceases to be eligible for the tax credit within five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501.28(3)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tax credit amounts. </w:t>
      </w:r>
      <w:r>
        <w:rPr>
          <w:rFonts w:ascii="Times New Roman" w:hAnsi="Times New Roman"/>
          <w:b w:val="false"/>
          <w:i w:val="false"/>
          <w:color w:val="000000"/>
          <w:sz w:val="22"/>
        </w:rPr>
        <w:t>The amount of tax credit claimed under the high quality job creation program shall be based on the number of high quality jobs created and the amount of qualifying investment made as determined by the Iowa department of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high quality jobs have a starting wage, including benefits, equal to or greater than 130 percent of the average county wage but less than 160 percent of the average county wage, see Iowa department of economic development </w:t>
      </w:r>
      <w:hyperlink r:id="rId256">
        <w:r>
          <w:rPr>
            <w:rStyle w:val="Hyperlink"/>
            <w:rFonts w:ascii="Times New Roman" w:hAnsi="Times New Roman"/>
            <w:b w:val="false"/>
            <w:i w:val="false"/>
            <w:color w:val="000000"/>
            <w:sz w:val="22"/>
          </w:rPr>
          <w:t>261—paragraph 68.4(7)</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the amount of tax credits that may be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high quality jobs have a starting wage, including benefits, equal to or greater than 160 percent of the average county wage, see Iowa department of economic development 261—paragraph </w:t>
      </w:r>
      <w:hyperlink r:id="rId257">
        <w:r>
          <w:rPr>
            <w:rStyle w:val="Hyperlink"/>
            <w:rFonts w:ascii="Times New Roman" w:hAnsi="Times New Roman"/>
            <w:b w:val="false"/>
            <w:i w:val="false"/>
            <w:color w:val="000000"/>
            <w:sz w:val="22"/>
          </w:rPr>
          <w:t>68.4(7)</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the amount of tax credits that may be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business approved under the high quality job creation program is not eligible for the wage-benefits tax credit set forth in rule </w:t>
      </w:r>
      <w:hyperlink r:id="rId258">
        <w:r>
          <w:rPr>
            <w:rStyle w:val="Hyperlink"/>
            <w:rFonts w:ascii="Times New Roman" w:hAnsi="Times New Roman"/>
            <w:b w:val="false"/>
            <w:i w:val="false"/>
            <w:color w:val="000000"/>
            <w:sz w:val="22"/>
          </w:rPr>
          <w:t>701—501.25</w:t>
        </w:r>
      </w:hyperlink>
      <w:r>
        <w:rPr>
          <w:rFonts w:ascii="Times New Roman" w:hAnsi="Times New Roman"/>
          <w:b w:val="false"/>
          <w:i w:val="false"/>
          <w:color w:val="000000"/>
          <w:sz w:val="22"/>
        </w:rPr>
        <w:t>(15H).</w:t>
      </w:r>
    </w:p>
    <w:p>
      <w:pPr>
        <w:spacing w:before="0" w:after="0"/>
        <w:ind w:left="120"/>
        <w:jc w:val="both"/>
      </w:pPr>
      <w:r>
        <w:rPr>
          <w:rFonts w:ascii="Times New Roman" w:hAnsi="Times New Roman"/>
          <w:b w:val="false"/>
          <w:i w:val="false"/>
          <w:color w:val="000000"/>
          <w:sz w:val="22"/>
        </w:rPr>
        <w:t xml:space="preserve">This rule is intended to implement Iowa Code Supplement chapter </w:t>
      </w:r>
      <w:hyperlink r:id="rId259">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701—501.29</w:t>
      </w:r>
      <w:r>
        <w:rPr>
          <w:rFonts w:ascii="Times New Roman" w:hAnsi="Times New Roman"/>
          <w:b/>
          <w:i w:val="false"/>
          <w:color w:val="000000"/>
          <w:sz w:val="22"/>
        </w:rPr>
        <w:t xml:space="preserve">(15E,422) </w:t>
      </w:r>
      <w:r>
        <w:rPr>
          <w:rFonts w:ascii="Times New Roman" w:hAnsi="Times New Roman"/>
          <w:b/>
          <w:i w:val="false"/>
          <w:color w:val="000000"/>
          <w:sz w:val="22"/>
        </w:rPr>
        <w:t xml:space="preserve">Economic development region revolving fund tax credit. </w:t>
      </w:r>
      <w:r>
        <w:rPr>
          <w:rFonts w:ascii="Times New Roman" w:hAnsi="Times New Roman"/>
          <w:b w:val="false"/>
          <w:i w:val="false"/>
          <w:color w:val="000000"/>
          <w:sz w:val="22"/>
        </w:rPr>
        <w:t xml:space="preserve">Effective for tax years ending on or after July 1, 2005, but beginning before January 1, 2010, a taxpayer who makes a contribution to an economic development region revolving fund may claim a tax credit, subject to the availability of the credit. The credit is equal to 20 percent of a taxpayer’s contribution to the economic development region revolving fund approved by the Iowa department of economic development. The administrative rules for the economic development region revolving fund tax credit for the Iowa department of economic development may be found at </w:t>
      </w:r>
      <w:hyperlink r:id="rId260">
        <w:r>
          <w:rPr>
            <w:rStyle w:val="Hyperlink"/>
            <w:rFonts w:ascii="Times New Roman" w:hAnsi="Times New Roman"/>
            <w:b w:val="false"/>
            <w:i w:val="false"/>
            <w:color w:val="000000"/>
            <w:sz w:val="22"/>
          </w:rPr>
          <w:t>261—Chapter 32</w:t>
        </w:r>
      </w:hyperlink>
      <w:r>
        <w:rPr>
          <w:rFonts w:ascii="Times New Roman" w:hAnsi="Times New Roman"/>
          <w:b w:val="false"/>
          <w:i w:val="false"/>
          <w:color w:val="000000"/>
          <w:sz w:val="22"/>
        </w:rPr>
        <w:t>. The tax credit is repealed for tax years beginning on or after January 1, 2010.</w:t>
      </w:r>
    </w:p>
    <w:p>
      <w:pPr>
        <w:spacing w:before="0" w:after="0"/>
        <w:ind w:left="120"/>
        <w:jc w:val="both"/>
      </w:pPr>
      <w:r>
        <w:rPr>
          <w:rFonts w:ascii="Times New Roman" w:hAnsi="Times New Roman"/>
          <w:b w:val="false"/>
          <w:i w:val="false"/>
          <w:color w:val="000000"/>
          <w:sz w:val="22"/>
        </w:rPr>
        <w:t>The total amount of economic development region revolving fund tax credits available shall not exceed $2 million per fiscal year. The tax credit shall not be carried back to a tax year prior to the year in which the taxpayer redeems the credit. The economic development region revolving fund tax credit is not transferable to any other taxpayer.</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ten years or until used, whichever is the earlier.</w:t>
      </w:r>
    </w:p>
    <w:p>
      <w:pPr>
        <w:spacing w:before="0" w:after="0"/>
        <w:ind w:left="120"/>
        <w:jc w:val="both"/>
      </w:pPr>
      <w:r>
        <w:rPr>
          <w:rFonts w:ascii="Times New Roman" w:hAnsi="Times New Roman"/>
          <w:b w:val="false"/>
          <w:i w:val="false"/>
          <w:color w:val="000000"/>
          <w:sz w:val="22"/>
        </w:rPr>
        <w:t>If a taxpayer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1">
        <w:r>
          <w:rPr>
            <w:rStyle w:val="Hyperlink"/>
            <w:rFonts w:ascii="Times New Roman" w:hAnsi="Times New Roman"/>
            <w:b w:val="false"/>
            <w:i w:val="false"/>
            <w:color w:val="000000"/>
            <w:sz w:val="22"/>
          </w:rPr>
          <w:t>15E.232</w:t>
        </w:r>
      </w:hyperlink>
      <w:r>
        <w:rPr>
          <w:rFonts w:ascii="Times New Roman" w:hAnsi="Times New Roman"/>
          <w:b w:val="false"/>
          <w:i w:val="false"/>
          <w:color w:val="000000"/>
          <w:sz w:val="22"/>
        </w:rPr>
        <w:t xml:space="preserve"> and </w:t>
      </w:r>
      <w:hyperlink r:id="rId262">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2380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701—501.30</w:t>
      </w:r>
      <w:r>
        <w:rPr>
          <w:rFonts w:ascii="Times New Roman" w:hAnsi="Times New Roman"/>
          <w:b/>
          <w:i w:val="false"/>
          <w:color w:val="000000"/>
          <w:sz w:val="22"/>
        </w:rPr>
        <w:t xml:space="preserve">(422) </w:t>
      </w:r>
      <w:r>
        <w:rPr>
          <w:rFonts w:ascii="Times New Roman" w:hAnsi="Times New Roman"/>
          <w:b/>
          <w:i w:val="false"/>
          <w:color w:val="000000"/>
          <w:sz w:val="22"/>
        </w:rPr>
        <w:t xml:space="preserve">E-85 gasoline promotion tax credit. </w:t>
      </w:r>
      <w:r>
        <w:rPr>
          <w:rFonts w:ascii="Times New Roman" w:hAnsi="Times New Roman"/>
          <w:b w:val="false"/>
          <w:i w:val="false"/>
          <w:color w:val="000000"/>
          <w:sz w:val="22"/>
        </w:rPr>
        <w:t xml:space="preserve">Effective for tax years beginning on or after January 1, 2006, a retail dealer of gasoline may claim an E-85 gasoline promotion tax credit. “E-85 gasoline” means ethanol blended gasoline formulated with a minimum percentage of between 70 percent and 85 percent of volume of ethanol, if the formulation meets the standards provided in Iowa Code section </w:t>
      </w:r>
      <w:hyperlink r:id="rId263">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For purposes of this rule, tank wagon sales are considered retail sales. The credit is calculated on Form IA 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501.30(1)</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Amount of credit. </w:t>
      </w:r>
      <w:r>
        <w:rPr>
          <w:rFonts w:ascii="Times New Roman" w:hAnsi="Times New Roman"/>
          <w:b w:val="false"/>
          <w:i w:val="false"/>
          <w:color w:val="000000"/>
          <w:sz w:val="22"/>
        </w:rPr>
        <w:t>The credit is calculated by multiplying the total number of E-85 gallons sold by the retail dealer during the tax year by the following designated rates:</w:t>
      </w:r>
    </w:p>
    <w:tbl>
      <w:tblPr>
        <w:tblW w:w="0" w:type="auto"/>
        <w:tblCellSpacing w:w="0" w:type="auto"/>
        <w:tblBorders>
          <w:top w:val="none"/>
          <w:left w:val="none"/>
          <w:bottom w:val="none"/>
          <w:right w:val="none"/>
          <w:insideH w:val="none"/>
          <w:insideV w:val="none"/>
        </w:tblBorders>
        <w:tblLayout w:type="fixed"/>
      </w:tblPr>
      <w:tblGrid>
        <w:gridCol w:w="5595"/>
        <w:gridCol w:w="5594"/>
      </w:tblGrid>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Calendar years 2006, 2007, and 2008</w:t>
            </w:r>
          </w:p>
        </w:tc>
        <w:tc>
          <w:tcPr>
            <w:tcW w:w="55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 cents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Calendar years 2009 and 2010</w:t>
            </w:r>
          </w:p>
        </w:tc>
        <w:tc>
          <w:tcPr>
            <w:tcW w:w="55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 cents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Calendar year 2011</w:t>
            </w:r>
          </w:p>
        </w:tc>
        <w:tc>
          <w:tcPr>
            <w:tcW w:w="55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 cents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Calendar years 2012 through 2024</w:t>
            </w:r>
          </w:p>
        </w:tc>
        <w:tc>
          <w:tcPr>
            <w:tcW w:w="55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16 cents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with other credits. </w:t>
      </w:r>
      <w:r>
        <w:rPr>
          <w:rFonts w:ascii="Times New Roman" w:hAnsi="Times New Roman"/>
          <w:b w:val="false"/>
          <w:i w:val="false"/>
          <w:color w:val="000000"/>
          <w:sz w:val="22"/>
        </w:rPr>
        <w:t xml:space="preserve">A taxpayer may claim the E-85 gasoline promotion tax credit even if the taxpayer also claims the ethanol blended gasoline tax credit provided in rule </w:t>
      </w:r>
      <w:hyperlink r:id="rId264">
        <w:r>
          <w:rPr>
            <w:rStyle w:val="Hyperlink"/>
            <w:rFonts w:ascii="Times New Roman" w:hAnsi="Times New Roman"/>
            <w:b w:val="false"/>
            <w:i w:val="false"/>
            <w:color w:val="000000"/>
            <w:sz w:val="22"/>
          </w:rPr>
          <w:t>701—501.19</w:t>
        </w:r>
      </w:hyperlink>
      <w:r>
        <w:rPr>
          <w:rFonts w:ascii="Times New Roman" w:hAnsi="Times New Roman"/>
          <w:b w:val="false"/>
          <w:i w:val="false"/>
          <w:color w:val="000000"/>
          <w:sz w:val="22"/>
        </w:rPr>
        <w:t xml:space="preserve">(422) for gallons sold prior to January 1, 2009, or the ethanol promotion tax credit provided in rule </w:t>
      </w:r>
      <w:hyperlink r:id="rId265">
        <w:r>
          <w:rPr>
            <w:rStyle w:val="Hyperlink"/>
            <w:rFonts w:ascii="Times New Roman" w:hAnsi="Times New Roman"/>
            <w:b w:val="false"/>
            <w:i w:val="false"/>
            <w:color w:val="000000"/>
            <w:sz w:val="22"/>
          </w:rPr>
          <w:t>701—501.36</w:t>
        </w:r>
      </w:hyperlink>
      <w:r>
        <w:rPr>
          <w:rFonts w:ascii="Times New Roman" w:hAnsi="Times New Roman"/>
          <w:b w:val="false"/>
          <w:i w:val="false"/>
          <w:color w:val="000000"/>
          <w:sz w:val="22"/>
        </w:rPr>
        <w:t>(422) for gallons sold on or after January 1, 2009, but prior to January 1, 2021, for the same tax year for the same ethanol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Example. </w:t>
      </w:r>
      <w:r>
        <w:rPr>
          <w:rFonts w:ascii="Times New Roman" w:hAnsi="Times New Roman"/>
          <w:b w:val="false"/>
          <w:i w:val="false"/>
          <w:color w:val="000000"/>
          <w:sz w:val="22"/>
        </w:rPr>
        <w:t>A taxpayer operated one retail motor fuel site in 2006 and sold 200,000 gallons of gasoline, of which 160,000 gallons was ethanol blended gasoline. Of these 160,000 gallons, 1,000 gallons was E-85 gasoline. Taxpayer may claim the E-85 gasoline promotion tax credit on the 1,000 gallons of E-85 gasoline sold during 2006. Taxpayer is also entitled to claim the ethanol blended gasoline tax credit of two and one-half cents multiplied by 40,000 gallons, since this constitutes the gallons in excess of 60 percent of the total gasoline gallons sold for the 2006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501.30(2)</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For taxpayers whose tax year is not on a calendar-year basis, the taxpayer may compute the tax credit on the gallons of E-85 gasoline sold during the year using the designated rates as shown above. Because the tax credit is repealed on January 1, 2025, a taxpayer whose tax year ends prior to December 31, 2024, can continue to claim the tax credit in the following tax year for any E-85 gallons sold through December 31, 2024. For a retail dealer whose tax year is not on a calendar-year basis and who did not claim the E-85 credit on the previous return, the dealer may claim the credit for the current tax year for the period beginning on January 1 of the previous tax year until the last day of the previous tax year.</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who is a retail dealer of gasoline has a fiscal year ending March 31, 2009. The taxpayer sold 2,000 gallons of E-85 gasoline for the period from April 1, 2008, through December 31, 2008, and sold 500 gallons of E-85 gasoline for the period from January 1, 2009, through March 31, 2009. The taxpayer is entitled to a total E-85 gasoline promotion tax credit of $600 for the fiscal year ending March 31, 2009, which consists of a $500 credit (2,000 gallons multiplied by 25 cents) for the period from April 1, 2008, through December 31, 2008, and a credit of $100 (500 gallons multiplied by 20 cents) for the period from January 1, 2009, through March 31, 2009.</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who is a retail dealer of gasoline has a fiscal year ending April 30, 2006. The taxpayer sold 800 gallons of E-85 gasoline for the period from January 1, 2006, through April 30, 2006. The taxpayer is entitled to claim an E-85 gasoline promotion tax credit of $200 (800 gallons multiplied by 25 cents) on the taxpayer’s Iowa income tax return for the period ending April 30, 2006. In lieu of claiming the credit on the return for the period ending April 30, 2006, the taxpayer can claim the E-85 gasoline promotion tax credit on the tax return for the period ending April 30, 2007, including all E-85 gallons sold for the period from January 1, 2006, through April 30,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501.30(3)</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a taxpayer claiming the E-85 gasoline promotion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6">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2309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3043C</w:t>
      </w:r>
      <w:r>
        <w:rPr>
          <w:rFonts w:ascii="Times New Roman" w:hAnsi="Times New Roman"/>
          <w:b w:val="false"/>
          <w:i w:val="false"/>
          <w:color w:val="000000"/>
          <w:sz w:val="16"/>
        </w:rPr>
        <w:t>, IAB 4/26/17, effective 5/31/17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701—501.31</w:t>
      </w:r>
      <w:r>
        <w:rPr>
          <w:rFonts w:ascii="Times New Roman" w:hAnsi="Times New Roman"/>
          <w:b/>
          <w:i w:val="false"/>
          <w:color w:val="000000"/>
          <w:sz w:val="22"/>
        </w:rPr>
        <w:t xml:space="preserve">(422) </w:t>
      </w:r>
      <w:r>
        <w:rPr>
          <w:rFonts w:ascii="Times New Roman" w:hAnsi="Times New Roman"/>
          <w:b/>
          <w:i w:val="false"/>
          <w:color w:val="000000"/>
          <w:sz w:val="22"/>
        </w:rPr>
        <w:t xml:space="preserve">Biodiesel blended fuel tax credit. </w:t>
      </w:r>
      <w:r>
        <w:rPr>
          <w:rFonts w:ascii="Times New Roman" w:hAnsi="Times New Roman"/>
          <w:b w:val="false"/>
          <w:i w:val="false"/>
          <w:color w:val="000000"/>
          <w:sz w:val="22"/>
        </w:rPr>
        <w:t xml:space="preserve">Effective for tax years beginning on or after January 1, 2006, a retail dealer of biodiesel blended fuel may claim a biodiesel blended fuel tax credit. “Biodiesel blended fuel” means a blend of biodiesel with petroleum-based diesel fuel that meets the standards provided in Iowa Code section </w:t>
      </w:r>
      <w:hyperlink r:id="rId267">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In determining the minimum percentage by volume of biodiesel, the department will take into account reasonable variances due to testing and other limitations. For purposes of this rule, tank wagon sales are considered retail sales. The credit is calculated on Form IA 8864.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501.31(1)</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Gallonage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Tax years beginning on or after January 1, 2006, but prior to January 1, 2009. In order for a retail dealer to qualify for the biodiesel blended fuel tax credit for tax years beginning on or after January 1, 2006, but prior to January 1, 2009, of the total gallons of diesel fuel that the retail dealer sells and dispenses during the tax year, 50 percent or more of those gallons must be biodiesel blended fuel formulated with a minimum percentage of 2 percent by volume of biodiesel. The gallonage amounts for all motor fuel sites of a retail dealer are combined when calculating this gallonage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Tax years beginning on or after January 1, 2009, but prior to January 1, 2012. For tax years beginning on or after January 1, 2009, but prior to January 1, 2012, the biodiesel blended fuel tax credit is calculated separately for each retail motor fuel site for which 50 percent or more of the total gallons of diesel fuel sold at the motor fuel site was biodiesel blended fuel formulated with a minimum percentage of 2 percent by volume of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Tax years beginning on or after January 1, 2012. For tax years beginning on or after January 1, 2012, the requirement that 50 percent of all diesel fuel gallons sold be biodiesel gallons to be eligible for the tax credit is eliminated. A retail dealer may qualify for the biodiesel fuel tax credit even if the gallons of biodiesel blended fuel sold is less than 50 percent of the total gallons of diesel fuel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Fuel sold on or after January 1, 2006, but prior to January 1, 2012. For biodiesel blended fuel sold on or after January 1, 2006, but prior to January 1, 2012, the tax credit equals three cents multiplied by the qualifying number of biodiesel blended fuel gallons sold by the taxpayer during the tax year. Qualifying biodiesel blended fuel must be formulated with a minimum percentage of 2 percent by volume of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Fuel sold on or after January 1, 2012, but prior to January 1, 2013. For biodiesel blended fuel sold on or after January 1, 2012, but prior to January 1, 2013, the tax credit equals the sum of two cents multiplied by the qualifying number of biodiesel blended fuel gallons sold by the taxpayer during the tax year that have a minimum percentage of 2 percent by volume of biodiesel but less than 5 percent by volume of biodiesel plus four and one-half cents multiplied by the qualifying number of biodiesel blended fuel gallons sold by the taxpayer during the tax year that have a minimum percentage of 5 percent by volume of biodiesel. In addition, the gallonage requirements described in paragraph </w:t>
      </w:r>
      <w:hyperlink r:id="rId268">
        <w:r>
          <w:rPr>
            <w:rStyle w:val="Hyperlink"/>
            <w:rFonts w:ascii="Times New Roman" w:hAnsi="Times New Roman"/>
            <w:b w:val="false"/>
            <w:i w:val="false"/>
            <w:color w:val="000000"/>
            <w:sz w:val="22"/>
          </w:rPr>
          <w:t>501.31(1)</w:t>
        </w:r>
      </w:hyperlink>
      <w:r>
        <w:rPr>
          <w:rFonts w:ascii="Times New Roman" w:hAnsi="Times New Roman"/>
          <w:b w:val="false"/>
          <w:i/>
          <w:color w:val="000000"/>
          <w:sz w:val="22"/>
        </w:rPr>
        <w:t>“a”</w:t>
      </w:r>
      <w:r>
        <w:rPr>
          <w:rFonts w:ascii="Times New Roman" w:hAnsi="Times New Roman"/>
          <w:b w:val="false"/>
          <w:i w:val="false"/>
          <w:color w:val="000000"/>
          <w:sz w:val="22"/>
        </w:rPr>
        <w:t xml:space="preserve"> do not apply to fuel sold on or after January 1,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Fuel sold on or after January 1, 2013, but prior to January 1, 2018. For biodiesel blended fuel sold on or after January 1, 2013, but prior to January 1, 2018, the tax credit equals four and one-half cents multiplied by the qualifying number of biodiesel blended fuel gallons that have a minimum percentage of 5 percent by volume of biodiesel. Diesel fuel sold that contains less than 5 percent by volume of biodiesel does not qualify for the biodiesel blended fuel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Fuel sold on or after January 1, 2018, but prior to January 1, 2025.</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Amount of credit. For biodiesel blended fuel sold on or after January 1, 2018, but prior to January 1, 2025, the tax credit equals the sum of three and one-half cents multiplied by the qualifying number of biodiesel blended fuel gallons sold by the taxpayer during the tax year that have a minimum percentage of 5 percent by volume of biodiesel but less than 11 percent by volume of biodiesel plus five and one-half cents multiplied by the qualifying number of biodiesel blended fuel gallons sold by the taxpayer during the tax year that have a minimum percentage of 11 percent by volume of biodiesel.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Blending errors. Where a blending error occurs and an insufficient amount of biodiesel has inadvertently been blended with petroleum-based diesel fuel so that the mixture fails to contain 11 percent by volume of biodiesel, a 1 percent tolerance applies in determining the credit amount for the blended product as described in </w:t>
      </w:r>
      <w:hyperlink r:id="rId269">
        <w:r>
          <w:rPr>
            <w:rStyle w:val="Hyperlink"/>
            <w:rFonts w:ascii="Times New Roman" w:hAnsi="Times New Roman"/>
            <w:b w:val="false"/>
            <w:i w:val="false"/>
            <w:color w:val="000000"/>
            <w:sz w:val="22"/>
          </w:rPr>
          <w:t>501.31(1)</w:t>
        </w:r>
      </w:hyperlink>
      <w:r>
        <w:rPr>
          <w:rFonts w:ascii="Times New Roman" w:hAnsi="Times New Roman"/>
          <w:b w:val="false"/>
          <w:i/>
          <w:color w:val="000000"/>
          <w:sz w:val="22"/>
        </w:rPr>
        <w:t>“b”</w:t>
      </w:r>
      <w:r>
        <w:rPr>
          <w:rFonts w:ascii="Times New Roman" w:hAnsi="Times New Roman"/>
          <w:b w:val="false"/>
          <w:i w:val="false"/>
          <w:color w:val="000000"/>
          <w:sz w:val="22"/>
        </w:rPr>
        <w:t>(4)“2”:</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amount of the biodiesel erroneously blended with petroleum-based diesel is at least 10 percent of the total blended product by volume, the entire blended product qualifies for the credit amount available for biodiesel blended fuel that has a minimum percentage of 11 percent by volume of biodiesel.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 If the amount of biodiesel blended with petroleum-based diesel is at least 5 percent but less than 10 percent of the total blended product by volume, the entire blended product qualifies for the credit amount available for biodiesel blended fuel that has a minimum percentage of 5 percent by volume of biodiesel but less than 11 percent by volume of biodiesel.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 Numbered paragraph </w:t>
      </w:r>
      <w:hyperlink r:id="rId270">
        <w:r>
          <w:rPr>
            <w:rStyle w:val="Hyperlink"/>
            <w:rFonts w:ascii="Times New Roman" w:hAnsi="Times New Roman"/>
            <w:b w:val="false"/>
            <w:i w:val="false"/>
            <w:color w:val="000000"/>
            <w:sz w:val="22"/>
          </w:rPr>
          <w:t>501.31(1)</w:t>
        </w:r>
      </w:hyperlink>
      <w:r>
        <w:rPr>
          <w:rFonts w:ascii="Times New Roman" w:hAnsi="Times New Roman"/>
          <w:b w:val="false"/>
          <w:i/>
          <w:color w:val="000000"/>
          <w:sz w:val="22"/>
        </w:rPr>
        <w:t>“b”</w:t>
      </w:r>
      <w:r>
        <w:rPr>
          <w:rFonts w:ascii="Times New Roman" w:hAnsi="Times New Roman"/>
          <w:b w:val="false"/>
          <w:i w:val="false"/>
          <w:color w:val="000000"/>
          <w:sz w:val="22"/>
        </w:rPr>
        <w:t>(4)“2” applies only if a retail dealer intends to sell and dispense biodiesel blended fuel that has a minimum percentage of 11 percent by volume of biodiesel. If a retail dealer does not intend to sell and dispense biodiesel blended fuel that has a minimum percentage of 11 percent by volume of biodiesel and the product sold and dispensed contains less than 11 percent biodiesel by volume, no error has occurred and the product does not qualify for the credit amount available for biodiesel blended fuel that has a minimum percentage of 11 percent by volume of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operated four retail motor fuel sites during 2006 and sold a combined total at all four sites of 100,000 gallons of diesel fuel, of which 55,000 gallons was biodiesel blended fuel containing a minimum percentage of 2 percent by volume of biodiesel. Because 50 percent or more of the diesel fuel sold was biodiesel blended fuel, the taxpayer may claim the biodiesel blended fuel tax credit totaling $1,650, which is 55,000 gallons multiplied by three cents.</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operated two retail motor fuel sites during 2006, and each site sold 40,000 gallons of diesel fuel. One site sold 25,000 gallons of biodiesel blended fuel containing a minimum percentage of 2 percent by volume of biodiesel, and the other site sold 10,000 gallons of biodiesel blended fuel containing a minimum percentage of 2 percent by volume of biodiesel. The taxpayer would not be eligible for the biodiesel blended fuel tax credit because only 35,000 gallons of the total 80,000 gallons, or 43.75 percent of the total diesel fuel gallons sold, was biodiesel blended fuel. The 50 percent requirement is based on the aggregate number of diesel fuel gallons sold by the taxpayer, and the fact that one retail motor fuel site met the 50 percent requirement does not allow the taxpayer to claim the biodiesel blended fuel tax credit for the 2006 tax year.</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Same facts as in example 2, except the fuel sales occurred in 2009. The taxpayer can claim a biodiesel blended fuel tax credit totaling $750, which is 25,000 gallons multiplied by three cents, since one of the retail motor fuel sites met the 50 percent biodiesel blended fuel requirement.</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Same facts as in example 2, except the fuel sales occurred in 2016, and all biodiesel blended fuel sold contains a minimum percentage of 5 percent by volume of biodiesel. The taxpayer can claim a biodiesel blended fuel tax credit totaling $1,575, which is 35,000 gallons multiplied by four and one-half cents, since the 50 percent biodiesel blended fuel requirement has been eliminated.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501.31(2)</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For taxpayers whose tax year is not on a calendar-year basis and whose tax year ends before December 31, 2006, the taxpayer may compute the tax credit on the gallons of biodiesel blended fuel sold during the period from January 1, 2006, through the end of the tax year, provided that 50 percent of all diesel fuel sold during that period was biodiesel blended fuel. Because the tax credit is repealed on January 1, 2025, a taxpayer whose tax year ends prior to December 31, 2024, may continue to claim the tax credit in the following tax year for any biodiesel blended fuel sold through December 31, 2024.</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who operates one retail motor fuel site has a fiscal year ending April 30, 2006. The taxpayer sold 60,000 gallons of diesel fuel for the period from May 1, 2005, through April 30, 2006, of which 28,000 gallons was biodiesel blended fuel. However, for the period from January 1, 2006, through April 30, 2006, the taxpayer sold 20,000 gallons of diesel fuel, of which 12,000 gallons was biodiesel blended fuel. The taxpayer is entitled to claim the biodiesel blended fuel tax credit of $360 (12,000 gallons multiplied by 3 cents) on the taxpayer’s Iowa income tax return for the period ending April 30, 2006, since more than 50 percent of all diesel fuel sold during the period from January 1, 2006, through April 30, 2006, was biodiesel blended fuel.</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who operates one retail motor fuel site has a fiscal year ending June 30, 2006. The taxpayer sold 80,000 gallons of diesel fuel for the period from July 1, 2005, through June 30, 2006, of which 42,000 gallons was biodiesel blended fuel. However, for the period from January 1, 2006, through June 30, 2006, the taxpayer sold 40,000 gallons of diesel fuel, of which 19,000 gallons was biodiesel blended fuel. The taxpayer is not entitled to claim the biodiesel blended fuel tax credit on the taxpayer’s Iowa income tax return for the period ending June 30, 2006, since less than 50 percent of all diesel fuel sold during the period from January 1, 2006, through June 30, 2006, was biodiesel blended fuel, even though more than 50 percent of all diesel fuel sold during the period from July 1, 2005, through June 30, 2006, was biodiesel blended fuel.</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 taxpayer who operates one retail motor fuel site has a fiscal year ending February 28, 2025. The taxpayer sold 100,000 gallons of diesel fuel for the period from March 1, 2024, through February 28, 2025, of which 60,000 gallons was biodiesel blended fuel containing a minimum percentage of 5 percent by volume of biodiesel. For the period from March 1, 2024, through December 31, 2024, the taxpayer sold 85,000 gallons of diesel fuel, of which 50,000 gallons was biodiesel fuel. The taxpayer is entitled to claim the biodiesel blended fuel tax credit of $2,250 (50,000 gallons multiplied by 4.5 cents) on the taxpayer’s Iowa income tax return for the period ending February 12, 2025, since the credit is computed only on gallons sold through December 31,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501.31(3)</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a taxpayer claiming the biodiesel blended fuel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1">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2309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3043C</w:t>
      </w:r>
      <w:r>
        <w:rPr>
          <w:rFonts w:ascii="Times New Roman" w:hAnsi="Times New Roman"/>
          <w:b w:val="false"/>
          <w:i w:val="false"/>
          <w:color w:val="000000"/>
          <w:sz w:val="16"/>
        </w:rPr>
        <w:t>, IAB 4/26/17, effective 5/31/17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701—501.32</w:t>
      </w:r>
      <w:r>
        <w:rPr>
          <w:rFonts w:ascii="Times New Roman" w:hAnsi="Times New Roman"/>
          <w:b/>
          <w:i w:val="false"/>
          <w:color w:val="000000"/>
          <w:sz w:val="22"/>
        </w:rPr>
        <w:t xml:space="preserve">(422) </w:t>
      </w:r>
      <w:r>
        <w:rPr>
          <w:rFonts w:ascii="Times New Roman" w:hAnsi="Times New Roman"/>
          <w:b/>
          <w:i w:val="false"/>
          <w:color w:val="000000"/>
          <w:sz w:val="22"/>
        </w:rPr>
        <w:t xml:space="preserve">Soy-based transformer fluid tax credit. </w:t>
      </w:r>
      <w:r>
        <w:rPr>
          <w:rFonts w:ascii="Times New Roman" w:hAnsi="Times New Roman"/>
          <w:b w:val="false"/>
          <w:i w:val="false"/>
          <w:color w:val="000000"/>
          <w:sz w:val="22"/>
        </w:rPr>
        <w:t>Effective for tax periods ending after June 30, 2006, and beginning before January 1, 2009, an electric utility may claim a soy-based transformer fluid tax credit. An electric utility, which is a public utility, city utility, or electric cooperative which furnishes electricity, may claim a credit equal to the costs incurred during the tax year for the purchase and replacement costs relating to the transition from using nonsoy-based transformer fluid to using soy-based transformer fluid.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501.32(1)</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for the tax credit. </w:t>
      </w:r>
      <w:r>
        <w:rPr>
          <w:rFonts w:ascii="Times New Roman" w:hAnsi="Times New Roman"/>
          <w:b w:val="false"/>
          <w:i w:val="false"/>
          <w:color w:val="000000"/>
          <w:sz w:val="22"/>
        </w:rPr>
        <w:t>All of the following conditions must be met for the electric utility to qualify for the soy-based transformer fluid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costs must be incurred after June 30, 2006, and before January 1,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costs must be incurred in the first 18 months of the transition from using nonsoy-based transformer fluid to using soy-based transformer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soy-based transformer fluid must be dielectric fluid that contains at least 98 percent soy-based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costs of the purchase and replacement must not exceed $2 per gallon of soy-based transformer fluid used in the transition.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gallons used in the transition must not exceed 20,000 gallons per electric utility, and the total number of gallons eligible for the credit must not exceed 60,000 gallons in the aggregate.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electric utility shall not deduct for Iowa income tax purposes the costs incurred in the transition to using soy-based transformer fluid which are deductible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501.32(2)</w:t>
      </w:r>
      <w:r>
        <w:rPr>
          <w:rFonts w:ascii="Times New Roman" w:hAnsi="Times New Roman"/>
          <w:b w:val="false"/>
          <w:i w:val="false"/>
          <w:color w:val="000000"/>
          <w:sz w:val="22"/>
        </w:rPr>
        <w:t> </w:t>
      </w:r>
      <w:r>
        <w:rPr>
          <w:rFonts w:ascii="Times New Roman" w:hAnsi="Times New Roman"/>
          <w:b w:val="false"/>
          <w:i/>
          <w:color w:val="000000"/>
          <w:sz w:val="22"/>
        </w:rPr>
        <w:t xml:space="preserve">Applying for the tax credit. </w:t>
      </w:r>
      <w:r>
        <w:rPr>
          <w:rFonts w:ascii="Times New Roman" w:hAnsi="Times New Roman"/>
          <w:b w:val="false"/>
          <w:i w:val="false"/>
          <w:color w:val="000000"/>
          <w:sz w:val="22"/>
        </w:rPr>
        <w:t>An electric utility must apply to the department for the soy-based transformer fluid tax credit. The application for the tax credit must be filed no later than 30 days after the close of the tax year for which the credit is claimed. The application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signed purchase agreement or other agreement to purchase soy-based transformer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gallons of soy-based transformer fluid purchased during the tax year, along with the cost per gallon of each purchase made during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and tax identification number of the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 of tax for which the credit will be claimed, and the first year in which the credits will be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application is filed by a partnership, limited liability company, S corporation, or estate or trust requesting a credit for individual or corporation income tax, a list of the partners, members, shareholders or beneficiaries of the entity. This list shall include the name, address, tax identification number and pro rata share of earnings from the entity for each of the partners, members, shareholders or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501.32(3)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 xml:space="preserve">After the application is reviewed, the department will issue a tax credit certificate to the electric utility. The tax credit certificate will include the taxpayer’s name, address and federal identification number, the tax type for which the credit will be claimed, the amount of the credit and the tax year for which the credit may be claimed. Once the tax credit certificate is issued, the credit may be claimed only against the type of tax reflected on the certificate. If the department refuses to issue the tax credit certificate, the taxpayer shall be notified in writing; and the taxpayer will have 60 days from the date of denial to file a protest in accordance with rule </w:t>
      </w:r>
      <w:hyperlink r:id="rId272">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If the taxpayer is a partnership, limited liability company, S corporation, or estate or trust requesting a credit for individual or corporation income tax, the tax credit certificate will be issued to the partners, members, shareholders or beneficiaries based on the partner’s, member’s, shareholder’s or beneficiary’s pro rata share of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273">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Senate File 572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701—501.33</w:t>
      </w:r>
      <w:r>
        <w:rPr>
          <w:rFonts w:ascii="Times New Roman" w:hAnsi="Times New Roman"/>
          <w:b/>
          <w:i w:val="false"/>
          <w:color w:val="000000"/>
          <w:sz w:val="22"/>
        </w:rPr>
        <w:t xml:space="preserve">(16,422) </w:t>
      </w:r>
      <w:r>
        <w:rPr>
          <w:rFonts w:ascii="Times New Roman" w:hAnsi="Times New Roman"/>
          <w:b/>
          <w:i w:val="false"/>
          <w:color w:val="000000"/>
          <w:sz w:val="22"/>
        </w:rPr>
        <w:t xml:space="preserve">Agricultural assets transfer tax credit and custom farming contract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501.33(1)</w:t>
      </w:r>
      <w:r>
        <w:rPr>
          <w:rFonts w:ascii="Times New Roman" w:hAnsi="Times New Roman"/>
          <w:b w:val="false"/>
          <w:i w:val="false"/>
          <w:color w:val="000000"/>
          <w:sz w:val="22"/>
        </w:rPr>
        <w:t> </w:t>
      </w:r>
      <w:r>
        <w:rPr>
          <w:rFonts w:ascii="Times New Roman" w:hAnsi="Times New Roman"/>
          <w:b w:val="false"/>
          <w:i/>
          <w:color w:val="000000"/>
          <w:sz w:val="22"/>
        </w:rPr>
        <w:t xml:space="preserve">Agricultural assets transfer tax credit. </w:t>
      </w:r>
      <w:r>
        <w:rPr>
          <w:rFonts w:ascii="Times New Roman" w:hAnsi="Times New Roman"/>
          <w:b w:val="false"/>
          <w:i w:val="false"/>
          <w:color w:val="000000"/>
          <w:sz w:val="22"/>
        </w:rPr>
        <w:t>For tax years beginning on or after January 1, 2007, but before January 1, 2013, an owner of agricultural assets that rents assets to qualified beginning farmers may claim an agricultural assets transfer tax credit for Iowa corporation income tax equal to 5 percent of the rental income received by the owner for cash rental agreements and 15 percent of the rental income received by the owner for commodity share agreements. Effective for tax years beginning on or after January 1, 2013, an owner of agricultural assets that rents assets to qualified beginning farmers may claim an agricultural assets transfer tax credit for Iowa corporation income tax equal to 7 percent of the rental income received by the owner for cash rental agreements and 17 percent of the rental income received by the owner for commodity share agreements.</w:t>
      </w:r>
    </w:p>
    <w:p>
      <w:pPr>
        <w:spacing w:before="0" w:after="0"/>
        <w:ind w:left="120"/>
        <w:jc w:val="both"/>
      </w:pPr>
      <w:r>
        <w:rPr>
          <w:rFonts w:ascii="Times New Roman" w:hAnsi="Times New Roman"/>
          <w:b w:val="false"/>
          <w:i w:val="false"/>
          <w:color w:val="000000"/>
          <w:sz w:val="22"/>
        </w:rPr>
        <w:t xml:space="preserve">Also effective for tax years beginning on or after January 1, 2013, if the beginning farmer is a veteran, the credit is equal to 8 percent of the rental income received by the owner for cash rental agreements, and the credit is equal to 18 percent of the rental income received by the owner for commodity share agreements for the first year that the credit is allowed. However, the taxpayer may only claim 7 percent of the rental income for cash rental agreements and 17 percent of the rental income for commodity share agreements in subsequent years if the agreement is renewed or a new agreement is executed by the same parties. The administrative rules for the agricultural assets transfer tax credit for the Iowa finance authority may be found under </w:t>
      </w:r>
      <w:hyperlink r:id="rId274">
        <w:r>
          <w:rPr>
            <w:rStyle w:val="Hyperlink"/>
            <w:rFonts w:ascii="Times New Roman" w:hAnsi="Times New Roman"/>
            <w:b w:val="false"/>
            <w:i w:val="false"/>
            <w:color w:val="000000"/>
            <w:sz w:val="22"/>
          </w:rPr>
          <w:t>265—Chapter 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To qualify for the tax credit, an owner of agricultural assets must enter into a lease or rental agreement with a beginning farmer for a term of at least two years but not more than five years. Both the owner of agricultural assets and the beginning farmer must meet certain qualifications set forth by the Iowa finance authority, and the beginning farmer must be eligible to receive financial assistance under Iowa Code section </w:t>
      </w:r>
      <w:hyperlink r:id="rId275">
        <w:r>
          <w:rPr>
            <w:rStyle w:val="Hyperlink"/>
            <w:rFonts w:ascii="Times New Roman" w:hAnsi="Times New Roman"/>
            <w:b w:val="false"/>
            <w:i w:val="false"/>
            <w:color w:val="000000"/>
            <w:sz w:val="22"/>
          </w:rPr>
          <w:t>16.75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Iowa finance authority will issue a tax credit certificate to the owner of agricultural assets which will include the name, address and tax identification number of the owner, the amount of the credit, and the tax period for which the credit may be applied. To claim the tax credit, the owner must include the tax credit certificate with the tax return for the tax period set forth on the certificate. The tax credit certificates will be issued on a first-come, first-served basis. For fiscal years beginning on or after July 1, 2009, but before July 1, 2013, the amount of tax credit certificates issued by the Iowa agricultural development authority for the agricultural assets transfer tax credit program cannot exceed $6 million. For fiscal years beginning on or after July 1, 2013, the amount of tax credit certificates issued by the Iowa finance authority for the agricultural assets transfer tax credit program cannot exceed $8 million and the amount of the credit issued to an individual taxpayer cannot exceed $50,000. However, effective December 31, 2017, the amount of tax credits issued by the Iowa finance authority for the agricultural assets transfer tax credit shall revert back to $6 million.</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used, whichever is the earlier. However, for any agricultural assets transfer credits originally issued for tax years beginning on or after January 1, 2008, any credit in excess of the tax liability may be credited to the tax liability for the following ten years. The tax credit shall not be carried back to a tax year prior to the year in which the owner redeems the credit. The credit is not transferable to any other person other than the taxpayer’s estate or trust upon the death of the taxpayer.</w:t>
      </w:r>
    </w:p>
    <w:p>
      <w:pPr>
        <w:spacing w:before="0" w:after="0"/>
        <w:ind w:left="120"/>
        <w:jc w:val="both"/>
      </w:pPr>
      <w:r>
        <w:rPr>
          <w:rFonts w:ascii="Times New Roman" w:hAnsi="Times New Roman"/>
          <w:b w:val="false"/>
          <w:i w:val="false"/>
          <w:color w:val="000000"/>
          <w:sz w:val="22"/>
        </w:rPr>
        <w:t>If an owner of agricultural assets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The lease or rental agreement may be terminated by either the owner or the beginning farmer. If the Iowa finance authority determines that the owner is not at fault for the termination, the authority will not issue a tax credit certificate for subsequent years, but any prior tax credit certificates issued will be allowed. If the Iowa finance authority determines that the owner is at fault for the termination, any prior tax credit certificates will be disallowed. The amount of tax credits previously allowed will be recaptured, and the owner will be required to repay the entire amount of tax credits previously claimed on Iowa returns.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501.33(2)</w:t>
      </w:r>
      <w:r>
        <w:rPr>
          <w:rFonts w:ascii="Times New Roman" w:hAnsi="Times New Roman"/>
          <w:b w:val="false"/>
          <w:i w:val="false"/>
          <w:color w:val="000000"/>
          <w:sz w:val="22"/>
        </w:rPr>
        <w:t> </w:t>
      </w:r>
      <w:r>
        <w:rPr>
          <w:rFonts w:ascii="Times New Roman" w:hAnsi="Times New Roman"/>
          <w:b w:val="false"/>
          <w:i/>
          <w:color w:val="000000"/>
          <w:sz w:val="22"/>
        </w:rPr>
        <w:t xml:space="preserve">Custom farming contract tax credit. </w:t>
      </w:r>
      <w:r>
        <w:rPr>
          <w:rFonts w:ascii="Times New Roman" w:hAnsi="Times New Roman"/>
          <w:b w:val="false"/>
          <w:i w:val="false"/>
          <w:color w:val="000000"/>
          <w:sz w:val="22"/>
        </w:rPr>
        <w:t xml:space="preserve">Effective for tax years beginning on or after January 1, 2013, a landowner that hires a beginning farmer to custom farm agricultural land in this state may claim a custom farming contract tax credit for Iowa corporation income tax. The credit is equal to 7 percent of the value of the contract. If the beginning farmer is a veteran, the credit is equal to 8 percent of the value of the contract for the first year. However, the taxpayer may only claim 7 percent of the value of the contract in subsequent years if the agreement is renewed or a new agreement is executed by the same parties. The administrative rules for the custom farming contract tax credit for the Iowa finance authority may be found under </w:t>
      </w:r>
      <w:hyperlink r:id="rId276">
        <w:r>
          <w:rPr>
            <w:rStyle w:val="Hyperlink"/>
            <w:rFonts w:ascii="Times New Roman" w:hAnsi="Times New Roman"/>
            <w:b w:val="false"/>
            <w:i w:val="false"/>
            <w:color w:val="000000"/>
            <w:sz w:val="22"/>
          </w:rPr>
          <w:t>265—Chapter 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To qualify for the tax credit, the taxpayer must enter into a lease or rental agreement with a beginning farmer for a term of at least two years but not more than five years. Both the taxpayer and the beginning farmer must meet certain qualifications set forth by the Iowa finance authority, and the beginning farmer must be eligible to receive financial assistance under Iowa Code section </w:t>
      </w:r>
      <w:hyperlink r:id="rId277">
        <w:r>
          <w:rPr>
            <w:rStyle w:val="Hyperlink"/>
            <w:rFonts w:ascii="Times New Roman" w:hAnsi="Times New Roman"/>
            <w:b w:val="false"/>
            <w:i w:val="false"/>
            <w:color w:val="000000"/>
            <w:sz w:val="22"/>
          </w:rPr>
          <w:t>16.75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Iowa finance authority will issue a tax credit certificate to the taxpayer which will include the name, address and tax identification number of the owner, the amount of the credit, and the tax period for which the credit may be applied. To claim the tax credit, the owner must include the tax credit certificate with the tax return for the tax period set forth on the certificate. For fiscal years beginning on or after July 1, 2013, the amount of tax credit certificates issued by the Iowa finance authority for the custom farming contract tax credit program cannot exceed $4 million, and the credit certificates will be issued on a first-come, first-served basis. The amount of the credit issued to an individual taxpayer cannot exceed $50,000. However, effective December 31, 2017, the Iowa finance authority will no longer issue custom farming contract tax credits.</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ten years or until used, whichever is the earlier. The tax credit shall not be carried back to a tax year prior to the year in which the owner redeems the credit. The credit is not transferable to any other person other than the taxpayer’s estate or trust upon the death of the taxpayer.</w:t>
      </w:r>
    </w:p>
    <w:p>
      <w:pPr>
        <w:spacing w:before="0" w:after="0"/>
        <w:ind w:left="120"/>
        <w:jc w:val="both"/>
      </w:pPr>
      <w:r>
        <w:rPr>
          <w:rFonts w:ascii="Times New Roman" w:hAnsi="Times New Roman"/>
          <w:b w:val="false"/>
          <w:i w:val="false"/>
          <w:color w:val="000000"/>
          <w:sz w:val="22"/>
        </w:rPr>
        <w:t>If the party entering into the custom farming contract with the beginning farmer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The custom farming contract may be terminated by either the taxpayer or the beginning farmer. If the Iowa finance authority determines that the taxpayer is not at fault for the termination, the authority will not issue a tax credit certificate for subsequent years, but any prior tax credit certificates issued will be allowed. If the Iowa finance authority determines that the taxpayer is at fault for the termination, any prior tax credit certificates will be disallowed. The amount of tax credits previously allowed will be recaptured, and the taxpayer will be required to repay the entire amount of tax credits previously claimed on Iowa returns.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8">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2014 Iowa Acts, Senate File 2328, sections 60 and 61</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2454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2014 Iowa Acts, Senate File 2328, sections 120 and 122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701—501.34</w:t>
      </w:r>
      <w:r>
        <w:rPr>
          <w:rFonts w:ascii="Times New Roman" w:hAnsi="Times New Roman"/>
          <w:b/>
          <w:i w:val="false"/>
          <w:color w:val="000000"/>
          <w:sz w:val="22"/>
        </w:rPr>
        <w:t xml:space="preserve">(15,422) </w:t>
      </w:r>
      <w:r>
        <w:rPr>
          <w:rFonts w:ascii="Times New Roman" w:hAnsi="Times New Roman"/>
          <w:b/>
          <w:i w:val="false"/>
          <w:color w:val="000000"/>
          <w:sz w:val="22"/>
        </w:rPr>
        <w:t xml:space="preserve">Film qualified expenditure tax credit. </w:t>
      </w:r>
      <w:r>
        <w:rPr>
          <w:rFonts w:ascii="Times New Roman" w:hAnsi="Times New Roman"/>
          <w:b w:val="false"/>
          <w:i w:val="false"/>
          <w:color w:val="000000"/>
          <w:sz w:val="22"/>
        </w:rPr>
        <w:t xml:space="preserve">Effective for tax years beginning on or after January 1, 2007, a film qualified expenditure tax credit is available for corporation income tax. The tax credit cannot exceed 25 percent of the taxpayer’s qualified expenditures in a film, television, or video project registered with the film office of the Iowa department of economic development (IDED). The film office may negotiate the amount of the tax credit. The administrative rules for the film qualified expenditure tax credit for IDED may be found at </w:t>
      </w:r>
      <w:hyperlink r:id="rId279">
        <w:r>
          <w:rPr>
            <w:rStyle w:val="Hyperlink"/>
            <w:rFonts w:ascii="Times New Roman" w:hAnsi="Times New Roman"/>
            <w:b w:val="false"/>
            <w:i w:val="false"/>
            <w:color w:val="000000"/>
            <w:sz w:val="22"/>
          </w:rPr>
          <w:t>261—Chapter 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501.34(1)</w:t>
      </w:r>
      <w:r>
        <w:rPr>
          <w:rFonts w:ascii="Times New Roman" w:hAnsi="Times New Roman"/>
          <w:b w:val="false"/>
          <w:i w:val="false"/>
          <w:color w:val="000000"/>
          <w:sz w:val="22"/>
        </w:rPr>
        <w:t> </w:t>
      </w:r>
      <w:r>
        <w:rPr>
          <w:rFonts w:ascii="Times New Roman" w:hAnsi="Times New Roman"/>
          <w:b w:val="false"/>
          <w:i/>
          <w:color w:val="000000"/>
          <w:sz w:val="22"/>
        </w:rPr>
        <w:t xml:space="preserve">Qualified expenditures. </w:t>
      </w:r>
      <w:r>
        <w:rPr>
          <w:rFonts w:ascii="Times New Roman" w:hAnsi="Times New Roman"/>
          <w:b w:val="false"/>
          <w:i w:val="false"/>
          <w:color w:val="000000"/>
          <w:sz w:val="22"/>
        </w:rPr>
        <w:t>A qualified expenditure is a payment to an Iowa resident or an Iowa-based business for the sale, rental or furnishing of tangible personal property or services directly related to the registered project. The qualified expenditures include, but are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Aircraft.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Vehicles.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Equipment.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Materials.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Supplies.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Accounting services.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Animals and animal care services.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Artistic and design services.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Graphics.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Construction.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Data and information services.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Delivery and pickup services.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 xml:space="preserve">Labor and personnel. For limitations on the amount of labor and personnel expenditures, see Iowa department of economic development </w:t>
      </w:r>
      <w:hyperlink r:id="rId280">
        <w:r>
          <w:rPr>
            <w:rStyle w:val="Hyperlink"/>
            <w:rFonts w:ascii="Times New Roman" w:hAnsi="Times New Roman"/>
            <w:b w:val="false"/>
            <w:i w:val="false"/>
            <w:color w:val="000000"/>
            <w:sz w:val="22"/>
          </w:rPr>
          <w:t>261—paragraph 36.7(2)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Lighting services.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Makeup and hairdressing services.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Film.</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Music.</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Photography.</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Sound.</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Video and related services.</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Printing.</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Research.</w:t>
      </w:r>
    </w:p>
    <w:p>
      <w:pPr>
        <w:spacing w:before="0" w:after="0"/>
        <w:ind w:left="120"/>
        <w:jc w:val="both"/>
      </w:pPr>
      <w:r>
        <w:rPr>
          <w:rFonts w:ascii="Times New Roman" w:hAnsi="Times New Roman"/>
          <w:b w:val="false"/>
          <w:i w:val="false"/>
          <w:color w:val="000000"/>
          <w:sz w:val="22"/>
        </w:rPr>
        <w:t>    23.   </w:t>
      </w:r>
      <w:r>
        <w:rPr>
          <w:rFonts w:ascii="Times New Roman" w:hAnsi="Times New Roman"/>
          <w:b w:val="false"/>
          <w:i w:val="false"/>
          <w:color w:val="000000"/>
          <w:sz w:val="22"/>
        </w:rPr>
        <w:t>Site fees and rental.</w:t>
      </w:r>
    </w:p>
    <w:p>
      <w:pPr>
        <w:spacing w:before="0" w:after="0"/>
        <w:ind w:left="120"/>
        <w:jc w:val="both"/>
      </w:pPr>
      <w:r>
        <w:rPr>
          <w:rFonts w:ascii="Times New Roman" w:hAnsi="Times New Roman"/>
          <w:b w:val="false"/>
          <w:i w:val="false"/>
          <w:color w:val="000000"/>
          <w:sz w:val="22"/>
        </w:rPr>
        <w:t>    24.   </w:t>
      </w:r>
      <w:r>
        <w:rPr>
          <w:rFonts w:ascii="Times New Roman" w:hAnsi="Times New Roman"/>
          <w:b w:val="false"/>
          <w:i w:val="false"/>
          <w:color w:val="000000"/>
          <w:sz w:val="22"/>
        </w:rPr>
        <w:t>Travel related to Iowa distant locations.</w:t>
      </w:r>
    </w:p>
    <w:p>
      <w:pPr>
        <w:spacing w:before="0" w:after="0"/>
        <w:ind w:left="120"/>
        <w:jc w:val="both"/>
      </w:pPr>
      <w:r>
        <w:rPr>
          <w:rFonts w:ascii="Times New Roman" w:hAnsi="Times New Roman"/>
          <w:b w:val="false"/>
          <w:i w:val="false"/>
          <w:color w:val="000000"/>
          <w:sz w:val="22"/>
        </w:rPr>
        <w:t>    25.   </w:t>
      </w:r>
      <w:r>
        <w:rPr>
          <w:rFonts w:ascii="Times New Roman" w:hAnsi="Times New Roman"/>
          <w:b w:val="false"/>
          <w:i w:val="false"/>
          <w:color w:val="000000"/>
          <w:sz w:val="22"/>
        </w:rPr>
        <w:t>Trash removal and cleanup.</w:t>
      </w:r>
    </w:p>
    <w:p>
      <w:pPr>
        <w:spacing w:before="0" w:after="0"/>
        <w:ind w:left="120"/>
        <w:jc w:val="both"/>
      </w:pPr>
      <w:r>
        <w:rPr>
          <w:rFonts w:ascii="Times New Roman" w:hAnsi="Times New Roman"/>
          <w:b w:val="false"/>
          <w:i w:val="false"/>
          <w:color w:val="000000"/>
          <w:sz w:val="22"/>
        </w:rPr>
        <w:t>    26.   </w:t>
      </w:r>
      <w:r>
        <w:rPr>
          <w:rFonts w:ascii="Times New Roman" w:hAnsi="Times New Roman"/>
          <w:b w:val="false"/>
          <w:i w:val="false"/>
          <w:color w:val="000000"/>
          <w:sz w:val="22"/>
        </w:rPr>
        <w:t>Wardrobe.</w:t>
      </w:r>
    </w:p>
    <w:p>
      <w:pPr>
        <w:spacing w:before="0" w:after="0"/>
        <w:ind w:left="120"/>
        <w:jc w:val="both"/>
      </w:pPr>
      <w:r>
        <w:rPr>
          <w:rFonts w:ascii="Times New Roman" w:hAnsi="Times New Roman"/>
          <w:b w:val="false"/>
          <w:i w:val="false"/>
          <w:color w:val="000000"/>
          <w:sz w:val="22"/>
        </w:rPr>
        <w:t>A detailed list of all qualified expenditures for each of these categories is available from the film office of 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501.34(2)</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Upon completion of the registered project in Iowa, the taxpayer must submit, in a format approved by IDED prior to production, a listing of the qualified expenditures. Upon verification of the qualified expenditures, IDED will issue a tax credit certificate to the taxpayer. The certificate will list the taxpayer’s name, address, and tax identification number; the date of project completion; the amount of the credit; the tax period for which the credit may be applied; and the type of tax for which the credit will be applied.</w:t>
      </w:r>
    </w:p>
    <w:p>
      <w:pPr>
        <w:spacing w:before="0" w:after="0"/>
        <w:ind w:left="120"/>
        <w:jc w:val="both"/>
      </w:pPr>
      <w:r>
        <w:rPr>
          <w:rFonts w:ascii="Times New Roman" w:hAnsi="Times New Roman"/>
          <w:b w:val="false"/>
          <w:i w:val="false"/>
          <w:color w:val="000000"/>
          <w:sz w:val="22"/>
        </w:rPr>
        <w:t>If the taxpayer is a partnership, limited liability company, S corporation, or estate or trust requesting a credit for individual or corporation income tax, the tax credit certificate will be issued to the partners, members, shareholders or beneficiaries based on each partner’s, member’s, shareholder’s or beneficiary’s pro rata share of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To claim the tax credit, the taxpayer must include the tax credit certificate with the tax return for the tax period set forth on the certificate. Any tax credit in excess of the tax liability may be carried forward for five years or until the tax credit is used, whichever is the earlier. The tax credit cannot be carried back to a tax year prior to the year in which the taxpayer claimed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501.34(3)</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film qualified expenditure tax credit. </w:t>
      </w:r>
      <w:r>
        <w:rPr>
          <w:rFonts w:ascii="Times New Roman" w:hAnsi="Times New Roman"/>
          <w:b w:val="false"/>
          <w:i w:val="false"/>
          <w:color w:val="000000"/>
          <w:sz w:val="22"/>
        </w:rPr>
        <w:t>The film qualified expenditure tax credit may be transferred no more than two times to any person or entity.</w:t>
      </w:r>
    </w:p>
    <w:p>
      <w:pPr>
        <w:spacing w:before="0" w:after="0"/>
        <w:ind w:left="120"/>
        <w:jc w:val="both"/>
      </w:pP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which contains the transferee’s name, address and tax identification number and the amount of the tax credit being transferred. Within 30 days of receiving the transferred tax credit certificate and the statement from the transferee, the department of revenue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film qualified expenditure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501.34(4)</w:t>
      </w:r>
      <w:r>
        <w:rPr>
          <w:rFonts w:ascii="Times New Roman" w:hAnsi="Times New Roman"/>
          <w:b w:val="false"/>
          <w:i w:val="false"/>
          <w:color w:val="000000"/>
          <w:sz w:val="22"/>
        </w:rPr>
        <w:t> </w:t>
      </w:r>
      <w:r>
        <w:rPr>
          <w:rFonts w:ascii="Times New Roman" w:hAnsi="Times New Roman"/>
          <w:b w:val="false"/>
          <w:i/>
          <w:color w:val="000000"/>
          <w:sz w:val="22"/>
        </w:rPr>
        <w:t xml:space="preserve">Repeal of film qualified expenditure tax credit. </w:t>
      </w:r>
      <w:r>
        <w:rPr>
          <w:rFonts w:ascii="Times New Roman" w:hAnsi="Times New Roman"/>
          <w:b w:val="false"/>
          <w:i w:val="false"/>
          <w:color w:val="000000"/>
          <w:sz w:val="22"/>
        </w:rPr>
        <w:t>The film qualified expenditure tax credit is repealed for tax years beginning on or after January 1, 2012. However, the credit is still available for tax years beginning prior to January 1, 2012, if the contract or agreement related to a film project was entered into on or before May 25, 2012.</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2012 Iowa Acts, House File 2337, sections 38 to 40</w:t>
      </w:r>
      <w:r>
        <w:rPr>
          <w:rFonts w:ascii="Times New Roman" w:hAnsi="Times New Roman"/>
          <w:b w:val="false"/>
          <w:i w:val="false"/>
          <w:color w:val="000000"/>
          <w:sz w:val="22"/>
        </w:rPr>
        <w:t xml:space="preserve">, and Iowa Code section </w:t>
      </w:r>
      <w:hyperlink r:id="rId281">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House File 2337, section 34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701—501.35</w:t>
      </w:r>
      <w:r>
        <w:rPr>
          <w:rFonts w:ascii="Times New Roman" w:hAnsi="Times New Roman"/>
          <w:b/>
          <w:i w:val="false"/>
          <w:color w:val="000000"/>
          <w:sz w:val="22"/>
        </w:rPr>
        <w:t xml:space="preserve">(15,422) </w:t>
      </w:r>
      <w:r>
        <w:rPr>
          <w:rFonts w:ascii="Times New Roman" w:hAnsi="Times New Roman"/>
          <w:b/>
          <w:i w:val="false"/>
          <w:color w:val="000000"/>
          <w:sz w:val="22"/>
        </w:rPr>
        <w:t xml:space="preserve">Film investment tax credit. </w:t>
      </w:r>
      <w:r>
        <w:rPr>
          <w:rFonts w:ascii="Times New Roman" w:hAnsi="Times New Roman"/>
          <w:b w:val="false"/>
          <w:i w:val="false"/>
          <w:color w:val="000000"/>
          <w:sz w:val="22"/>
        </w:rPr>
        <w:t xml:space="preserve">Effective for tax years beginning on or after January 1, 2007, a film investment tax credit is available for corporation income tax. The tax credit cannot exceed 25 percent of the taxpayer’s investment in a film, television, or video project registered with the film office of the Iowa department of economic development (IDED). The film office may negotiate the amount of the tax credit. The administrative rules for the film investment tax credit for IDED may be found at </w:t>
      </w:r>
      <w:hyperlink r:id="rId282">
        <w:r>
          <w:rPr>
            <w:rStyle w:val="Hyperlink"/>
            <w:rFonts w:ascii="Times New Roman" w:hAnsi="Times New Roman"/>
            <w:b w:val="false"/>
            <w:i w:val="false"/>
            <w:color w:val="000000"/>
            <w:sz w:val="22"/>
          </w:rPr>
          <w:t>261—Chapter 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501.35(1)</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Upon completion of the project in Iowa and verification of the investment in the project, IDED will issue a tax credit certificate to the taxpayer. The certificate will list the taxpayer’s name, address, and tax identification number; the date of project completion; the amount of the credit; the tax period for which the credit may be applied; and the type of tax for which the credit will be applied.</w:t>
      </w:r>
    </w:p>
    <w:p>
      <w:pPr>
        <w:spacing w:before="0" w:after="0"/>
        <w:ind w:left="120"/>
        <w:jc w:val="both"/>
      </w:pPr>
      <w:r>
        <w:rPr>
          <w:rFonts w:ascii="Times New Roman" w:hAnsi="Times New Roman"/>
          <w:b w:val="false"/>
          <w:i w:val="false"/>
          <w:color w:val="000000"/>
          <w:sz w:val="22"/>
        </w:rPr>
        <w:t>If the taxpayer is a partnership, limited liability company, S corporation, or estate or trust requesting a credit for individual or corporation income tax, the tax credit certificate will be issued to the partners, members, shareholders or beneficiaries based on each partner’s, member’s, shareholder’s or beneficiary’s pro rata share of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To claim the tax credit, the taxpayer must include the tax credit certificate with the tax return for the tax period set forth on the certificate. Any tax credit in excess of the tax liability may be carried forward for five years or until the tax credit is used, whichever is the earlier. The tax credit cannot be carried back to a tax year prior to the year in which the taxpayer claimed the tax credit. In addition, a taxpayer cannot claim the film investment tax credit for qualified expenditures for which the film expenditure tax credit set forth in rule </w:t>
      </w:r>
      <w:hyperlink r:id="rId283">
        <w:r>
          <w:rPr>
            <w:rStyle w:val="Hyperlink"/>
            <w:rFonts w:ascii="Times New Roman" w:hAnsi="Times New Roman"/>
            <w:b w:val="false"/>
            <w:i w:val="false"/>
            <w:color w:val="000000"/>
            <w:sz w:val="22"/>
          </w:rPr>
          <w:t>701—501.34</w:t>
        </w:r>
      </w:hyperlink>
      <w:r>
        <w:rPr>
          <w:rFonts w:ascii="Times New Roman" w:hAnsi="Times New Roman"/>
          <w:b w:val="false"/>
          <w:i w:val="false"/>
          <w:color w:val="000000"/>
          <w:sz w:val="22"/>
        </w:rPr>
        <w:t>(15,422) is claimed.</w:t>
      </w:r>
    </w:p>
    <w:p>
      <w:pPr>
        <w:spacing w:before="0" w:after="0"/>
        <w:ind w:left="120"/>
        <w:jc w:val="both"/>
      </w:pPr>
      <w:r>
        <w:rPr>
          <w:rFonts w:ascii="Times New Roman" w:hAnsi="Times New Roman"/>
          <w:b w:val="false"/>
          <w:i w:val="false"/>
          <w:color w:val="000000"/>
          <w:sz w:val="22"/>
        </w:rPr>
        <w:t xml:space="preserve">The total of all film investment tax credits for a particular project cannot exceed 25 percent of the qualified expenditures as set forth in subrule </w:t>
      </w:r>
      <w:hyperlink r:id="rId284">
        <w:r>
          <w:rPr>
            <w:rStyle w:val="Hyperlink"/>
            <w:rFonts w:ascii="Times New Roman" w:hAnsi="Times New Roman"/>
            <w:b w:val="false"/>
            <w:i w:val="false"/>
            <w:color w:val="000000"/>
            <w:sz w:val="22"/>
          </w:rPr>
          <w:t>501.34(1)</w:t>
        </w:r>
      </w:hyperlink>
      <w:r>
        <w:rPr>
          <w:rFonts w:ascii="Times New Roman" w:hAnsi="Times New Roman"/>
          <w:b w:val="false"/>
          <w:i w:val="false"/>
          <w:color w:val="000000"/>
          <w:sz w:val="22"/>
        </w:rPr>
        <w:t xml:space="preserve"> for the particular project. If the amount of investment exceeds the qualified expenditures, the tax credit will be allocated proportionately. For example, if three investors each invested $100,000 in a project but the qualified expenditures in Iowa only totaled $270,000, each investor would receive a tax credit based on a $90,000 investment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501.35(2)</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film investment tax credit. </w:t>
      </w:r>
      <w:r>
        <w:rPr>
          <w:rFonts w:ascii="Times New Roman" w:hAnsi="Times New Roman"/>
          <w:b w:val="false"/>
          <w:i w:val="false"/>
          <w:color w:val="000000"/>
          <w:sz w:val="22"/>
        </w:rPr>
        <w:t>The film investment tax credit may be transferred no more than two times to any person or entity.</w:t>
      </w:r>
    </w:p>
    <w:p>
      <w:pPr>
        <w:spacing w:before="0" w:after="0"/>
        <w:ind w:left="120"/>
        <w:jc w:val="both"/>
      </w:pP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which contains the transferee’s name, address and tax identification number and the amount of the tax credit being transferred. Within 30 days of receiving the transferred tax credit certificate and the statement from the transferee, the department of revenue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film investment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501.35(3)</w:t>
      </w:r>
      <w:r>
        <w:rPr>
          <w:rFonts w:ascii="Times New Roman" w:hAnsi="Times New Roman"/>
          <w:b w:val="false"/>
          <w:i w:val="false"/>
          <w:color w:val="000000"/>
          <w:sz w:val="22"/>
        </w:rPr>
        <w:t> </w:t>
      </w:r>
      <w:r>
        <w:rPr>
          <w:rFonts w:ascii="Times New Roman" w:hAnsi="Times New Roman"/>
          <w:b w:val="false"/>
          <w:i/>
          <w:color w:val="000000"/>
          <w:sz w:val="22"/>
        </w:rPr>
        <w:t xml:space="preserve">Repeal of film investment tax credit. </w:t>
      </w:r>
      <w:r>
        <w:rPr>
          <w:rFonts w:ascii="Times New Roman" w:hAnsi="Times New Roman"/>
          <w:b w:val="false"/>
          <w:i w:val="false"/>
          <w:color w:val="000000"/>
          <w:sz w:val="22"/>
        </w:rPr>
        <w:t>The film investment tax credit is repealed for tax years beginning on or after January 1, 2012. However, the credit is still available for tax years beginning prior to January 1, 2012, if the contract or agreement related to a film project was entered into on or before May 25, 2012.</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2012 Iowa Acts, House File 2337, sections 38 to 40</w:t>
      </w:r>
      <w:r>
        <w:rPr>
          <w:rFonts w:ascii="Times New Roman" w:hAnsi="Times New Roman"/>
          <w:b w:val="false"/>
          <w:i w:val="false"/>
          <w:color w:val="000000"/>
          <w:sz w:val="22"/>
        </w:rPr>
        <w:t xml:space="preserve">, and Iowa Code section </w:t>
      </w:r>
      <w:hyperlink r:id="rId285">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House File 2337, section 34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701—501.36</w:t>
      </w:r>
      <w:r>
        <w:rPr>
          <w:rFonts w:ascii="Times New Roman" w:hAnsi="Times New Roman"/>
          <w:b/>
          <w:i w:val="false"/>
          <w:color w:val="000000"/>
          <w:sz w:val="22"/>
        </w:rPr>
        <w:t xml:space="preserve">(422) </w:t>
      </w:r>
      <w:r>
        <w:rPr>
          <w:rFonts w:ascii="Times New Roman" w:hAnsi="Times New Roman"/>
          <w:b/>
          <w:i w:val="false"/>
          <w:color w:val="000000"/>
          <w:sz w:val="22"/>
        </w:rPr>
        <w:t xml:space="preserve">Ethanol promotion tax credit. </w:t>
      </w:r>
      <w:r>
        <w:rPr>
          <w:rFonts w:ascii="Times New Roman" w:hAnsi="Times New Roman"/>
          <w:b w:val="false"/>
          <w:i w:val="false"/>
          <w:color w:val="000000"/>
          <w:sz w:val="22"/>
        </w:rPr>
        <w:t>Effective for tax years beginning on or after January 1, 2009, a retail dealer of gasoline may claim an ethanol promotion tax credit. For purposes of this rule, tank wagon sales are considered retail sales. The ethanol promotion tax credit is computed on Form IA 137.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“Biodiesel gallonage” </w:t>
      </w:r>
      <w:r>
        <w:rPr>
          <w:rFonts w:ascii="Times New Roman" w:hAnsi="Times New Roman"/>
          <w:b w:val="false"/>
          <w:i w:val="false"/>
          <w:color w:val="000000"/>
          <w:sz w:val="22"/>
        </w:rPr>
        <w:t>means the total number of gallons of biodiesel which the retail dealer sells from motor fuel pumps during a determination period. For example, 5,000 gallons of biodiesel blended fuel with a 2 percent by volume of biodiesel sold during a determination period results in a biodiesel gallonage of 100 (5,000 times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“Biofuel distribution percentage” </w:t>
      </w:r>
      <w:r>
        <w:rPr>
          <w:rFonts w:ascii="Times New Roman" w:hAnsi="Times New Roman"/>
          <w:b w:val="false"/>
          <w:i w:val="false"/>
          <w:color w:val="000000"/>
          <w:sz w:val="22"/>
        </w:rPr>
        <w:t>means the sum of the retail dealer’s total ethanol gallonage plus the retail dealer’s total biodiesel gallonage expressed as a percentage of the retail dealer’s total gasoline gallonage.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“Biofuel threshold percentage” </w:t>
      </w:r>
      <w:r>
        <w:rPr>
          <w:rFonts w:ascii="Times New Roman" w:hAnsi="Times New Roman"/>
          <w:b w:val="false"/>
          <w:i w:val="false"/>
          <w:color w:val="000000"/>
          <w:sz w:val="22"/>
        </w:rPr>
        <w:t>is dependent on the aggregate number of gallons of motor fuel sold by a retail dealer during a determination period, as set forth below:</w:t>
      </w:r>
    </w:p>
    <w:tbl>
      <w:tblPr>
        <w:tblW w:w="0" w:type="auto"/>
        <w:tblCellSpacing w:w="0" w:type="auto"/>
        <w:tblBorders>
          <w:top w:val="none"/>
          <w:left w:val="none"/>
          <w:bottom w:val="none"/>
          <w:right w:val="none"/>
          <w:insideH w:val="none"/>
          <w:insideV w:val="none"/>
        </w:tblBorders>
        <w:tblLayout w:type="fixed"/>
      </w:tblPr>
      <w:tblGrid>
        <w:gridCol w:w="3730"/>
        <w:gridCol w:w="3730"/>
        <w:gridCol w:w="3730"/>
      </w:tblGrid>
      <w:tr>
        <w:trPr>
          <w:trHeight w:val="39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Determination Period</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More than 200,000 Gallons</w:t>
            </w:r>
            <w:r>
              <w:br/>
            </w:r>
            <w:r>
              <w:rPr>
                <w:rFonts w:ascii="Times New Roman" w:hAnsi="Times New Roman"/>
                <w:b w:val="false"/>
                <w:i w:val="false"/>
                <w:color w:val="000000"/>
                <w:sz w:val="16"/>
              </w:rPr>
              <w:t>Sold by Retail Dealer</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200,000 Gallons or Less</w:t>
            </w:r>
            <w:r>
              <w:br/>
            </w:r>
            <w:r>
              <w:rPr>
                <w:rFonts w:ascii="Times New Roman" w:hAnsi="Times New Roman"/>
                <w:b w:val="false"/>
                <w:i w:val="false"/>
                <w:color w:val="000000"/>
                <w:sz w:val="16"/>
              </w:rPr>
              <w:t>Sold by Retail Dealer</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2009</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2010</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2011</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2012</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2013</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2014</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2015</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2016</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2017</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2018</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2019</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r>
      <w:tr>
        <w:trPr>
          <w:trHeight w:val="210"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2020</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“Biofuel threshold percentage disparity” </w:t>
      </w:r>
      <w:r>
        <w:rPr>
          <w:rFonts w:ascii="Times New Roman" w:hAnsi="Times New Roman"/>
          <w:b w:val="false"/>
          <w:i w:val="false"/>
          <w:color w:val="000000"/>
          <w:sz w:val="22"/>
        </w:rPr>
        <w:t xml:space="preserve">means the positive percentage difference between the retail dealer’s biofuel threshold percentage and the retail dealer’s biofuel distribution percentage. For example, if a retail dealer that sells more than 200,000 gallons of motor fuel in 2009 has a biofuel distribution percentage of 8 percent, the biofuel threshold percentage disparity equals 2 percent (10% minus 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“Determination period” </w:t>
      </w:r>
      <w:r>
        <w:rPr>
          <w:rFonts w:ascii="Times New Roman" w:hAnsi="Times New Roman"/>
          <w:b w:val="false"/>
          <w:i w:val="false"/>
          <w:color w:val="000000"/>
          <w:sz w:val="22"/>
        </w:rPr>
        <w:t>means any 12-month period beginning on January 1 and ending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“Ethanol gallonage” </w:t>
      </w:r>
      <w:r>
        <w:rPr>
          <w:rFonts w:ascii="Times New Roman" w:hAnsi="Times New Roman"/>
          <w:b w:val="false"/>
          <w:i w:val="false"/>
          <w:color w:val="000000"/>
          <w:sz w:val="22"/>
        </w:rPr>
        <w:t>means the total number of gallons of ethanol which the retail dealer sells from motor fuel pumps during a determination period. For example, 10,000 gallons of ethanol blended gasoline formulated with a 10 percent by volume of ethanol sold during a determination period results in an ethanol gallonage of 1,000 (10,000 gallons times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“Gasoline gallonage” </w:t>
      </w:r>
      <w:r>
        <w:rPr>
          <w:rFonts w:ascii="Times New Roman" w:hAnsi="Times New Roman"/>
          <w:b w:val="false"/>
          <w:i w:val="false"/>
          <w:color w:val="000000"/>
          <w:sz w:val="22"/>
        </w:rPr>
        <w:t>means the total number of gallons of gasoline sold by the retail dealer during a determination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501.36(2)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tax credit is calculated by multiplying the retail dealer’s total ethanol gallonage by the tax credit rate, which is adjusted based upon the retail dealer’s biofuel threshold percentage disparity. The tax credit rate is set forth below:</w:t>
      </w:r>
    </w:p>
    <w:tbl>
      <w:tblPr>
        <w:tblW w:w="0" w:type="auto"/>
        <w:tblCellSpacing w:w="0" w:type="auto"/>
        <w:tblBorders>
          <w:top w:val="none"/>
          <w:left w:val="none"/>
          <w:bottom w:val="none"/>
          <w:right w:val="none"/>
          <w:insideH w:val="none"/>
          <w:insideV w:val="none"/>
        </w:tblBorders>
        <w:tblLayout w:type="fixed"/>
      </w:tblPr>
      <w:tblGrid>
        <w:gridCol w:w="2798"/>
        <w:gridCol w:w="2798"/>
        <w:gridCol w:w="2797"/>
        <w:gridCol w:w="2797"/>
      </w:tblGrid>
      <w:tr>
        <w:trPr>
          <w:trHeight w:val="390" w:hRule="atLeast"/>
        </w:trPr>
        <w:tc>
          <w:tcPr>
            <w:tcW w:w="2798"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Biofuel Threshold </w:t>
            </w:r>
            <w:r>
              <w:br/>
            </w:r>
            <w:r>
              <w:rPr>
                <w:rFonts w:ascii="Times New Roman" w:hAnsi="Times New Roman"/>
                <w:b w:val="false"/>
                <w:i w:val="false"/>
                <w:color w:val="000000"/>
                <w:sz w:val="16"/>
              </w:rPr>
              <w:t>Percentage Disparity</w:t>
            </w:r>
          </w:p>
        </w:tc>
        <w:tc>
          <w:tcPr>
            <w:tcW w:w="2798"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Tax Credit Rate</w:t>
            </w:r>
            <w:r>
              <w:br/>
            </w:r>
            <w:r>
              <w:rPr>
                <w:rFonts w:ascii="Times New Roman" w:hAnsi="Times New Roman"/>
                <w:b w:val="false"/>
                <w:i w:val="false"/>
                <w:color w:val="000000"/>
                <w:sz w:val="16"/>
              </w:rPr>
              <w:t>per Gallon 2009-2010</w:t>
            </w:r>
          </w:p>
        </w:tc>
        <w:tc>
          <w:tcPr>
            <w:tcW w:w="2797"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Tax Credit Rate</w:t>
            </w:r>
            <w:r>
              <w:br/>
            </w:r>
            <w:r>
              <w:rPr>
                <w:rFonts w:ascii="Times New Roman" w:hAnsi="Times New Roman"/>
                <w:b w:val="false"/>
                <w:i w:val="false"/>
                <w:color w:val="000000"/>
                <w:sz w:val="16"/>
              </w:rPr>
              <w:t>per Gallon 2011</w:t>
            </w:r>
          </w:p>
        </w:tc>
        <w:tc>
          <w:tcPr>
            <w:tcW w:w="2797"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Tax Credit Rate</w:t>
            </w:r>
            <w:r>
              <w:br/>
            </w:r>
            <w:r>
              <w:rPr>
                <w:rFonts w:ascii="Times New Roman" w:hAnsi="Times New Roman"/>
                <w:b w:val="false"/>
                <w:i w:val="false"/>
                <w:color w:val="000000"/>
                <w:sz w:val="16"/>
              </w:rPr>
              <w:t>per Gallon 2012-2020</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 cents</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0.01% to 2.00%</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 cents</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 to 4.00%</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 cents</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4.01% or more</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cents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use in calculating a retail dealer’s total ethanol gallonage, the department is required to establish a schedule regarding the average amount of ethanol contained in E-85 gasoline.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may claim the ethanol promotion tax credit even if the taxpayer also claims the E-85 gasoline promotion tax credit provided in rule </w:t>
      </w:r>
      <w:hyperlink r:id="rId286">
        <w:r>
          <w:rPr>
            <w:rStyle w:val="Hyperlink"/>
            <w:rFonts w:ascii="Times New Roman" w:hAnsi="Times New Roman"/>
            <w:b w:val="false"/>
            <w:i w:val="false"/>
            <w:color w:val="000000"/>
            <w:sz w:val="22"/>
          </w:rPr>
          <w:t>701—501.30</w:t>
        </w:r>
      </w:hyperlink>
      <w:r>
        <w:rPr>
          <w:rFonts w:ascii="Times New Roman" w:hAnsi="Times New Roman"/>
          <w:b w:val="false"/>
          <w:i w:val="false"/>
          <w:color w:val="000000"/>
          <w:sz w:val="22"/>
        </w:rPr>
        <w:t xml:space="preserve">(422) or the E-15 plus gasoline promotion tax credit provided in rule </w:t>
      </w:r>
      <w:hyperlink r:id="rId287">
        <w:r>
          <w:rPr>
            <w:rStyle w:val="Hyperlink"/>
            <w:rFonts w:ascii="Times New Roman" w:hAnsi="Times New Roman"/>
            <w:b w:val="false"/>
            <w:i w:val="false"/>
            <w:color w:val="000000"/>
            <w:sz w:val="22"/>
          </w:rPr>
          <w:t>701—501.43</w:t>
        </w:r>
      </w:hyperlink>
      <w:r>
        <w:rPr>
          <w:rFonts w:ascii="Times New Roman" w:hAnsi="Times New Roman"/>
          <w:b w:val="false"/>
          <w:i w:val="false"/>
          <w:color w:val="000000"/>
          <w:sz w:val="22"/>
        </w:rPr>
        <w:t>(422) for the same tax year for the same ethanol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tax credit must be calculated separately for each retail motor fuel site operated by the taxpayer for tax years beginning prior to January 1, 2011. The biofuel threshold percentage disparity of the taxpayer is computed on a statewide basis based on the total ethanol gallonage sold in Iowa. The taxpayer must determine the ethanol gallonage sold at each retail motor fuel site and multiply this ethanol gallonage by the applicable tax credit rate based on the biofuel threshold percentage disparity to calculate the ethanol promotion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2011, the taxpayer may elect to compute the biofuel threshold percentage disparity and the tax credit on either a site-by-site basis or on a companywide basis. The election made on the first return beginning on or after January 1, 2011, for either the site-by-site method or the companywide method is binding on the taxpayer for subsequent tax years unless the taxpayer petitions the department for a change in the method. Any petition for a change in the method should be made within a reasonable period of time prior to the due date of the return for which the change is requested. For example, if a change is requested for the tax return beginning January 1, 2012, the petition should be made by January 31, 2013, which is 90 days prior to the due date of the return.</w:t>
      </w:r>
    </w:p>
    <w:p>
      <w:pPr>
        <w:spacing w:before="0" w:after="0"/>
        <w:ind w:left="120"/>
        <w:jc w:val="both"/>
      </w:pPr>
      <w:r>
        <w:rPr>
          <w:rFonts w:ascii="Times New Roman" w:hAnsi="Times New Roman"/>
          <w:b w:val="false"/>
          <w:i w:val="false"/>
          <w:color w:val="000000"/>
          <w:sz w:val="22"/>
        </w:rPr>
        <w:t>The mere fact that a change in the method will result in a larger tax credit for subsequent years is not, of itself, sufficient grounds for changing the method for computing the credit. An example of a case for which the department may grant a change in the method is if the taxpayer has a significant change in the type of fuel sold at the taxpayer’s retail sites in Iowa. For example, if a retail dealer opted to start selling E-85 gasoline at all the taxpayer’s retail sites in Iowa for a subsequent tax year, the department may grant a change in the method.</w:t>
      </w:r>
    </w:p>
    <w:p>
      <w:pPr>
        <w:spacing w:before="0" w:after="0"/>
        <w:ind w:left="120"/>
        <w:jc w:val="both"/>
      </w:pPr>
      <w:r>
        <w:rPr>
          <w:rFonts w:ascii="Times New Roman" w:hAnsi="Times New Roman"/>
          <w:b w:val="false"/>
          <w:i w:val="false"/>
          <w:color w:val="000000"/>
          <w:sz w:val="22"/>
        </w:rPr>
        <w:t xml:space="preserve">If a taxpayer chooses the site-by-site method to compute the biofuel threshold percentage disparity, the gallons sold at all sites in Iowa must be considered in determining if the biofuel threshold percentage as defined in subrule </w:t>
      </w:r>
      <w:hyperlink r:id="rId288">
        <w:r>
          <w:rPr>
            <w:rStyle w:val="Hyperlink"/>
            <w:rFonts w:ascii="Times New Roman" w:hAnsi="Times New Roman"/>
            <w:b w:val="false"/>
            <w:i w:val="false"/>
            <w:color w:val="000000"/>
            <w:sz w:val="22"/>
          </w:rPr>
          <w:t>501.36(1)</w:t>
        </w:r>
      </w:hyperlink>
      <w:r>
        <w:rPr>
          <w:rFonts w:ascii="Times New Roman" w:hAnsi="Times New Roman"/>
          <w:b w:val="false"/>
          <w:i w:val="false"/>
          <w:color w:val="000000"/>
          <w:sz w:val="22"/>
        </w:rPr>
        <w:t xml:space="preserve"> is based on more than 200,000 gallons, or 200,000 gallons or less. For example, if a taxpayer operates three motor fuel sites in Iowa and each site sells 80,000 gallons of motor fuel during 2011, the biofuel threshold percentage of 12 percent must be used for each retail site if the tax credit is computed on a site-by-site basis, even though each retail site sold less than 200,000 gallons of motor fuel.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tax credit in excess of the taxpayer’s tax liability is refundable. In lieu of claiming a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501.36(3)</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 xml:space="preserve">or taxpayers whose tax year is not on a calendar year basis, the taxpayer may compute the ethanol promotion tax credit on the total ethanol gallonage sold during the year using the designated tax credit rates as shown in </w:t>
      </w:r>
      <w:hyperlink r:id="rId289">
        <w:r>
          <w:rPr>
            <w:rStyle w:val="Hyperlink"/>
            <w:rFonts w:ascii="Times New Roman" w:hAnsi="Times New Roman"/>
            <w:b w:val="false"/>
            <w:i w:val="false"/>
            <w:color w:val="000000"/>
            <w:sz w:val="22"/>
          </w:rPr>
          <w:t>paragraph 501.36(2)</w:t>
        </w:r>
      </w:hyperlink>
      <w:r>
        <w:rPr>
          <w:rFonts w:ascii="Times New Roman" w:hAnsi="Times New Roman"/>
          <w:b w:val="false"/>
          <w:i/>
          <w:color w:val="000000"/>
          <w:sz w:val="22"/>
        </w:rPr>
        <w:t>“a.”</w:t>
      </w:r>
      <w:r>
        <w:rPr>
          <w:rFonts w:ascii="Times New Roman" w:hAnsi="Times New Roman"/>
          <w:b w:val="false"/>
          <w:i w:val="false"/>
          <w:color w:val="000000"/>
          <w:sz w:val="22"/>
        </w:rPr>
        <w:t xml:space="preserve"> Because the tax credit is repealed on January 1, 2021, a taxpayer whose tax year ends prior to December 31, 2020, may continue to claim the tax credit in the following tax year for the total ethanol gallonage sold through December 31, 2020. For a taxpayer whose tax year is not on a calendar year basis and that did not claim the ethanol promotion tax credit on the previous return, the taxpayer may claim the tax credit for the current tax year for the period beginning on January 1 of the previous tax year until the last day of the previous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501.36(4)</w:t>
      </w:r>
      <w:r>
        <w:rPr>
          <w:rFonts w:ascii="Times New Roman" w:hAnsi="Times New Roman"/>
          <w:b w:val="false"/>
          <w:i w:val="false"/>
          <w:color w:val="000000"/>
          <w:sz w:val="22"/>
        </w:rPr>
        <w:t> </w:t>
      </w:r>
      <w:r>
        <w:rPr>
          <w:rFonts w:ascii="Times New Roman" w:hAnsi="Times New Roman"/>
          <w:b w:val="false"/>
          <w:i/>
          <w:color w:val="000000"/>
          <w:sz w:val="22"/>
        </w:rPr>
        <w:t xml:space="preserve">Allocation of tax credit to owners of a business entity. </w:t>
      </w:r>
      <w:r>
        <w:rPr>
          <w:rFonts w:ascii="Times New Roman" w:hAnsi="Times New Roman"/>
          <w:b w:val="false"/>
          <w:i w:val="false"/>
          <w:color w:val="000000"/>
          <w:sz w:val="22"/>
        </w:rPr>
        <w:t>If a taxpayer claiming the ethanol promotion tax credit is a partnership, limited liability company, S corporation, estate, or trust electing to have the income taxed directly to the individual, an individual may claim the credit. The amount claimed by the individual must be based on the individual’s pro rata share of the individual’s earnings of the partnership, limited liability company,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501.36(5)</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noninclusive examples illustrate how this 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that is a retail dealer of gasoline operates only one motor fuel site in Iowa. The number of gallons of gasoline sold at this site in 2009 equals 100,000 gallons. This consisted of 5,000 gallons of E-85 gasoline, 80,000 gallons of E-10 (10% ethanol blended gasoline) and 15,000 gallons not containing ethanol. The average ethanol content of E-85 gasoline is assumed to be 79%. The taxpayer also sold at this site during 2009 15,000 gallons of diesel fuel, of which 5,000 gallons was B-2 (2% biodiesel). The ethanol gallonage is 11,950 (5,000 E-85 gallons times 79% equals 3,950; 80,000 E-10 gallons times 10% equals 8,000; and thus 3,950 plus 8,000 equals 11,950). The biodiesel gallonage sold is 100, or 5,000 times 2%. The sum of 11,950 and 100, or 12,050, is divided by the total gasoline gallonage of 100,000 to arrive at a biofuel distribution percentage of 12.05%. Since this exceeds the biofuel threshold percentage of 6% for a retail dealer selling 200,000 gallons or less, the biofuel threshold disparity percentage is 0%. This results in an ethanol promotion tax credit of 6.5 cents times 11,950, or $776.75.</w:t>
      </w:r>
    </w:p>
    <w:p>
      <w:pPr>
        <w:spacing w:before="0" w:after="0"/>
        <w:ind w:left="120"/>
        <w:jc w:val="both"/>
      </w:pPr>
      <w:r>
        <w:rPr>
          <w:rFonts w:ascii="Times New Roman" w:hAnsi="Times New Roman"/>
          <w:b w:val="false"/>
          <w:i w:val="false"/>
          <w:color w:val="000000"/>
          <w:sz w:val="22"/>
        </w:rPr>
        <w:t>In addition, the taxpayer is entitled to claim the E-85 gasoline promotion tax credit equal to 20 cents multiplied by 5,000 gallons, or $1,000.</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that is a retail dealer of gasoline operates only one motor fuel site in Iowa. The number of gallons of gasoline sold at this site in 2010 equals 300,000 gallons. This consisted of 10,000 gallons of E-85 gasoline, 230,000 gallons of E-10 (10% ethanol blended gasoline) and 60,000 gallons not containing ethanol. The average ethanol content of E-85 gasoline is assumed to be 79%. The taxpayer also sold at this site during 2010 60,000 gallons of diesel fuel, of which 25,000 gallons was B-2 (2% biodiesel). The ethanol gallonage is 30,900 (10,000 E-85 gallons times 79% equals 7,900; 230,000 E-10 gallons times 10% equals 23,000; and thus 7,900 plus 23,000 equals 30,900). The biodiesel gallonage sold is 500, or 25,000 times 2%. The sum of 30,900 and 500, or 31,400, is divided by the total gasoline gallonage of 300,000 to arrive at a biofuel distribution percentage of 10.47%. Since this is less than the biofuel threshold percentage of 11% for a retail dealer selling more than 200,000 gallons, the biofuel threshold disparity percentage is .53%. This results in an ethanol promotion tax credit of 4.5 cents times 30,900, or $1,390.50.</w:t>
      </w:r>
    </w:p>
    <w:p>
      <w:pPr>
        <w:spacing w:before="0" w:after="0"/>
        <w:ind w:left="120"/>
        <w:jc w:val="both"/>
      </w:pPr>
      <w:r>
        <w:rPr>
          <w:rFonts w:ascii="Times New Roman" w:hAnsi="Times New Roman"/>
          <w:b w:val="false"/>
          <w:i w:val="false"/>
          <w:color w:val="000000"/>
          <w:sz w:val="22"/>
        </w:rPr>
        <w:t>In addition, the taxpayer is entitled to claim the E-85 gasoline promotion tax credit equal to 20 cents multiplied by 10,000 gallons, or $2,000.</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 taxpayer that is a retail dealer of gasoline operates three motor fuel sites in Iowa during 2009, and each site sold 80,000 gallons of gasoline. Sites A and B each sold 70,000 gallons of E-10 (10% ethanol blended gasoline) and 10,000 gallons not containing ethanol. Site C sold 60,000 gallons of E-10, 10,000 gallons of E-85, and 10,000 gallons not containing ethanol. The average ethanol content of E-85 gasoline is assumed to be 79%. The retail dealer did not sell any diesel fuel at any of the motor fuel sites. The ethanol gallonage is 27,900, as shown below:</w:t>
      </w:r>
    </w:p>
    <w:tbl>
      <w:tblPr>
        <w:tblW w:w="0" w:type="auto"/>
        <w:tblCellSpacing w:w="0" w:type="auto"/>
        <w:tblBorders>
          <w:top w:val="none"/>
          <w:left w:val="none"/>
          <w:bottom w:val="none"/>
          <w:right w:val="none"/>
          <w:insideH w:val="none"/>
          <w:insideV w:val="none"/>
        </w:tblBorders>
        <w:tblLayout w:type="fixed"/>
      </w:tblPr>
      <w:tblGrid>
        <w:gridCol w:w="1507"/>
        <w:gridCol w:w="5671"/>
        <w:gridCol w:w="2338"/>
        <w:gridCol w:w="2004"/>
      </w:tblGrid>
      <w:tr>
        <w:trPr>
          <w:trHeight w:val="210" w:hRule="atLeast"/>
        </w:trPr>
        <w:tc>
          <w:tcPr>
            <w:tcW w:w="15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A – 70,000 times 10% equals</w:t>
            </w:r>
          </w:p>
        </w:tc>
        <w:tc>
          <w:tcPr>
            <w:tcW w:w="233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7,000</w:t>
            </w:r>
          </w:p>
        </w:tc>
        <w:tc>
          <w:tcPr>
            <w:tcW w:w="20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5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B – 70,000 times 10% equals</w:t>
            </w:r>
          </w:p>
        </w:tc>
        <w:tc>
          <w:tcPr>
            <w:tcW w:w="233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7,000</w:t>
            </w:r>
          </w:p>
        </w:tc>
        <w:tc>
          <w:tcPr>
            <w:tcW w:w="200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10" w:hRule="atLeast"/>
        </w:trPr>
        <w:tc>
          <w:tcPr>
            <w:tcW w:w="15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60,000 times 10% equals</w:t>
            </w:r>
          </w:p>
        </w:tc>
        <w:tc>
          <w:tcPr>
            <w:tcW w:w="233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6,000</w:t>
            </w:r>
          </w:p>
        </w:tc>
        <w:tc>
          <w:tcPr>
            <w:tcW w:w="200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5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10,000 times 79% equals</w:t>
            </w:r>
          </w:p>
        </w:tc>
        <w:tc>
          <w:tcPr>
            <w:tcW w:w="23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7,900</w:t>
            </w:r>
          </w:p>
        </w:tc>
        <w:tc>
          <w:tcPr>
            <w:tcW w:w="200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5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233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27,900</w:t>
            </w:r>
          </w:p>
        </w:tc>
        <w:tc>
          <w:tcPr>
            <w:tcW w:w="200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The ethanol gallonage of 27,900 is divided by the gasoline gallonage of 240,000 to arrive at a biofuel distribution percentage of 11.63%. Since this exceeds the biofuel threshold percentage of 10% for a retail dealer selling more than 200,000 gallons, the biofuel threshold disparity percentage is 0%. The credit is computed separately for each motor fuel site, and the ethanol promotion credit equals $1,813.50, as shown below:</w:t>
      </w:r>
    </w:p>
    <w:tbl>
      <w:tblPr>
        <w:tblW w:w="0" w:type="auto"/>
        <w:tblCellSpacing w:w="0" w:type="auto"/>
        <w:tblBorders>
          <w:top w:val="none"/>
          <w:left w:val="none"/>
          <w:bottom w:val="none"/>
          <w:right w:val="none"/>
          <w:insideH w:val="none"/>
          <w:insideV w:val="none"/>
        </w:tblBorders>
        <w:tblLayout w:type="fixed"/>
      </w:tblPr>
      <w:tblGrid>
        <w:gridCol w:w="1315"/>
        <w:gridCol w:w="5573"/>
        <w:gridCol w:w="2895"/>
        <w:gridCol w:w="1737"/>
      </w:tblGrid>
      <w:tr>
        <w:trPr>
          <w:trHeight w:val="210" w:hRule="atLeast"/>
        </w:trPr>
        <w:tc>
          <w:tcPr>
            <w:tcW w:w="13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A – 7,000 times 6.5 cents equals</w:t>
            </w:r>
          </w:p>
        </w:tc>
        <w:tc>
          <w:tcPr>
            <w:tcW w:w="28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$455.00</w:t>
            </w:r>
          </w:p>
        </w:tc>
        <w:tc>
          <w:tcPr>
            <w:tcW w:w="173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10" w:hRule="atLeast"/>
        </w:trPr>
        <w:tc>
          <w:tcPr>
            <w:tcW w:w="13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B – 7,000 times 6.5 cents equals</w:t>
            </w:r>
          </w:p>
        </w:tc>
        <w:tc>
          <w:tcPr>
            <w:tcW w:w="28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$455.00</w:t>
            </w:r>
          </w:p>
        </w:tc>
        <w:tc>
          <w:tcPr>
            <w:tcW w:w="173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3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13,900 times 6.5 cents equals</w:t>
            </w:r>
          </w:p>
        </w:tc>
        <w:tc>
          <w:tcPr>
            <w:tcW w:w="289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$903.50</w:t>
            </w:r>
          </w:p>
        </w:tc>
        <w:tc>
          <w:tcPr>
            <w:tcW w:w="173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3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28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$1,813.50</w:t>
            </w:r>
          </w:p>
        </w:tc>
        <w:tc>
          <w:tcPr>
            <w:tcW w:w="173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Since the biofuel distribution percentage and the biofuel threshold percentage disparity are computed on a statewide basis for all gallons sold in Iowa, the 6.5 cent tax credit rate is applied to the total ethanol gallonage, even if Sites A and B did not meet the biofuel threshold percentage of 10% for 2009.</w:t>
      </w:r>
    </w:p>
    <w:p>
      <w:pPr>
        <w:spacing w:before="0" w:after="0"/>
        <w:ind w:left="120"/>
        <w:jc w:val="both"/>
      </w:pPr>
      <w:r>
        <w:rPr>
          <w:rFonts w:ascii="Times New Roman" w:hAnsi="Times New Roman"/>
          <w:b w:val="false"/>
          <w:i w:val="false"/>
          <w:color w:val="000000"/>
          <w:sz w:val="22"/>
        </w:rPr>
        <w:t>In addition, the taxpayer is entitled to claim the E-85 gasoline promotion tax credit equal to 20 cents multiplied by 10,000 gallons, or $2,000.</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 xml:space="preserve">A taxpayer that is a retail dealer of gasoline has a fiscal year ending March 31, 2011, and operates one motor fuel site in Iowa. The taxpayer sold more than 200,000 gallons of gasoline during the 2010 calendar year and expects to sell more than 200,000 gallons of gasoline during the 2011 calendar year. The ethanol gallonage is 30,000 for the period from April 1, 2010, through December 31, 2010, and the ethanol gallonage is 8,000 for the period from January 1, 2011, through March 31, 2011. The biofuel distribution percentage is 11.5% for the period from April 1, 2010, through December 31, 2010, and the biofuel distribution percentage is 11.8% for the period from January 1, 2011, through March 31, 2011. This results in a biofuel threshold percentage disparity of 0% (11.0 minus 11.5) for the period from April 1, 2010, through December 31, 2010, and a biofuel threshold percentage disparity of .2% (12.0 minus 11.8) for the period from January 1, 2011, through March 31, 2011. The taxpayer is entitled to an ethanol promotion tax credit of $2,310 for the fiscal year ending March 31, 2011, as shown below: </w:t>
      </w:r>
    </w:p>
    <w:tbl>
      <w:tblPr>
        <w:tblW w:w="0" w:type="auto"/>
        <w:tblCellSpacing w:w="0" w:type="auto"/>
        <w:tblBorders>
          <w:top w:val="none"/>
          <w:left w:val="none"/>
          <w:bottom w:val="none"/>
          <w:right w:val="none"/>
          <w:insideH w:val="none"/>
          <w:insideV w:val="none"/>
        </w:tblBorders>
        <w:tblLayout w:type="fixed"/>
      </w:tblPr>
      <w:tblGrid>
        <w:gridCol w:w="193"/>
        <w:gridCol w:w="3200"/>
        <w:gridCol w:w="7897"/>
        <w:gridCol w:w="230"/>
      </w:tblGrid>
      <w:tr>
        <w:trPr>
          <w:trHeight w:val="210" w:hRule="atLeast"/>
        </w:trPr>
        <w:tc>
          <w:tcPr>
            <w:tcW w:w="1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3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30,000 times 6.5 cents equals</w:t>
            </w:r>
          </w:p>
        </w:tc>
        <w:tc>
          <w:tcPr>
            <w:tcW w:w="78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$1,950</w:t>
            </w:r>
          </w:p>
        </w:tc>
        <w:tc>
          <w:tcPr>
            <w:tcW w:w="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3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8,000 times 4.5 cents equals</w:t>
            </w:r>
          </w:p>
        </w:tc>
        <w:tc>
          <w:tcPr>
            <w:tcW w:w="789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360</w:t>
            </w:r>
          </w:p>
        </w:tc>
        <w:tc>
          <w:tcPr>
            <w:tcW w:w="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3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Total </w:t>
            </w:r>
          </w:p>
        </w:tc>
        <w:tc>
          <w:tcPr>
            <w:tcW w:w="78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$2,310</w:t>
            </w:r>
          </w:p>
        </w:tc>
        <w:tc>
          <w:tcPr>
            <w:tcW w:w="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A taxpayer that is a retail dealer of gasoline has a fiscal year ending April 30, 2009, and operates one motor fuel site in Iowa. The taxpayer expects to sell more than 200,000 gallons of gasoline during the 2009 calendar year. The ethanol gallonage is 50,000 gallons for the period from January 1, 2009, through April 30, 2009. The biofuel distribution percentage is 7.7% for the period from January 1, 2009, through April 30, 2009, which results in a biofuel threshold percentage disparity of 2.3% (10.0 minus 7.7). The taxpayer is entitled to claim an ethanol promotion tax credit of $1,250 (50,000 gallons times 2.5 cents) on the taxpayer’s Iowa income tax return for the period ending April 30, 2009.</w:t>
      </w:r>
    </w:p>
    <w:p>
      <w:pPr>
        <w:spacing w:before="0" w:after="0"/>
        <w:ind w:left="120"/>
        <w:jc w:val="both"/>
      </w:pPr>
      <w:r>
        <w:rPr>
          <w:rFonts w:ascii="Times New Roman" w:hAnsi="Times New Roman"/>
          <w:b w:val="false"/>
          <w:i w:val="false"/>
          <w:color w:val="000000"/>
          <w:sz w:val="22"/>
        </w:rPr>
        <w:t>In lieu of claiming the credit on the return for the period ending April 30, 2009, the taxpayer may claim the ethanol promotion tax credit on the tax return for the period ending April 30, 2010, including the ethanol gallonage for the period from January 1, 2009, through April 30, 2010. In this case, the taxpayer will compute the biofuel distribution percentage for the period from January 1, 2009, through December 31, 2009, to determine the proper tax credit rate to be applied to the ethanol gallonage for the period from January 1, 2009, through December 31, 2009.</w:t>
      </w:r>
    </w:p>
    <w:p>
      <w:pPr>
        <w:spacing w:before="0" w:after="0"/>
        <w:ind w:left="120"/>
        <w:jc w:val="both"/>
      </w:pPr>
      <w:r>
        <w:rPr>
          <w:rFonts w:ascii="Times New Roman" w:hAnsi="Times New Roman"/>
          <w:b w:val="false"/>
          <w:i w:val="false"/>
          <w:color w:val="000000"/>
          <w:sz w:val="22"/>
        </w:rPr>
        <w:t xml:space="preserve">EXAMPLE 6. </w:t>
      </w:r>
      <w:r>
        <w:rPr>
          <w:rFonts w:ascii="Times New Roman" w:hAnsi="Times New Roman"/>
          <w:b w:val="false"/>
          <w:i w:val="false"/>
          <w:color w:val="000000"/>
          <w:sz w:val="22"/>
        </w:rPr>
        <w:t>Assume the same facts as Example 3, except that the gallons were sold in 2011. The taxpayer chose the companywide method to compute the biofuel threshold percentage disparity and the tax credit. The biofuel distribution percentage is 11.63%, and since the biofuel threshold percentage is 12% for retailers selling more than 200,000 gallons of motor fuel, the biofuel threshold percentage disparity is 0.37%. This results in an ethanol promotion tax credit on a companywide basis of 6 cents multiplied by the ethanol gallonage of 27,900 or $1,674.</w:t>
      </w:r>
    </w:p>
    <w:p>
      <w:pPr>
        <w:spacing w:before="0" w:after="0"/>
        <w:ind w:left="120"/>
        <w:jc w:val="both"/>
      </w:pPr>
      <w:r>
        <w:rPr>
          <w:rFonts w:ascii="Times New Roman" w:hAnsi="Times New Roman"/>
          <w:b w:val="false"/>
          <w:i w:val="false"/>
          <w:color w:val="000000"/>
          <w:sz w:val="22"/>
        </w:rPr>
        <w:t xml:space="preserve">EXAMPLE 7. </w:t>
      </w:r>
      <w:r>
        <w:rPr>
          <w:rFonts w:ascii="Times New Roman" w:hAnsi="Times New Roman"/>
          <w:b w:val="false"/>
          <w:i w:val="false"/>
          <w:color w:val="000000"/>
          <w:sz w:val="22"/>
        </w:rPr>
        <w:t>Assume the same facts as Example 3, except that the gallons were sold in 2011. The taxpayer chose the site-by-site method to compute the biofuel threshold percentage disparity and the tax credit. The biofuel threshold percentage is still 12% since the retailer sold more than 200,000 gallons of motor fuel at all sites in Iowa. The biofuel distribution percentage for Site A and Site B is 7,000 divided by 80,000, or 8.75%. The biofuel threshold percentage disparity for Site A and Site B is 3.25%, or 12% less 8.75%. The biofuel distribution percentage for Site C is 13,900 divided by 80,000, or 17.38%. The biofuel threshold percentage disparity for Site C is 0% since the biofuel distribution percentage exceeds the biofuel threshold percentage. This results in an ethanol promotion tax credit on a site-by-site basis of $1,462, as shown below:</w:t>
      </w:r>
    </w:p>
    <w:tbl>
      <w:tblPr>
        <w:tblW w:w="0" w:type="auto"/>
        <w:tblCellSpacing w:w="0" w:type="auto"/>
        <w:tblBorders>
          <w:top w:val="none"/>
          <w:left w:val="none"/>
          <w:bottom w:val="none"/>
          <w:right w:val="none"/>
          <w:insideH w:val="none"/>
          <w:insideV w:val="none"/>
        </w:tblBorders>
        <w:tblLayout w:type="fixed"/>
      </w:tblPr>
      <w:tblGrid>
        <w:gridCol w:w="1444"/>
        <w:gridCol w:w="5715"/>
        <w:gridCol w:w="2495"/>
        <w:gridCol w:w="1866"/>
      </w:tblGrid>
      <w:tr>
        <w:trPr>
          <w:trHeight w:val="210" w:hRule="atLeast"/>
        </w:trPr>
        <w:tc>
          <w:tcPr>
            <w:tcW w:w="14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A – 7,000 times 2.5 cents equals</w:t>
            </w:r>
          </w:p>
        </w:tc>
        <w:tc>
          <w:tcPr>
            <w:tcW w:w="24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$175</w:t>
            </w:r>
          </w:p>
        </w:tc>
        <w:tc>
          <w:tcPr>
            <w:tcW w:w="18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10" w:hRule="atLeast"/>
        </w:trPr>
        <w:tc>
          <w:tcPr>
            <w:tcW w:w="14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B – 7,000 times 2.5 cents equals</w:t>
            </w:r>
          </w:p>
        </w:tc>
        <w:tc>
          <w:tcPr>
            <w:tcW w:w="24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$175</w:t>
            </w:r>
          </w:p>
        </w:tc>
        <w:tc>
          <w:tcPr>
            <w:tcW w:w="18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4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13,900 times 8 cents equals</w:t>
            </w:r>
          </w:p>
        </w:tc>
        <w:tc>
          <w:tcPr>
            <w:tcW w:w="249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$1,112</w:t>
            </w:r>
          </w:p>
        </w:tc>
        <w:tc>
          <w:tcPr>
            <w:tcW w:w="18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4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24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$1,462</w:t>
            </w:r>
          </w:p>
        </w:tc>
        <w:tc>
          <w:tcPr>
            <w:tcW w:w="186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0">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2011 Iowa Acts, Senate File 531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701—501.37</w:t>
      </w:r>
      <w:r>
        <w:rPr>
          <w:rFonts w:ascii="Times New Roman" w:hAnsi="Times New Roman"/>
          <w:b/>
          <w:i w:val="false"/>
          <w:color w:val="000000"/>
          <w:sz w:val="22"/>
        </w:rPr>
        <w:t xml:space="preserve">(422) </w:t>
      </w:r>
      <w:r>
        <w:rPr>
          <w:rFonts w:ascii="Times New Roman" w:hAnsi="Times New Roman"/>
          <w:b/>
          <w:i w:val="false"/>
          <w:color w:val="000000"/>
          <w:sz w:val="22"/>
        </w:rPr>
        <w:t xml:space="preserve">Charitable conservation contribution tax credit. </w:t>
      </w:r>
      <w:r>
        <w:rPr>
          <w:rFonts w:ascii="Times New Roman" w:hAnsi="Times New Roman"/>
          <w:b w:val="false"/>
          <w:i w:val="false"/>
          <w:color w:val="000000"/>
          <w:sz w:val="22"/>
        </w:rPr>
        <w:t>Effective for tax years beginning on or after January 1, 2008, a charitable conservation contribution tax credit is available for corporation income tax which is equal to 50 percent of the fair market value of a qualified real property interest located in Iowa that is conveyed as an unconditional charitable donation in perpetuity by a taxpayer to a qualified organization exclusively for conservation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“Conservation purpose”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Section 170(h)(4) of the Internal Revenue Code</w:t>
      </w:r>
      <w:r>
        <w:rPr>
          <w:rFonts w:ascii="Times New Roman" w:hAnsi="Times New Roman"/>
          <w:b w:val="false"/>
          <w:i w:val="false"/>
          <w:color w:val="000000"/>
          <w:sz w:val="22"/>
        </w:rPr>
        <w:t>, with the exception that a conveyance of land for open space for the purpose of fulfilling density requirements to obtain subdivision or building permits is not considered a conveyance for a conservation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organization”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Section 170(h)(3) of the 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real property interest”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Section 170(h)(2) of the Internal Revenue Code</w:t>
      </w:r>
      <w:r>
        <w:rPr>
          <w:rFonts w:ascii="Times New Roman" w:hAnsi="Times New Roman"/>
          <w:b w:val="false"/>
          <w:i w:val="false"/>
          <w:color w:val="000000"/>
          <w:sz w:val="22"/>
        </w:rPr>
        <w:t>. Conservation easements and bargain sales are examples of a qualified real property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501.37(2)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credit. </w:t>
      </w:r>
      <w:r>
        <w:rPr>
          <w:rFonts w:ascii="Times New Roman" w:hAnsi="Times New Roman"/>
          <w:b w:val="false"/>
          <w:i w:val="false"/>
          <w:color w:val="000000"/>
          <w:sz w:val="22"/>
        </w:rPr>
        <w:t>The credit equals 50 percent of the fair market value of the qualified real property interest. There are numerous federal revenue regulations, rulings, court cases and other provisions relating to the determination of the value of a qualified real property interest, and these are equally applicable in determining the amount of the charitable conservation contribution tax credit.</w:t>
      </w:r>
    </w:p>
    <w:p>
      <w:pPr>
        <w:spacing w:before="0" w:after="0"/>
        <w:ind w:left="120"/>
        <w:jc w:val="both"/>
      </w:pPr>
      <w:r>
        <w:rPr>
          <w:rFonts w:ascii="Times New Roman" w:hAnsi="Times New Roman"/>
          <w:b w:val="false"/>
          <w:i w:val="false"/>
          <w:color w:val="000000"/>
          <w:sz w:val="22"/>
        </w:rPr>
        <w:t>The maximum amount of the tax credit is $100,000. The amount of the contribution for which the tax credit is claimed shall not be claimed as a deduction for charitable contributions for Iowa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501.37(3)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tax credit is claimed on Form IA 148, Tax Credits Schedule. The taxpayer must include a copy of federal Form 8283, Noncash Charitable Contributions, which reflects the calculation of the fair market value of the real property interest, with the Iowa return for the year in which the contribution is made. If a qualified appraisal of the property or other relevant information is required to be included with federal Form 8283 for federal tax purposes, the appraisal and other relevant information must also be included with the Iowa return.</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20 years or until used, whichever is the earlier.</w:t>
      </w:r>
    </w:p>
    <w:p>
      <w:pPr>
        <w:spacing w:before="0" w:after="0"/>
        <w:ind w:left="120"/>
        <w:jc w:val="both"/>
      </w:pPr>
      <w:r>
        <w:rPr>
          <w:rFonts w:ascii="Times New Roman" w:hAnsi="Times New Roman"/>
          <w:b w:val="false"/>
          <w:i w:val="false"/>
          <w:color w:val="000000"/>
          <w:sz w:val="22"/>
        </w:rPr>
        <w:t>If the taxpayer claiming the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501.37(4)</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noninclusive examples illustrate how this 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conveys a real property interest with a fair market value of $150,000 to a qualified organization during 2008. The tax credit is equal to $75,000, or 50 percent of the $150,000 fair market value of the real property. The taxpayer cannot claim the $150,000 as a deduction for charitable contributions on the Iowa corporation income tax return for 2008.</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conveys a real property interest with a fair market value of $500,000 to a qualified organization during 2009. The tax credit is limited to $100,000, which equates to $200,000 of the contribution being eligible for the tax credit. The remaining amount of $300,000 ($500,000 less $200,000) can be claimed as a deduction for charitable contributions on the Iowa corporation income tax return for 2009.</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291">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House File 2700, section 63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701—501.38</w:t>
      </w:r>
      <w:r>
        <w:rPr>
          <w:rFonts w:ascii="Times New Roman" w:hAnsi="Times New Roman"/>
          <w:b/>
          <w:i w:val="false"/>
          <w:color w:val="000000"/>
          <w:sz w:val="22"/>
        </w:rPr>
        <w:t xml:space="preserve">(422) </w:t>
      </w:r>
      <w:r>
        <w:rPr>
          <w:rFonts w:ascii="Times New Roman" w:hAnsi="Times New Roman"/>
          <w:b/>
          <w:i w:val="false"/>
          <w:color w:val="000000"/>
          <w:sz w:val="22"/>
        </w:rPr>
        <w:t xml:space="preserve">School tuition organization tax credit. </w:t>
      </w:r>
      <w:r>
        <w:rPr>
          <w:rFonts w:ascii="Times New Roman" w:hAnsi="Times New Roman"/>
          <w:b w:val="false"/>
          <w:i w:val="false"/>
          <w:color w:val="000000"/>
          <w:sz w:val="22"/>
        </w:rPr>
        <w:t xml:space="preserve">For tax years beginning prior to January 1, 2021, a school tuition organization tax credit is available which is equal to 65 percent of the amount of the voluntary cash or noncash contribution made by a corporation taxpayer to a school tuition organization. For tax years beginning on or after January 1, 2021, the tax credit is equal to 75 percent of the amount of the voluntary cash or noncash contribution made by a corporation taxpayer to a school tuition organization. For S corporations, partnerships, limited liability companies, estates and trusts where the income is taxed directly to the individual shareholders, partners, members or beneficiaries, an individual may claim the credit. The amount of credit claimed by an individual shall be based on the pro rata share of the individual’s earnings of the S corporation, partnership, limited liability company, estate or trust. For information on the initial registration, participation forms and reporting requirements for school tuition organizations, see rule </w:t>
      </w:r>
      <w:hyperlink r:id="rId292">
        <w:r>
          <w:rPr>
            <w:rStyle w:val="Hyperlink"/>
            <w:rFonts w:ascii="Times New Roman" w:hAnsi="Times New Roman"/>
            <w:b w:val="false"/>
            <w:i w:val="false"/>
            <w:color w:val="000000"/>
            <w:sz w:val="22"/>
          </w:rPr>
          <w:t>701—304.32</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501.38(1)</w:t>
      </w:r>
      <w:r>
        <w:rPr>
          <w:rFonts w:ascii="Times New Roman" w:hAnsi="Times New Roman"/>
          <w:b w:val="false"/>
          <w:i w:val="false"/>
          <w:color w:val="000000"/>
          <w:sz w:val="22"/>
        </w:rPr>
        <w:t> </w:t>
      </w:r>
      <w:r>
        <w:rPr>
          <w:rFonts w:ascii="Times New Roman" w:hAnsi="Times New Roman"/>
          <w:b w:val="false"/>
          <w:i/>
          <w:color w:val="000000"/>
          <w:sz w:val="22"/>
        </w:rPr>
        <w:t xml:space="preserve">Amount of tax credit authorized—additional limitation for corporations.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Of the $7.5 million of school tuition organization tax credits authorized for the 2009 through 2011 calendar years, no more than 25 percent, or $1,875,000, can be authorized for corporation income tax taxpayers.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Of the $8.75 million of school tuition organization tax credits authorized for 2012 and 2013, no more than 25 percent, or $2,187,500, can be authorized for corporation income tax taxpayers.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 the $12 million of school tuition organization tax credits authorized for 2014 through 2018, no more than 25 percent, or $3 million, can be authorized for corporation income tax taxpayers.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Of the $13 million of school tuition organization tax credits authorized for 2019, no more than 25 percent, or $3,250,000, can be authorized for corporation income tax taxpayers.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Effective July 1, 2020, the prohibition against authorizing more than 25 percent of the total authorized tax credits for corporation income tax purposes was repealed. On or after July 1, 2020, of the total school tuition organization tax credits authorized for a year, any amount can be authorized for corporation income taxpayers.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501.38(2)</w:t>
      </w:r>
      <w:r>
        <w:rPr>
          <w:rFonts w:ascii="Times New Roman" w:hAnsi="Times New Roman"/>
          <w:b w:val="false"/>
          <w:i w:val="false"/>
          <w:color w:val="000000"/>
          <w:sz w:val="22"/>
        </w:rPr>
        <w:t> </w:t>
      </w:r>
      <w:r>
        <w:rPr>
          <w:rFonts w:ascii="Times New Roman" w:hAnsi="Times New Roman"/>
          <w:b w:val="false"/>
          <w:i/>
          <w:color w:val="000000"/>
          <w:sz w:val="22"/>
        </w:rPr>
        <w:t xml:space="preserve">Issuance of tax credit certificates. </w:t>
      </w:r>
      <w:r>
        <w:rPr>
          <w:rFonts w:ascii="Times New Roman" w:hAnsi="Times New Roman"/>
          <w:b w:val="false"/>
          <w:i w:val="false"/>
          <w:color w:val="000000"/>
          <w:sz w:val="22"/>
        </w:rPr>
        <w:t>The school tuition organization shall issue tax credit certificates to each taxpayer who made a cash or noncash contribution to the school tuition organization. The tax credit certificate shall contain the name, address and tax identification number of the taxpayer; the amount and date that the contribution was made; the amount of the credit; the tax year that the credit may be applied; the school tuition organization to which the contribution was made; and the tax credit certificate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501.38(3)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taxpayer must include the tax credit certificate with the tax return for which the credit is claimed. The tax credit shall be claimed in the tax year during which the contribution is made. Any credit in excess of the tax liability for the tax year may be credited to the tax liability for the following five years or until used, whichever is the earlier. The taxpayer shall not claim a deduction for charitable contributions for Iowa corporation income tax purposes for the amount of the contribution made to the school tuition organization.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3">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5978C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701—501.39</w:t>
      </w:r>
      <w:r>
        <w:rPr>
          <w:rFonts w:ascii="Times New Roman" w:hAnsi="Times New Roman"/>
          <w:b/>
          <w:i w:val="false"/>
          <w:color w:val="000000"/>
          <w:sz w:val="22"/>
        </w:rPr>
        <w:t xml:space="preserve">(15,422) </w:t>
      </w:r>
      <w:r>
        <w:rPr>
          <w:rFonts w:ascii="Times New Roman" w:hAnsi="Times New Roman"/>
          <w:b/>
          <w:i w:val="false"/>
          <w:color w:val="000000"/>
          <w:sz w:val="22"/>
        </w:rPr>
        <w:t xml:space="preserve">Redevelopment tax credit. </w:t>
      </w:r>
      <w:r>
        <w:rPr>
          <w:rFonts w:ascii="Times New Roman" w:hAnsi="Times New Roman"/>
          <w:b w:val="false"/>
          <w:i w:val="false"/>
          <w:color w:val="000000"/>
          <w:sz w:val="22"/>
        </w:rPr>
        <w:t xml:space="preserve">The economic development authority is authorized by the general assembly and the governor to oversee the implementation and administration of the redevelopment tax credit program. Effective for tax years beginning on or after July 1, 2009, a taxpayer whose project has been approved by the Iowa brownfield redevelopment advisory council and the economic development authority may claim a redevelopment tax credit once the taxpayer has been issued a tax credit certificate for the project by the economic development authority. The credit is based on the taxpayer’s qualifying investment in a brownfield or grayfield site. The administrative rules for the economic development authority’s administration of this program, including definitions of brownfield and grayfield sites, may be found in rules </w:t>
      </w:r>
      <w:hyperlink r:id="rId294">
        <w:r>
          <w:rPr>
            <w:rStyle w:val="Hyperlink"/>
            <w:rFonts w:ascii="Times New Roman" w:hAnsi="Times New Roman"/>
            <w:b w:val="false"/>
            <w:i w:val="false"/>
            <w:color w:val="000000"/>
            <w:sz w:val="22"/>
          </w:rPr>
          <w:t>261—65.11</w:t>
        </w:r>
      </w:hyperlink>
      <w:r>
        <w:rPr>
          <w:rFonts w:ascii="Times New Roman" w:hAnsi="Times New Roman"/>
          <w:b w:val="false"/>
          <w:i w:val="false"/>
          <w:color w:val="000000"/>
          <w:sz w:val="22"/>
        </w:rPr>
        <w:t xml:space="preserve">(15) and </w:t>
      </w:r>
      <w:hyperlink r:id="rId295">
        <w:r>
          <w:rPr>
            <w:rStyle w:val="Hyperlink"/>
            <w:rFonts w:ascii="Times New Roman" w:hAnsi="Times New Roman"/>
            <w:b w:val="false"/>
            <w:i w:val="false"/>
            <w:color w:val="000000"/>
            <w:sz w:val="22"/>
          </w:rPr>
          <w:t>261—65.12</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501.39(1)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the credit. </w:t>
      </w:r>
      <w:r>
        <w:rPr>
          <w:rFonts w:ascii="Times New Roman" w:hAnsi="Times New Roman"/>
          <w:b w:val="false"/>
          <w:i w:val="false"/>
          <w:color w:val="000000"/>
          <w:sz w:val="22"/>
        </w:rPr>
        <w:t xml:space="preserve">The economic development authority is responsible for developing a system for registration and authorization of projects receiving redevelopment tax credits. For more information, see Iowa Administrative Code </w:t>
      </w:r>
      <w:hyperlink r:id="rId296">
        <w:r>
          <w:rPr>
            <w:rStyle w:val="Hyperlink"/>
            <w:rFonts w:ascii="Times New Roman" w:hAnsi="Times New Roman"/>
            <w:b w:val="false"/>
            <w:i w:val="false"/>
            <w:color w:val="000000"/>
            <w:sz w:val="22"/>
          </w:rPr>
          <w:t>261—Chapter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501.39(2)</w:t>
      </w:r>
      <w:r>
        <w:rPr>
          <w:rFonts w:ascii="Times New Roman" w:hAnsi="Times New Roman"/>
          <w:b w:val="false"/>
          <w:i w:val="false"/>
          <w:color w:val="000000"/>
          <w:sz w:val="22"/>
        </w:rPr>
        <w:t> </w:t>
      </w:r>
      <w:r>
        <w:rPr>
          <w:rFonts w:ascii="Times New Roman" w:hAnsi="Times New Roman"/>
          <w:b w:val="false"/>
          <w:i/>
          <w:color w:val="000000"/>
          <w:sz w:val="22"/>
        </w:rPr>
        <w:t xml:space="preserve">Amount of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Maximum credit total. </w:t>
      </w:r>
      <w:r>
        <w:rPr>
          <w:rFonts w:ascii="Times New Roman" w:hAnsi="Times New Roman"/>
          <w:b w:val="false"/>
          <w:i w:val="false"/>
          <w:color w:val="000000"/>
          <w:sz w:val="22"/>
        </w:rPr>
        <w:t xml:space="preserve">For the fiscal year beginning July 1, 2009, the maximum amount of tax credits allowed is $1 million, and the amount of credit authorized for any one redevelopment project cannot exceed $100,000. For the fiscal year beginning July 1, 2011, the maximum amount of tax credits allowed cannot exceed $5 million, and the amount of credit authorized for any one redevelopment project cannot exceed $500,000. For the fiscal year beginning July 1, 2012, the maximum amount of tax credits allowed cannot exceed $10 million, and the amount of credit authorized for any one redevelopment project cannot exceed $1 million. For the fiscal year beginning July 1, 2013, and for each subsequent fiscal year, the maximum amount of tax credits issued by the authority shall be an amount determined by the economic development authority board but not in excess of the amount established pursuant to Iowa Code section </w:t>
      </w:r>
      <w:hyperlink r:id="rId297">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Maximum credit per project. </w:t>
      </w:r>
      <w:r>
        <w:rPr>
          <w:rFonts w:ascii="Times New Roman" w:hAnsi="Times New Roman"/>
          <w:b w:val="false"/>
          <w:i w:val="false"/>
          <w:color w:val="000000"/>
          <w:sz w:val="22"/>
        </w:rPr>
        <w:t xml:space="preserve">The maximum amount of a tax credit for a qualifying investment in any one qualifying redevelopment project shall not exceed 10 percent of the maximum amount of tax credits available in any one fiscal year pursuant to paragraph </w:t>
      </w:r>
      <w:hyperlink r:id="rId298">
        <w:r>
          <w:rPr>
            <w:rStyle w:val="Hyperlink"/>
            <w:rFonts w:ascii="Times New Roman" w:hAnsi="Times New Roman"/>
            <w:b w:val="false"/>
            <w:i w:val="false"/>
            <w:color w:val="000000"/>
            <w:sz w:val="22"/>
          </w:rPr>
          <w:t>501.39(2)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Percentage computation. </w:t>
      </w:r>
      <w:r>
        <w:rPr>
          <w:rFonts w:ascii="Times New Roman" w:hAnsi="Times New Roman"/>
          <w:b w:val="false"/>
          <w:i w:val="false"/>
          <w:color w:val="000000"/>
          <w:sz w:val="22"/>
        </w:rPr>
        <w:t>The amount of the tax credit shall equal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Twelve percent of the taxpayer’s qualifying investment in a grayfield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percent of the taxpayer’s qualifying investment in a grayfield site if the qualifying redevelopment project meets the requirements of green development as defined in rule </w:t>
      </w:r>
      <w:hyperlink r:id="rId299">
        <w:r>
          <w:rPr>
            <w:rStyle w:val="Hyperlink"/>
            <w:rFonts w:ascii="Times New Roman" w:hAnsi="Times New Roman"/>
            <w:b w:val="false"/>
            <w:i w:val="false"/>
            <w:color w:val="000000"/>
            <w:sz w:val="22"/>
          </w:rPr>
          <w:t>261—65.2</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Twenty-four percent of the taxpayer’s qualifying investment in a brownfield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Thirty percent of the taxpayer’s qualifying investment in a brownfield site if the qualifying redevelopment project meets the requirements of green development as defined in rule </w:t>
      </w:r>
      <w:hyperlink r:id="rId300">
        <w:r>
          <w:rPr>
            <w:rStyle w:val="Hyperlink"/>
            <w:rFonts w:ascii="Times New Roman" w:hAnsi="Times New Roman"/>
            <w:b w:val="false"/>
            <w:i w:val="false"/>
            <w:color w:val="000000"/>
            <w:sz w:val="22"/>
          </w:rPr>
          <w:t>261—65.2</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501.39(3)</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Certificate issuance. </w:t>
      </w:r>
      <w:r>
        <w:rPr>
          <w:rFonts w:ascii="Times New Roman" w:hAnsi="Times New Roman"/>
          <w:b w:val="false"/>
          <w:i w:val="false"/>
          <w:color w:val="000000"/>
          <w:sz w:val="22"/>
        </w:rPr>
        <w:t xml:space="preserve">Upon completion of the project, the economic development authority will issue a tax credit certificate to the taxpayer. The tax credit certificate shall include the taxpayer’s name, address and federal identification number, the tax type for which the credit will be claimed, the amount of the credit, the tax year for which the credit may be claimed and the tax credit certificate number. In addition, the tax credit certificate will include a place for the name and tax identification number of a transferee and the amount of the tax credit being transferred, as provided in subrule </w:t>
      </w:r>
      <w:hyperlink r:id="rId301">
        <w:r>
          <w:rPr>
            <w:rStyle w:val="Hyperlink"/>
            <w:rFonts w:ascii="Times New Roman" w:hAnsi="Times New Roman"/>
            <w:b w:val="false"/>
            <w:i w:val="false"/>
            <w:color w:val="000000"/>
            <w:sz w:val="22"/>
          </w:rPr>
          <w:t>501.39(4)</w:t>
        </w:r>
      </w:hyperlink>
      <w:r>
        <w:rPr>
          <w:rFonts w:ascii="Times New Roman" w:hAnsi="Times New Roman"/>
          <w:b w:val="false"/>
          <w:i w:val="false"/>
          <w:color w:val="000000"/>
          <w:sz w:val="22"/>
        </w:rPr>
        <w:t>. To claim the tax credit, the taxpayer must include the tax credit certificate with the tax return for the tax period set forth on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 rata share. </w:t>
      </w:r>
      <w:r>
        <w:rPr>
          <w:rFonts w:ascii="Times New Roman" w:hAnsi="Times New Roman"/>
          <w:b w:val="false"/>
          <w:i w:val="false"/>
          <w:color w:val="000000"/>
          <w:sz w:val="22"/>
        </w:rPr>
        <w:t>If a taxpayer claiming the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 xml:space="preserve">Except as provided in paragraph </w:t>
      </w:r>
      <w:hyperlink r:id="rId302">
        <w:r>
          <w:rPr>
            <w:rStyle w:val="Hyperlink"/>
            <w:rFonts w:ascii="Times New Roman" w:hAnsi="Times New Roman"/>
            <w:b w:val="false"/>
            <w:i w:val="false"/>
            <w:color w:val="000000"/>
            <w:sz w:val="22"/>
          </w:rPr>
          <w:t>501.39(3)</w:t>
        </w:r>
      </w:hyperlink>
      <w:r>
        <w:rPr>
          <w:rFonts w:ascii="Times New Roman" w:hAnsi="Times New Roman"/>
          <w:b w:val="false"/>
          <w:i/>
          <w:color w:val="000000"/>
          <w:sz w:val="22"/>
        </w:rPr>
        <w:t>“d,”</w:t>
      </w:r>
      <w:r>
        <w:rPr>
          <w:rFonts w:ascii="Times New Roman" w:hAnsi="Times New Roman"/>
          <w:b w:val="false"/>
          <w:i w:val="false"/>
          <w:color w:val="000000"/>
          <w:sz w:val="22"/>
        </w:rPr>
        <w:t xml:space="preserve"> any credit in excess of the tax liability for the tax year may be credited to the tax liability for the following five years or until used, whichever is the earlier. The tax credit shall not be carried back to a tax year prior to the year in which the taxpayer redeems the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 xml:space="preserve">A tax credit in excess of the taxpayer’s liability for the tax year is refundable if all of the conditions of economic development authority </w:t>
      </w:r>
      <w:hyperlink r:id="rId303">
        <w:r>
          <w:rPr>
            <w:rStyle w:val="Hyperlink"/>
            <w:rFonts w:ascii="Times New Roman" w:hAnsi="Times New Roman"/>
            <w:b w:val="false"/>
            <w:i w:val="false"/>
            <w:color w:val="000000"/>
            <w:sz w:val="22"/>
          </w:rPr>
          <w:t>261—paragraph 65.11(4)</w:t>
        </w:r>
        <w:r>
          <w:rPr>
            <w:rFonts w:ascii="Times New Roman" w:hAnsi="Times New Roman"/>
            <w:b w:val="false"/>
            <w:i/>
            <w:color w:val="000000"/>
            <w:sz w:val="22"/>
          </w:rPr>
          <w:t>“b”</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501.39(4)</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credit. </w:t>
      </w:r>
      <w:r>
        <w:rPr>
          <w:rFonts w:ascii="Times New Roman" w:hAnsi="Times New Roman"/>
          <w:b w:val="false"/>
          <w:i w:val="false"/>
          <w:color w:val="000000"/>
          <w:sz w:val="22"/>
        </w:rPr>
        <w:t xml:space="preserve">The redevelopment tax credit can be transferred to any person or entity. However, a certificate indicating that the credit is refundable is only transferrable to the extent permitted by economic development authority </w:t>
      </w:r>
      <w:hyperlink r:id="rId304">
        <w:r>
          <w:rPr>
            <w:rStyle w:val="Hyperlink"/>
            <w:rFonts w:ascii="Times New Roman" w:hAnsi="Times New Roman"/>
            <w:b w:val="false"/>
            <w:i w:val="false"/>
            <w:color w:val="000000"/>
            <w:sz w:val="22"/>
          </w:rPr>
          <w:t>261—paragraph 65.11(4)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Submission of transferred tax credit certificate to the department—information required. </w:t>
      </w: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which contains the transferee’s name, address and tax identification number and the amount of the tax credit being transferred,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transferee shall describe the nature of nonmonetary consideration and disclose any value the transferor and transferee assigned to the nonmonetary consideration. The transferee must indicate on its statement to the department of revenue if no consideration was provided in exchange for the tax credit. If the transferee is a partnership, limited liability company, S corporation, or estate or trust claiming the credit for individual or corporation income tax, the transferee shall provide a list of the partners, members, shareholders or beneficiaries and information on how the redevelopment tax credit should be divided among the partners, members, shareholders or beneficiaries. The transferee shall also provide the tax identification numbers and addresses of the partners, members, shareholders or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Issuance of replacement certificate by the department. </w:t>
      </w:r>
      <w:r>
        <w:rPr>
          <w:rFonts w:ascii="Times New Roman" w:hAnsi="Times New Roman"/>
          <w:b w:val="false"/>
          <w:i w:val="false"/>
          <w:color w:val="000000"/>
          <w:sz w:val="22"/>
        </w:rPr>
        <w:t xml:space="preserve">Within 30 days of receiving the transferred tax credit certificate and the statement from the transferee, the department of revenue will issue a replacement tax credit certificate to the transferee.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Claiming the transferred tax credit. </w:t>
      </w:r>
      <w:r>
        <w:rPr>
          <w:rFonts w:ascii="Times New Roman" w:hAnsi="Times New Roman"/>
          <w:b w:val="false"/>
          <w:i w:val="false"/>
          <w:color w:val="000000"/>
          <w:sz w:val="22"/>
        </w:rPr>
        <w:t>The replacement tax credit certificate must contain the same information as that on the original tax credit certificate and must have the same effective taxable year as the original tax credit certificate. The replacement tax credit certificate may reflect a different tax type than the original tax credit certificate. The transferee may use the amount of the tax credit for any tax year for which the original transferor could have claimed the tax credit. Any consideration received for the transfer of the tax credit certificate shall not be included in Iowa taxable income for individual income tax, corporation income tax, or franchise tax purposes. Any consideration paid for the transfer of the tax credit certificate shall not be deducted from Iowa taxable income for individual income tax, corporation income tax,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501.39(5)</w:t>
      </w:r>
      <w:r>
        <w:rPr>
          <w:rFonts w:ascii="Times New Roman" w:hAnsi="Times New Roman"/>
          <w:b w:val="false"/>
          <w:i w:val="false"/>
          <w:color w:val="000000"/>
          <w:sz w:val="22"/>
        </w:rPr>
        <w:t> </w:t>
      </w:r>
      <w:r>
        <w:rPr>
          <w:rFonts w:ascii="Times New Roman" w:hAnsi="Times New Roman"/>
          <w:b w:val="false"/>
          <w:i/>
          <w:color w:val="000000"/>
          <w:sz w:val="22"/>
        </w:rPr>
        <w:t xml:space="preserve">Basis reduction of the redevelopment property. </w:t>
      </w:r>
      <w:r>
        <w:rPr>
          <w:rFonts w:ascii="Times New Roman" w:hAnsi="Times New Roman"/>
          <w:b w:val="false"/>
          <w:i w:val="false"/>
          <w:color w:val="000000"/>
          <w:sz w:val="22"/>
        </w:rPr>
        <w:t>The increase in the basis of the redevelopment property that would otherwise result from the qualified redevelopment costs shall be reduced by the amount of the redevelopment tax credit. For example, if a qualifying investment in a grayfield site totaled $100,000 for which a $12,000 redevelopment tax credit was issued, the increase in the basis of the property would total $88,000 for Iowa tax purposes ($100,000 less $12,000).</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5">
        <w:r>
          <w:rPr>
            <w:rStyle w:val="Hyperlink"/>
            <w:rFonts w:ascii="Times New Roman" w:hAnsi="Times New Roman"/>
            <w:b w:val="false"/>
            <w:i w:val="false"/>
            <w:color w:val="000000"/>
            <w:sz w:val="22"/>
          </w:rPr>
          <w:t>15.293A</w:t>
        </w:r>
      </w:hyperlink>
      <w:r>
        <w:rPr>
          <w:rFonts w:ascii="Times New Roman" w:hAnsi="Times New Roman"/>
          <w:b w:val="false"/>
          <w:i w:val="false"/>
          <w:color w:val="000000"/>
          <w:sz w:val="22"/>
        </w:rPr>
        <w:t xml:space="preserve">, </w:t>
      </w:r>
      <w:hyperlink r:id="rId306">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and </w:t>
      </w:r>
      <w:hyperlink r:id="rId307">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1949C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701—501.40</w:t>
      </w:r>
      <w:r>
        <w:rPr>
          <w:rFonts w:ascii="Times New Roman" w:hAnsi="Times New Roman"/>
          <w:b/>
          <w:i w:val="false"/>
          <w:color w:val="000000"/>
          <w:sz w:val="22"/>
        </w:rPr>
        <w:t xml:space="preserve">(15) </w:t>
      </w:r>
      <w:r>
        <w:rPr>
          <w:rFonts w:ascii="Times New Roman" w:hAnsi="Times New Roman"/>
          <w:b/>
          <w:i w:val="false"/>
          <w:color w:val="000000"/>
          <w:sz w:val="22"/>
        </w:rPr>
        <w:t xml:space="preserve">High quality jobs program. </w:t>
      </w:r>
      <w:r>
        <w:rPr>
          <w:rFonts w:ascii="Times New Roman" w:hAnsi="Times New Roman"/>
          <w:b w:val="false"/>
          <w:i w:val="false"/>
          <w:color w:val="000000"/>
          <w:sz w:val="22"/>
        </w:rPr>
        <w:t xml:space="preserve">Effective for tax periods beginning on or after July 1, 2009, a business which qualifies under the high quality jobs program is eligible to receive tax credits. The high quality jobs program replaces the high quality job creation program. An eligible business under the high quality jobs program must be approved by the Iowa department of economic development and meet the qualifications of Iowa Code section </w:t>
      </w:r>
      <w:hyperlink r:id="rId308">
        <w:r>
          <w:rPr>
            <w:rStyle w:val="Hyperlink"/>
            <w:rFonts w:ascii="Times New Roman" w:hAnsi="Times New Roman"/>
            <w:b w:val="false"/>
            <w:i w:val="false"/>
            <w:color w:val="000000"/>
            <w:sz w:val="22"/>
          </w:rPr>
          <w:t>15.329</w:t>
        </w:r>
      </w:hyperlink>
      <w:r>
        <w:rPr>
          <w:rFonts w:ascii="Times New Roman" w:hAnsi="Times New Roman"/>
          <w:b w:val="false"/>
          <w:i w:val="false"/>
          <w:color w:val="000000"/>
          <w:sz w:val="22"/>
        </w:rPr>
        <w:t xml:space="preserve">. The tax credits available under the high quality jobs program are based upon the number of jobs created or retained that pay a qualifying wage threshold and the amount of qualifying investment. The administrative rules for the high quality jobs program for the Iowa department of economic development may be found at </w:t>
      </w:r>
      <w:hyperlink r:id="rId309">
        <w:r>
          <w:rPr>
            <w:rStyle w:val="Hyperlink"/>
            <w:rFonts w:ascii="Times New Roman" w:hAnsi="Times New Roman"/>
            <w:b w:val="false"/>
            <w:i w:val="false"/>
            <w:color w:val="000000"/>
            <w:sz w:val="22"/>
          </w:rPr>
          <w:t>261—Chapter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501.40(1)</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An eligible business approved under the high quality jobs program is eligible for an additional research activities credit as described in subrule </w:t>
      </w:r>
      <w:hyperlink r:id="rId310">
        <w:r>
          <w:rPr>
            <w:rStyle w:val="Hyperlink"/>
            <w:rFonts w:ascii="Times New Roman" w:hAnsi="Times New Roman"/>
            <w:b w:val="false"/>
            <w:i w:val="false"/>
            <w:color w:val="000000"/>
            <w:sz w:val="22"/>
          </w:rPr>
          <w:t>501.7(4)</w:t>
        </w:r>
      </w:hyperlink>
      <w:r>
        <w:rPr>
          <w:rFonts w:ascii="Times New Roman" w:hAnsi="Times New Roman"/>
          <w:b w:val="false"/>
          <w:i w:val="false"/>
          <w:color w:val="000000"/>
          <w:sz w:val="22"/>
        </w:rPr>
        <w:t xml:space="preserve"> for awards issued by the Iowa department of economic development prior to July 1, 2010. The eligible business is eligible for the research activities credit as described in subrule </w:t>
      </w:r>
      <w:hyperlink r:id="rId311">
        <w:r>
          <w:rPr>
            <w:rStyle w:val="Hyperlink"/>
            <w:rFonts w:ascii="Times New Roman" w:hAnsi="Times New Roman"/>
            <w:b w:val="false"/>
            <w:i w:val="false"/>
            <w:color w:val="000000"/>
            <w:sz w:val="22"/>
          </w:rPr>
          <w:t>501.7(6)</w:t>
        </w:r>
      </w:hyperlink>
      <w:r>
        <w:rPr>
          <w:rFonts w:ascii="Times New Roman" w:hAnsi="Times New Roman"/>
          <w:b w:val="false"/>
          <w:i w:val="false"/>
          <w:color w:val="000000"/>
          <w:sz w:val="22"/>
        </w:rPr>
        <w:t xml:space="preserve"> for awards issued by the Iowa department of economic development on or after July 1, 2010.</w:t>
      </w:r>
    </w:p>
    <w:p>
      <w:pPr>
        <w:spacing w:before="0" w:after="0"/>
        <w:ind w:left="120"/>
        <w:jc w:val="both"/>
      </w:pPr>
      <w:r>
        <w:rPr>
          <w:rFonts w:ascii="Times New Roman" w:hAnsi="Times New Roman"/>
          <w:b w:val="false"/>
          <w:i w:val="false"/>
          <w:color w:val="000000"/>
          <w:sz w:val="22"/>
        </w:rPr>
        <w:t>Research activities allowable for the Iowa research activities credit include expenses related to the development and deployment of innovative renewable energy generation components manufactured or assembled in Iowa; such expenses related to the development and deployment of innovative renewable energy generation components are not eligible for the federal credit for increasing research activities. For purposes of this subrule, innovative renewable energy generation components do not include components with more than 200 megawatts in installed effective nameplate capacity. The research activities credit related to renewable energy generation components under the high quality jobs program and the enterprise zone program shall not exceed $2 million for the fiscal year ending June 30, 2010, and $1 million for the fiscal year ending June 30, 2011.</w:t>
      </w:r>
    </w:p>
    <w:p>
      <w:pPr>
        <w:spacing w:before="0" w:after="0"/>
        <w:ind w:left="120"/>
        <w:jc w:val="both"/>
      </w:pPr>
      <w:r>
        <w:rPr>
          <w:rFonts w:ascii="Times New Roman" w:hAnsi="Times New Roman"/>
          <w:b w:val="false"/>
          <w:i w:val="false"/>
          <w:color w:val="000000"/>
          <w:sz w:val="22"/>
        </w:rPr>
        <w:t xml:space="preserve">These expenses related to the development and deployment of innovative renewable energy generation components are applicable only to the additional research activities credit set forth in this subrule and in subrule </w:t>
      </w:r>
      <w:hyperlink r:id="rId312">
        <w:r>
          <w:rPr>
            <w:rStyle w:val="Hyperlink"/>
            <w:rFonts w:ascii="Times New Roman" w:hAnsi="Times New Roman"/>
            <w:b w:val="false"/>
            <w:i w:val="false"/>
            <w:color w:val="000000"/>
            <w:sz w:val="22"/>
          </w:rPr>
          <w:t>501.7(5)</w:t>
        </w:r>
      </w:hyperlink>
      <w:r>
        <w:rPr>
          <w:rFonts w:ascii="Times New Roman" w:hAnsi="Times New Roman"/>
          <w:b w:val="false"/>
          <w:i w:val="false"/>
          <w:color w:val="000000"/>
          <w:sz w:val="22"/>
        </w:rPr>
        <w:t xml:space="preserve"> for businesses in enterprise zones, and are not applicable to the research activities credit set forth in subrule </w:t>
      </w:r>
      <w:hyperlink r:id="rId313">
        <w:r>
          <w:rPr>
            <w:rStyle w:val="Hyperlink"/>
            <w:rFonts w:ascii="Times New Roman" w:hAnsi="Times New Roman"/>
            <w:b w:val="false"/>
            <w:i w:val="false"/>
            <w:color w:val="000000"/>
            <w:sz w:val="22"/>
          </w:rPr>
          <w:t>501.7(3)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501.40(2)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r>
        <w:rPr>
          <w:rFonts w:ascii="Times New Roman" w:hAnsi="Times New Roman"/>
          <w:b w:val="false"/>
          <w:i w:val="false"/>
          <w:color w:val="000000"/>
          <w:sz w:val="22"/>
        </w:rPr>
        <w:t xml:space="preserve">An eligible business can claim an investment tax credit equal to a percentage of the new investment directly related to new jobs created or retained by the location or expansion of an eligible business. The percentage is equal to the amount provided in Iowa department of economic development </w:t>
      </w:r>
      <w:hyperlink r:id="rId314">
        <w:r>
          <w:rPr>
            <w:rStyle w:val="Hyperlink"/>
            <w:rFonts w:ascii="Times New Roman" w:hAnsi="Times New Roman"/>
            <w:b w:val="false"/>
            <w:i w:val="false"/>
            <w:color w:val="000000"/>
            <w:sz w:val="22"/>
          </w:rPr>
          <w:t>261—subrule 68.4(7)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determination of the new investment eligible for the investment tax credit, the eligibility of a refundable investment tax credit for value-added agricultural product or biotechnology-related projects and the repayment of investment tax credits for the high quality jobs program is the same as set forth in subrule </w:t>
      </w:r>
      <w:hyperlink r:id="rId315">
        <w:r>
          <w:rPr>
            <w:rStyle w:val="Hyperlink"/>
            <w:rFonts w:ascii="Times New Roman" w:hAnsi="Times New Roman"/>
            <w:b w:val="false"/>
            <w:i w:val="false"/>
            <w:color w:val="000000"/>
            <w:sz w:val="22"/>
          </w:rPr>
          <w:t>501.28(2)</w:t>
        </w:r>
      </w:hyperlink>
      <w:r>
        <w:rPr>
          <w:rFonts w:ascii="Times New Roman" w:hAnsi="Times New Roman"/>
          <w:b w:val="false"/>
          <w:i w:val="false"/>
          <w:color w:val="000000"/>
          <w:sz w:val="22"/>
        </w:rPr>
        <w:t xml:space="preserve"> for the high quality job creation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501.40(3)</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an eligible business fails to maintain the requirements of the high quality jobs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of the eligible business to maintain the requirements of the high quality jobs program because the repayment is a recovery of an incentive, rather than an adjustment to the taxpayer’s tax liability. Details on the calculation of the repayment can be found in </w:t>
      </w:r>
      <w:hyperlink r:id="rId316">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17">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701—501.41</w:t>
      </w:r>
      <w:r>
        <w:rPr>
          <w:rFonts w:ascii="Times New Roman" w:hAnsi="Times New Roman"/>
          <w:b/>
          <w:i w:val="false"/>
          <w:color w:val="000000"/>
          <w:sz w:val="22"/>
        </w:rPr>
        <w:t xml:space="preserve">(15) </w:t>
      </w:r>
      <w:r>
        <w:rPr>
          <w:rFonts w:ascii="Times New Roman" w:hAnsi="Times New Roman"/>
          <w:b/>
          <w:i w:val="false"/>
          <w:color w:val="000000"/>
          <w:sz w:val="22"/>
        </w:rPr>
        <w:t xml:space="preserve">Aggregate tax credit limit for certain economic development programs. </w:t>
      </w:r>
      <w:r>
        <w:rPr>
          <w:rFonts w:ascii="Times New Roman" w:hAnsi="Times New Roman"/>
          <w:b w:val="false"/>
          <w:i w:val="false"/>
          <w:color w:val="000000"/>
          <w:sz w:val="22"/>
        </w:rPr>
        <w:t xml:space="preserve">Effective for the fiscal year beginning July 1, 2009, awards made under certain economic development programs cannot exceed $185 million during a fiscal year. Effective for fiscal years beginning on or after July 1, 2010, but beginning before July 1, 2012, awards made under these economic development programs cannot exceed $120 million during a fiscal year. Effective for fiscal years beginning on or after July 1, 2012, awards made under these economic development programs cannot exceed $170 million. For fiscal years beginning on or after July 1, 2010, but beginning before July 1, 2014, these programs include the assistive device tax credit program, the enterprise zone program, the housing enterprise zone program, the high quality jobs program, the redevelopment tax credit program, tax credits for investments in qualifying businesses and community-based seed capital funds, and the innovation fund tax credit program. For fiscal years beginning on or after July 1, 2014, these programs include the assistive device tax credit program, the workforce housing tax incentives program, the high quality jobs program, the redevelopment tax credit program, tax credits for investments in qualifying businesses and community-based seed capital funds, and the innovation fund tax credit program. The administrative rules for the aggregate tax credit limit for the economic development authority may be found at </w:t>
      </w:r>
      <w:hyperlink r:id="rId318">
        <w:r>
          <w:rPr>
            <w:rStyle w:val="Hyperlink"/>
            <w:rFonts w:ascii="Times New Roman" w:hAnsi="Times New Roman"/>
            <w:b w:val="false"/>
            <w:i w:val="false"/>
            <w:color w:val="000000"/>
            <w:sz w:val="22"/>
          </w:rPr>
          <w:t>261—Chapter 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9">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2448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701—501.42</w:t>
      </w:r>
      <w:r>
        <w:rPr>
          <w:rFonts w:ascii="Times New Roman" w:hAnsi="Times New Roman"/>
          <w:b/>
          <w:i w:val="false"/>
          <w:color w:val="000000"/>
          <w:sz w:val="22"/>
        </w:rPr>
        <w:t xml:space="preserve">(16,422) </w:t>
      </w:r>
      <w:r>
        <w:rPr>
          <w:rFonts w:ascii="Times New Roman" w:hAnsi="Times New Roman"/>
          <w:b/>
          <w:i w:val="false"/>
          <w:color w:val="000000"/>
          <w:sz w:val="22"/>
        </w:rPr>
        <w:t xml:space="preserve">Disaster recovery housing project tax credit. </w:t>
      </w:r>
      <w:r>
        <w:rPr>
          <w:rFonts w:ascii="Times New Roman" w:hAnsi="Times New Roman"/>
          <w:b w:val="false"/>
          <w:i w:val="false"/>
          <w:color w:val="000000"/>
          <w:sz w:val="22"/>
        </w:rPr>
        <w:t xml:space="preserve">For tax years beginning on or after January 1, 2011, but before January 1, 2015, a disaster recovery housing project tax credit is available for corporation income tax. The credit is equal to 75 percent of the taxpayer’s qualifying investment in a disaster recovery housing project and is administered by the Iowa finance authority. Qualifying investments are costs incurred on or after May 12, 2009, and prior to July 1, 2010, related to a disaster recovery housing project. Eligible properties must have applied for and received an allocation of federal low-income housing tax credits under </w:t>
      </w:r>
      <w:r>
        <w:rPr>
          <w:rFonts w:ascii="Times New Roman" w:hAnsi="Times New Roman"/>
          <w:b w:val="false"/>
          <w:i w:val="false"/>
          <w:color w:val="000000"/>
          <w:sz w:val="22"/>
        </w:rPr>
        <w:t>Section 42 of the Internal Revenue Code</w:t>
      </w:r>
      <w:r>
        <w:rPr>
          <w:rFonts w:ascii="Times New Roman" w:hAnsi="Times New Roman"/>
          <w:b w:val="false"/>
          <w:i w:val="false"/>
          <w:color w:val="000000"/>
          <w:sz w:val="22"/>
        </w:rPr>
        <w:t xml:space="preserve"> to be eligible for the tax credit. The administrative rules of the Iowa finance authority for the disaster recovery housing project tax credit may be found at </w:t>
      </w:r>
      <w:hyperlink r:id="rId320">
        <w:r>
          <w:rPr>
            <w:rStyle w:val="Hyperlink"/>
            <w:rFonts w:ascii="Times New Roman" w:hAnsi="Times New Roman"/>
            <w:b w:val="false"/>
            <w:i w:val="false"/>
            <w:color w:val="000000"/>
            <w:sz w:val="22"/>
          </w:rPr>
          <w:t>265—Chapter 34</w:t>
        </w:r>
      </w:hyperlink>
      <w:r>
        <w:rPr>
          <w:rFonts w:ascii="Times New Roman" w:hAnsi="Times New Roman"/>
          <w:b w:val="false"/>
          <w:i w:val="false"/>
          <w:color w:val="000000"/>
          <w:sz w:val="22"/>
        </w:rPr>
        <w:t>. The tax credit is repealed effective January 1, 2015.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501.42(1)</w:t>
      </w:r>
      <w:r>
        <w:rPr>
          <w:rFonts w:ascii="Times New Roman" w:hAnsi="Times New Roman"/>
          <w:b w:val="false"/>
          <w:i w:val="false"/>
          <w:color w:val="000000"/>
          <w:sz w:val="22"/>
        </w:rPr>
        <w:t> </w:t>
      </w:r>
      <w:r>
        <w:rPr>
          <w:rFonts w:ascii="Times New Roman" w:hAnsi="Times New Roman"/>
          <w:b w:val="false"/>
          <w:i/>
          <w:color w:val="000000"/>
          <w:sz w:val="22"/>
        </w:rPr>
        <w:t xml:space="preserve">Issuance of tax credit certificates. </w:t>
      </w:r>
      <w:r>
        <w:rPr>
          <w:rFonts w:ascii="Times New Roman" w:hAnsi="Times New Roman"/>
          <w:b w:val="false"/>
          <w:i w:val="false"/>
          <w:color w:val="000000"/>
          <w:sz w:val="22"/>
        </w:rPr>
        <w:t>Upon completion of the project and verification of the amount of investment made in the disaster recovery housing project, the Iowa finance authority will issue a tax credit certificate to the taxpayer. The tax credit certificate shall include the taxpayer’s name, address, tax identification number, amount of credit, and the tax year for which the credit may be claimed. The tax credit certificates will be issued on a first-come, first-served basis. The tax credit cannot be transferred to any other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501.42(2)</w:t>
      </w:r>
      <w:r>
        <w:rPr>
          <w:rFonts w:ascii="Times New Roman" w:hAnsi="Times New Roman"/>
          <w:b w:val="false"/>
          <w:i w:val="false"/>
          <w:color w:val="000000"/>
          <w:sz w:val="22"/>
        </w:rPr>
        <w:t> </w:t>
      </w:r>
      <w:r>
        <w:rPr>
          <w:rFonts w:ascii="Times New Roman" w:hAnsi="Times New Roman"/>
          <w:b w:val="false"/>
          <w:i/>
          <w:color w:val="000000"/>
          <w:sz w:val="22"/>
        </w:rPr>
        <w:t xml:space="preserve">Limitation of tax credits. </w:t>
      </w:r>
      <w:r>
        <w:rPr>
          <w:rFonts w:ascii="Times New Roman" w:hAnsi="Times New Roman"/>
          <w:b w:val="false"/>
          <w:i w:val="false"/>
          <w:color w:val="000000"/>
          <w:sz w:val="22"/>
        </w:rPr>
        <w:t>The tax credit shall not exceed 75 percent of the taxpayer’s qualifying investment in a disaster recovery housing project. The maximum amount of tax credits issued by the Iowa finance authority shall not exceed $3 million in each of the five consecutive years beginning in the 2011 calendar year. A tax credit certificate shall be issued by the Iowa finance authority for each year that the credit can be claimed.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501.42(3)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amount of the tax credit earned by the taxpayer will be divided by five and an amount equal thereto will be claimed on the Iowa corporation income tax return commencing with the tax year beginning on or after January 1, 2011. A taxpayer is not entitled to a refund of the excess tax for any tax credit in excess of the tax liability, and also is not entitled to carry forward any excess credit to a subsequent tax year.</w:t>
      </w:r>
    </w:p>
    <w:p>
      <w:pPr>
        <w:spacing w:before="0" w:after="0"/>
        <w:ind w:left="120"/>
        <w:jc w:val="both"/>
      </w:pPr>
      <w:r>
        <w:rPr>
          <w:rFonts w:ascii="Times New Roman" w:hAnsi="Times New Roman"/>
          <w:b w:val="false"/>
          <w:i w:val="false"/>
          <w:color w:val="000000"/>
          <w:sz w:val="22"/>
        </w:rPr>
        <w:t>If the taxpayer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The increase in the basis of the property that would otherwise result from the disaster recovery housing investment shall be reduced by the amount of the tax credit allowed.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corporation whose tax year ends on December 31 incurs $100,000 of costs related to an eligible disaster recovery housing project. The taxpayer receives a tax credit of $75,000, and $15,000 of credit can be claimed on each Iowa corporation income tax return for the periods ending December 31, 2011, through December 31, 2015. If the tax liability for the corporation for the period ending December 31, 2011, is $10,000, the credit is limited to $10,000, and the remaining $5,000 credit cannot be used. If the tax liability for the corporation for the period ending December 31, 2012, is $25,000, the credit is limited to $15,000, and the remaining $5,000 credit from 2011 cannot be used to reduce the tax for 2012.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501.42(4)</w:t>
      </w:r>
      <w:r>
        <w:rPr>
          <w:rFonts w:ascii="Times New Roman" w:hAnsi="Times New Roman"/>
          <w:b w:val="false"/>
          <w:i w:val="false"/>
          <w:color w:val="000000"/>
          <w:sz w:val="22"/>
        </w:rPr>
        <w:t> </w:t>
      </w:r>
      <w:r>
        <w:rPr>
          <w:rFonts w:ascii="Times New Roman" w:hAnsi="Times New Roman"/>
          <w:b w:val="false"/>
          <w:i/>
          <w:color w:val="000000"/>
          <w:sz w:val="22"/>
        </w:rPr>
        <w:t xml:space="preserve">Potential recapture of tax credits. </w:t>
      </w:r>
      <w:r>
        <w:rPr>
          <w:rFonts w:ascii="Times New Roman" w:hAnsi="Times New Roman"/>
          <w:b w:val="false"/>
          <w:i w:val="false"/>
          <w:color w:val="000000"/>
          <w:sz w:val="22"/>
        </w:rPr>
        <w:t>If the taxpayer fails to comply with the eligibility requirements of the project or violates local zoning and construction ordinances, the Iowa finance authority can void the tax credit and the department of revenue shall seek recovery of the value of any tax credit claimed on a corporation income tax return.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1">
        <w:r>
          <w:rPr>
            <w:rStyle w:val="Hyperlink"/>
            <w:rFonts w:ascii="Times New Roman" w:hAnsi="Times New Roman"/>
            <w:b w:val="false"/>
            <w:i w:val="false"/>
            <w:color w:val="000000"/>
            <w:sz w:val="22"/>
          </w:rPr>
          <w:t>16.211</w:t>
        </w:r>
      </w:hyperlink>
      <w:r>
        <w:rPr>
          <w:rFonts w:ascii="Times New Roman" w:hAnsi="Times New Roman"/>
          <w:b w:val="false"/>
          <w:i w:val="false"/>
          <w:color w:val="000000"/>
          <w:sz w:val="22"/>
        </w:rPr>
        <w:t xml:space="preserve">, </w:t>
      </w:r>
      <w:hyperlink r:id="rId322">
        <w:r>
          <w:rPr>
            <w:rStyle w:val="Hyperlink"/>
            <w:rFonts w:ascii="Times New Roman" w:hAnsi="Times New Roman"/>
            <w:b w:val="false"/>
            <w:i w:val="false"/>
            <w:color w:val="000000"/>
            <w:sz w:val="22"/>
          </w:rPr>
          <w:t>16.212</w:t>
        </w:r>
      </w:hyperlink>
      <w:r>
        <w:rPr>
          <w:rFonts w:ascii="Times New Roman" w:hAnsi="Times New Roman"/>
          <w:b w:val="false"/>
          <w:i w:val="false"/>
          <w:color w:val="000000"/>
          <w:sz w:val="22"/>
        </w:rPr>
        <w:t xml:space="preserve"> and </w:t>
      </w:r>
      <w:hyperlink r:id="rId323">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Senate File 2328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8605B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701—501.43</w:t>
      </w:r>
      <w:r>
        <w:rPr>
          <w:rFonts w:ascii="Times New Roman" w:hAnsi="Times New Roman"/>
          <w:b/>
          <w:i w:val="false"/>
          <w:color w:val="000000"/>
          <w:sz w:val="22"/>
        </w:rPr>
        <w:t xml:space="preserve">(422) </w:t>
      </w:r>
      <w:r>
        <w:rPr>
          <w:rFonts w:ascii="Times New Roman" w:hAnsi="Times New Roman"/>
          <w:b/>
          <w:i w:val="false"/>
          <w:color w:val="000000"/>
          <w:sz w:val="22"/>
        </w:rPr>
        <w:t xml:space="preserve">E-15 plus gasoline promotion tax credit. </w:t>
      </w:r>
      <w:r>
        <w:rPr>
          <w:rFonts w:ascii="Times New Roman" w:hAnsi="Times New Roman"/>
          <w:b w:val="false"/>
          <w:i w:val="false"/>
          <w:color w:val="000000"/>
          <w:sz w:val="22"/>
        </w:rPr>
        <w:t xml:space="preserve">Effective for eligible gallons sold on or after July 1, 2011, a retail dealer of gasoline may claim an E-15 plus gasoline promotion tax credit. “E-15 plus gasoline” means ethanol blended gasoline formulated with a minimum percentage of between 15 percent and 69 percent of volume of ethanol, if the formulation meets the standards provided in Iowa Code section </w:t>
      </w:r>
      <w:hyperlink r:id="rId324">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For purposes of this rule, tank wagon sales are considered retail sales. The credit is calculated on Form IA 138.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501.43(1)</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Amount of credit. </w:t>
      </w:r>
      <w:r>
        <w:rPr>
          <w:rFonts w:ascii="Times New Roman" w:hAnsi="Times New Roman"/>
          <w:b w:val="false"/>
          <w:i w:val="false"/>
          <w:color w:val="000000"/>
          <w:sz w:val="22"/>
        </w:rPr>
        <w:t>The tax credit is calculated by multiplying the total number of E-15 plus gallons sold by the retail dealer during the tax year by the following designated rates:</w:t>
      </w:r>
    </w:p>
    <w:tbl>
      <w:tblPr>
        <w:tblW w:w="0" w:type="auto"/>
        <w:tblCellSpacing w:w="0" w:type="auto"/>
        <w:tblBorders>
          <w:top w:val="none"/>
          <w:left w:val="none"/>
          <w:bottom w:val="none"/>
          <w:right w:val="none"/>
          <w:insideH w:val="none"/>
          <w:insideV w:val="none"/>
        </w:tblBorders>
        <w:tblLayout w:type="fixed"/>
      </w:tblPr>
      <w:tblGrid>
        <w:gridCol w:w="8475"/>
        <w:gridCol w:w="2715"/>
      </w:tblGrid>
      <w:tr>
        <w:trPr>
          <w:trHeight w:val="255" w:hRule="atLeast"/>
        </w:trPr>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Gallons sold from July 1, 2011, through December 31, 2013</w:t>
            </w:r>
          </w:p>
        </w:tc>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cents</w:t>
            </w:r>
          </w:p>
        </w:tc>
      </w:tr>
      <w:tr>
        <w:trPr>
          <w:trHeight w:val="480" w:hRule="atLeast"/>
        </w:trPr>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Gallons sold from January 1 through May 31 and from September 16 through December 31 for the 2014-2024 calendar years</w:t>
            </w:r>
          </w:p>
        </w:tc>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cents</w:t>
            </w:r>
          </w:p>
        </w:tc>
      </w:tr>
      <w:tr>
        <w:trPr>
          <w:trHeight w:val="480" w:hRule="atLeast"/>
        </w:trPr>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Gallons sold from June 1 through September 15 for the 2014-2024 calendar years</w:t>
            </w:r>
          </w:p>
        </w:tc>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 cents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with other credits. </w:t>
      </w:r>
      <w:r>
        <w:rPr>
          <w:rFonts w:ascii="Times New Roman" w:hAnsi="Times New Roman"/>
          <w:b w:val="false"/>
          <w:i w:val="false"/>
          <w:color w:val="000000"/>
          <w:sz w:val="22"/>
        </w:rPr>
        <w:t xml:space="preserve">A taxpayer may claim the E-15 plus gasoline promotion tax credit even if the taxpayer also claims the ethanol promotion tax credit provided in rule </w:t>
      </w:r>
      <w:hyperlink r:id="rId325">
        <w:r>
          <w:rPr>
            <w:rStyle w:val="Hyperlink"/>
            <w:rFonts w:ascii="Times New Roman" w:hAnsi="Times New Roman"/>
            <w:b w:val="false"/>
            <w:i w:val="false"/>
            <w:color w:val="000000"/>
            <w:sz w:val="22"/>
          </w:rPr>
          <w:t>701—52.36</w:t>
        </w:r>
      </w:hyperlink>
      <w:r>
        <w:rPr>
          <w:rFonts w:ascii="Times New Roman" w:hAnsi="Times New Roman"/>
          <w:b w:val="false"/>
          <w:i w:val="false"/>
          <w:color w:val="000000"/>
          <w:sz w:val="22"/>
        </w:rPr>
        <w:t>(422) for gallons sold on or after January 1, 2011, but prior to January 1, 2021, for the same tax year for the same ethanol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501.43(2)</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For taxpayers whose tax year is not on a calendar-year basis, the taxpayer may compute the tax credit on the gallons of E-15 plus gasoline sold during the year using the designated rates as shown above. Because the tax credit is repealed on January 1, 2025, a taxpayer whose tax year ends prior to December 31, 2024, may continue to claim the tax credit in the following tax year for any E-15 plus gallons sold through December 31, 2024. For a retail dealer whose tax year is not on a calendar-year basis and who did not claim the E-15 plus credit on the previous return, the dealer may claim the credit for the current tax year for gallons sold for the period beginning on July 1 of the previous tax year until the last day of the previous tax year. However, for taxpayers whose fiscal year ends prior to December 31, 2011, the dealer must claim the credit for the current tax year for gallons sold for the period beginning on July 1 of the previous tax year until the last day of the previous tax year.</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who is a retail dealer of gasoline has a fiscal year ending October 31, 2011. The taxpayer sold 2,000 gallons of E-15 plus gasoline for the period from July 1, 2011, through October 31, 2011, and sold 7,000 gallons of E-15 plus gasoline for the period from November 1, 2011, through October 31, 2012. The taxpayer is entitled to a total E-15 plus gasoline promotion tax credit of $270 for the fiscal year ending October 31, 2012, which consists of a $60 credit (2,000 gallons multiplied by 3 cents) for the period from July 1, 2011, through October 31, 2011, and a credit of $210 (7,000 gallons multiplied by 3 cents) for the period from November 1, 2011, through October 31, 2012.</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who is a retail dealer of gasoline has a fiscal year ending April 30, 2012. The taxpayer sold 4,000 gallons of E-15 plus gasoline between July 1, 2011, and April 30, 2012. The taxpayer sold 9,000 gallons of E-15 plus gasoline between May 1, 2012, and April 30, 2013. The taxpayer is entitled to claim an E-15 plus gasoline promotion tax credit of $120 (4,000 gallons multiplied by 3 cents) for the fiscal year ending April 30, 2012. In lieu of claiming the credit on the return for the period ending April 30, 2012, the taxpayer can claim the E-15 plus gasoline promotion tax credit on the tax return for the period ending April 30, 2013, for all E-15 plus gasoline gallons sold for the period from July 1, 2011, through April 30, 2013.</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 taxpayer who is a retail dealer of gasoline has a fiscal year ending February 28, 2025. The taxpayer sold 20,000 total gallons of E-15 plus gasoline for the entire period from March 1, 2024, through February 28, 2025. For the period from March 1 through May 31, 2024, the taxpayer sold 4,000 gallons of E-15 plus gasoline, which entitles the taxpayer to a credit of $120 (4,000 gallons multiplied by 3 cents). For the period from June 1 through September 15, 2024, the taxpayer sold 6,000 gallons of E-15 plus gasoline, which entitles the taxpayer to a credit of $600 (6,000 gallons multiplied by 10 cents). For the period from September 16 through December 31, 2024, the taxpayer sold 6,000 gallons of E-15 plus gasoline, which entitles the taxpayer to a credit of $180 (6,000 gallons multiplied by 3 cents). For the period from January 1 through February 28, 2025, the taxpayer sold 4,000 gallons of E-15 plus gasoline, which occurred after expiration of the credit. The taxpayer is entitled to claim a total E-15 plus gasoline promotion tax credit of $900 ($120 plus $600 plus $180) on the taxpayer’s Iowa income tax return for the period ending February 28,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501.43(3)</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a taxpayer claiming the E-15 plus gasoline promotion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6">
        <w:r>
          <w:rPr>
            <w:rStyle w:val="Hyperlink"/>
            <w:rFonts w:ascii="Times New Roman" w:hAnsi="Times New Roman"/>
            <w:b w:val="false"/>
            <w:i w:val="false"/>
            <w:color w:val="000000"/>
            <w:sz w:val="22"/>
          </w:rPr>
          <w:t>422.11Y</w:t>
        </w:r>
      </w:hyperlink>
      <w:r>
        <w:rPr>
          <w:rFonts w:ascii="Times New Roman" w:hAnsi="Times New Roman"/>
          <w:b w:val="false"/>
          <w:i w:val="false"/>
          <w:color w:val="000000"/>
          <w:sz w:val="22"/>
        </w:rPr>
        <w:t xml:space="preserve"> and </w:t>
      </w:r>
      <w:hyperlink r:id="rId327">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2309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3043C</w:t>
      </w:r>
      <w:r>
        <w:rPr>
          <w:rFonts w:ascii="Times New Roman" w:hAnsi="Times New Roman"/>
          <w:b w:val="false"/>
          <w:i w:val="false"/>
          <w:color w:val="000000"/>
          <w:sz w:val="16"/>
        </w:rPr>
        <w:t>, IAB 4/26/17, effective 5/31/17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701—501.44</w:t>
      </w:r>
      <w:r>
        <w:rPr>
          <w:rFonts w:ascii="Times New Roman" w:hAnsi="Times New Roman"/>
          <w:b/>
          <w:i w:val="false"/>
          <w:color w:val="000000"/>
          <w:sz w:val="22"/>
        </w:rPr>
        <w:t xml:space="preserve">(422) </w:t>
      </w:r>
      <w:r>
        <w:rPr>
          <w:rFonts w:ascii="Times New Roman" w:hAnsi="Times New Roman"/>
          <w:b/>
          <w:i w:val="false"/>
          <w:color w:val="000000"/>
          <w:sz w:val="22"/>
        </w:rPr>
        <w:t xml:space="preserve">Solar energy system tax credit. </w:t>
      </w:r>
      <w:r>
        <w:rPr>
          <w:rFonts w:ascii="Times New Roman" w:hAnsi="Times New Roman"/>
          <w:b w:val="false"/>
          <w:i w:val="false"/>
          <w:color w:val="000000"/>
          <w:sz w:val="22"/>
        </w:rPr>
        <w:t xml:space="preserve">For tax years beginning on or after January 1, 2012, a solar energy system tax credit is available for business property described in </w:t>
      </w:r>
      <w:r>
        <w:rPr>
          <w:rFonts w:ascii="Times New Roman" w:hAnsi="Times New Roman"/>
          <w:b w:val="false"/>
          <w:i w:val="false"/>
          <w:color w:val="000000"/>
          <w:sz w:val="22"/>
        </w:rPr>
        <w:t>Sections 48(a)(2)(A)(i)(II) and 48(a)(2)(A)(i)(III) of the Internal Revenue Code</w:t>
      </w:r>
      <w:r>
        <w:rPr>
          <w:rFonts w:ascii="Times New Roman" w:hAnsi="Times New Roman"/>
          <w:b w:val="false"/>
          <w:i w:val="false"/>
          <w:color w:val="000000"/>
          <w:sz w:val="22"/>
        </w:rPr>
        <w:t xml:space="preserve"> and located in Iowa. The credit is available according to the same requirements, conditions, and limitations as described in rule </w:t>
      </w:r>
      <w:hyperlink r:id="rId328">
        <w:r>
          <w:rPr>
            <w:rStyle w:val="Hyperlink"/>
            <w:rFonts w:ascii="Times New Roman" w:hAnsi="Times New Roman"/>
            <w:b w:val="false"/>
            <w:i w:val="false"/>
            <w:color w:val="000000"/>
            <w:sz w:val="22"/>
          </w:rPr>
          <w:t>701—304.48</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9">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5590C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701—501.45</w:t>
      </w:r>
      <w:r>
        <w:rPr>
          <w:rFonts w:ascii="Times New Roman" w:hAnsi="Times New Roman"/>
          <w:b/>
          <w:i w:val="false"/>
          <w:color w:val="000000"/>
          <w:sz w:val="22"/>
        </w:rPr>
        <w:t xml:space="preserve">(422) </w:t>
      </w:r>
      <w:r>
        <w:rPr>
          <w:rFonts w:ascii="Times New Roman" w:hAnsi="Times New Roman"/>
          <w:b/>
          <w:i w:val="false"/>
          <w:color w:val="000000"/>
          <w:sz w:val="22"/>
        </w:rPr>
        <w:t xml:space="preserve">From farm to food donation tax credit. </w:t>
      </w:r>
      <w:r>
        <w:rPr>
          <w:rFonts w:ascii="Times New Roman" w:hAnsi="Times New Roman"/>
          <w:b w:val="false"/>
          <w:i w:val="false"/>
          <w:color w:val="000000"/>
          <w:sz w:val="22"/>
        </w:rPr>
        <w:t xml:space="preserve">A taxpayer that donates a food commodity that the taxpayer produces may claim a tax credit against Iowa corporation income tax according to the same requirements, conditions, and limitations as described in rule </w:t>
      </w:r>
      <w:hyperlink r:id="rId330">
        <w:r>
          <w:rPr>
            <w:rStyle w:val="Hyperlink"/>
            <w:rFonts w:ascii="Times New Roman" w:hAnsi="Times New Roman"/>
            <w:b w:val="false"/>
            <w:i w:val="false"/>
            <w:color w:val="000000"/>
            <w:sz w:val="22"/>
          </w:rPr>
          <w:t>701—304.51</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31">
        <w:r>
          <w:rPr>
            <w:rStyle w:val="Hyperlink"/>
            <w:rFonts w:ascii="Times New Roman" w:hAnsi="Times New Roman"/>
            <w:b w:val="false"/>
            <w:i w:val="false"/>
            <w:color w:val="000000"/>
            <w:sz w:val="22"/>
          </w:rPr>
          <w:t>190B</w:t>
        </w:r>
      </w:hyperlink>
      <w:r>
        <w:rPr>
          <w:rFonts w:ascii="Times New Roman" w:hAnsi="Times New Roman"/>
          <w:b w:val="false"/>
          <w:i w:val="false"/>
          <w:color w:val="000000"/>
          <w:sz w:val="22"/>
        </w:rPr>
        <w:t xml:space="preserve">, subchapter I, and section </w:t>
      </w:r>
      <w:hyperlink r:id="rId332">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6901C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701—501.46</w:t>
      </w:r>
      <w:r>
        <w:rPr>
          <w:rFonts w:ascii="Times New Roman" w:hAnsi="Times New Roman"/>
          <w:b/>
          <w:i w:val="false"/>
          <w:color w:val="000000"/>
          <w:sz w:val="22"/>
        </w:rPr>
        <w:t xml:space="preserve">(15) </w:t>
      </w:r>
      <w:r>
        <w:rPr>
          <w:rFonts w:ascii="Times New Roman" w:hAnsi="Times New Roman"/>
          <w:b/>
          <w:i w:val="false"/>
          <w:color w:val="000000"/>
          <w:sz w:val="22"/>
        </w:rPr>
        <w:t xml:space="preserve">Workforce housing tax incentives program. </w:t>
      </w:r>
      <w:r>
        <w:rPr>
          <w:rFonts w:ascii="Times New Roman" w:hAnsi="Times New Roman"/>
          <w:b w:val="false"/>
          <w:i w:val="false"/>
          <w:color w:val="000000"/>
          <w:sz w:val="22"/>
        </w:rPr>
        <w:t xml:space="preserve">A business which qualifies under the workforce housing tax incentives program is eligible to receive tax incentives for corporation income tax. The workforce housing tax incentives program replaced the eligible housing enterprise zone program. An eligible business under the workforce housing tax incentives program must be approved by the economic development authority. The administrative rules for the workforce housing tax incentives program for the economic development authority may be found at </w:t>
      </w:r>
      <w:hyperlink r:id="rId333">
        <w:r>
          <w:rPr>
            <w:rStyle w:val="Hyperlink"/>
            <w:rFonts w:ascii="Times New Roman" w:hAnsi="Times New Roman"/>
            <w:b w:val="false"/>
            <w:i w:val="false"/>
            <w:color w:val="000000"/>
            <w:sz w:val="22"/>
          </w:rPr>
          <w:t>261—Chapter 48</w:t>
        </w:r>
      </w:hyperlink>
      <w:r>
        <w:rPr>
          <w:rFonts w:ascii="Times New Roman" w:hAnsi="Times New Roman"/>
          <w:b w:val="false"/>
          <w:i w:val="false"/>
          <w:color w:val="000000"/>
          <w:sz w:val="22"/>
        </w:rPr>
        <w:t xml:space="preserve">. The general assembly has mandated that the economic development authority and the department of revenue adopt rules to jointly administer Iowa Code sections </w:t>
      </w:r>
      <w:hyperlink r:id="rId334">
        <w:r>
          <w:rPr>
            <w:rStyle w:val="Hyperlink"/>
            <w:rFonts w:ascii="Times New Roman" w:hAnsi="Times New Roman"/>
            <w:b w:val="false"/>
            <w:i w:val="false"/>
            <w:color w:val="000000"/>
            <w:sz w:val="22"/>
          </w:rPr>
          <w:t>15.351 to 15.356</w:t>
        </w:r>
      </w:hyperlink>
      <w:r>
        <w:rPr>
          <w:rFonts w:ascii="Times New Roman" w:hAnsi="Times New Roman"/>
          <w:b w:val="false"/>
          <w:i w:val="false"/>
          <w:color w:val="000000"/>
          <w:sz w:val="22"/>
        </w:rPr>
        <w:t>. In general, the economic development authority is responsible for evaluating whether projects meet the requirements for a workforce housing tax incentives program while the department of revenue administers tax credit claims and transfers.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“Costs directly related” </w:t>
      </w:r>
      <w:r>
        <w:rPr>
          <w:rFonts w:ascii="Times New Roman" w:hAnsi="Times New Roman"/>
          <w:b w:val="false"/>
          <w:i w:val="false"/>
          <w:color w:val="000000"/>
          <w:sz w:val="22"/>
        </w:rPr>
        <w:t xml:space="preserve">means the same as defined in rule </w:t>
      </w:r>
      <w:hyperlink r:id="rId335">
        <w:r>
          <w:rPr>
            <w:rStyle w:val="Hyperlink"/>
            <w:rFonts w:ascii="Times New Roman" w:hAnsi="Times New Roman"/>
            <w:b w:val="false"/>
            <w:i w:val="false"/>
            <w:color w:val="000000"/>
            <w:sz w:val="22"/>
          </w:rPr>
          <w:t>261—48.3</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new investment” </w:t>
      </w:r>
      <w:r>
        <w:rPr>
          <w:rFonts w:ascii="Times New Roman" w:hAnsi="Times New Roman"/>
          <w:b w:val="false"/>
          <w:i w:val="false"/>
          <w:color w:val="000000"/>
          <w:sz w:val="22"/>
        </w:rPr>
        <w:t xml:space="preserve">means the same as defined in rule </w:t>
      </w:r>
      <w:hyperlink r:id="rId336">
        <w:r>
          <w:rPr>
            <w:rStyle w:val="Hyperlink"/>
            <w:rFonts w:ascii="Times New Roman" w:hAnsi="Times New Roman"/>
            <w:b w:val="false"/>
            <w:i w:val="false"/>
            <w:color w:val="000000"/>
            <w:sz w:val="22"/>
          </w:rPr>
          <w:t>261—48.3</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501.46(2)</w:t>
      </w:r>
      <w:r>
        <w:rPr>
          <w:rFonts w:ascii="Times New Roman" w:hAnsi="Times New Roman"/>
          <w:b w:val="false"/>
          <w:i w:val="false"/>
          <w:color w:val="000000"/>
          <w:sz w:val="22"/>
        </w:rPr>
        <w:t> </w:t>
      </w:r>
      <w:r>
        <w:rPr>
          <w:rFonts w:ascii="Times New Roman" w:hAnsi="Times New Roman"/>
          <w:b w:val="false"/>
          <w:i/>
          <w:color w:val="000000"/>
          <w:sz w:val="22"/>
        </w:rPr>
        <w:t xml:space="preserve">Workforce housing tax incentives. </w:t>
      </w:r>
      <w:r>
        <w:rPr>
          <w:rFonts w:ascii="Times New Roman" w:hAnsi="Times New Roman"/>
          <w:b w:val="false"/>
          <w:i w:val="false"/>
          <w:color w:val="000000"/>
          <w:sz w:val="22"/>
        </w:rPr>
        <w:t xml:space="preserve">The economic development authority will allocate no more than $20 million in tax incentives for this program for any fiscal year, $5 million of which shall be reserved for allocation to qualified housing projects in small cities, as defined in Iowa Code section </w:t>
      </w:r>
      <w:hyperlink r:id="rId337">
        <w:r>
          <w:rPr>
            <w:rStyle w:val="Hyperlink"/>
            <w:rFonts w:ascii="Times New Roman" w:hAnsi="Times New Roman"/>
            <w:b w:val="false"/>
            <w:i w:val="false"/>
            <w:color w:val="000000"/>
            <w:sz w:val="22"/>
          </w:rPr>
          <w:t>15.352(10)</w:t>
        </w:r>
      </w:hyperlink>
      <w:r>
        <w:rPr>
          <w:rFonts w:ascii="Times New Roman" w:hAnsi="Times New Roman"/>
          <w:b w:val="false"/>
          <w:i w:val="false"/>
          <w:color w:val="000000"/>
          <w:sz w:val="22"/>
        </w:rPr>
        <w:t>, that are registered on or after July 1, 2017. A housing business that has entered into an agreement with the economic development authority is eligible to receive the tax incentives described in the following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Sales tax refund. </w:t>
      </w:r>
      <w:r>
        <w:rPr>
          <w:rFonts w:ascii="Times New Roman" w:hAnsi="Times New Roman"/>
          <w:b w:val="false"/>
          <w:i w:val="false"/>
          <w:color w:val="000000"/>
          <w:sz w:val="22"/>
        </w:rPr>
        <w:t xml:space="preserve">A housing business may claim a refund of the sales and use tax described in rule </w:t>
      </w:r>
      <w:hyperlink r:id="rId338">
        <w:r>
          <w:rPr>
            <w:rStyle w:val="Hyperlink"/>
            <w:rFonts w:ascii="Times New Roman" w:hAnsi="Times New Roman"/>
            <w:b w:val="false"/>
            <w:i w:val="false"/>
            <w:color w:val="000000"/>
            <w:sz w:val="22"/>
          </w:rPr>
          <w:t>701—278.1</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Computation of the credit. A housing business may claim a tax credit in an amount not to exceed 10 percent of the qualifying new investment in a housing project not located in a small city, or 20 percent of the qualifying new investment in a housing project located in a small city.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Allocation of the tax credit to the individual owners of the entity or beneficiaries of an estate or trust. An individual may claim a tax credit if the housing business is a partnership, limited liability company, S corporation, estate, or trust electing to have income taxed directly to the individual. The amount claimed by the individual shall be based upon the pro rata share of the individual’s earnings from the partnership, limited liability company, S corporation, estate, or trust.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Refundability. Any tax credit in excess of the taxpayer’s liability for the tax year is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Carryforward. Any tax credit in excess of the taxpayer’s liability may be credited to the tax liability for the following five years or until depleted,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501.46(3)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credit—information required. </w:t>
      </w:r>
      <w:r>
        <w:rPr>
          <w:rFonts w:ascii="Times New Roman" w:hAnsi="Times New Roman"/>
          <w:b w:val="false"/>
          <w:i w:val="false"/>
          <w:color w:val="000000"/>
          <w:sz w:val="22"/>
        </w:rPr>
        <w:t xml:space="preserve">The taxpayer must receive a tax credit certificate from the economic development authority to claim the eligible housing business tax credit. The tax credit certificate shall include the taxpayer’s name, the taxpayer’s address, the taxpayer’s tax identification number, the date the project was completed, the amount of the eligible housing business tax credit and the tax year for which the credit may be claimed. In addition, the tax credit certificate shall include a place for the name and tax identification number of a transferee and the amount of the tax credit being transferred, as provided in subrule </w:t>
      </w:r>
      <w:hyperlink r:id="rId339">
        <w:r>
          <w:rPr>
            <w:rStyle w:val="Hyperlink"/>
            <w:rFonts w:ascii="Times New Roman" w:hAnsi="Times New Roman"/>
            <w:b w:val="false"/>
            <w:i w:val="false"/>
            <w:color w:val="000000"/>
            <w:sz w:val="22"/>
          </w:rPr>
          <w:t>501.46(5)</w:t>
        </w:r>
      </w:hyperlink>
      <w:r>
        <w:rPr>
          <w:rFonts w:ascii="Times New Roman" w:hAnsi="Times New Roman"/>
          <w:b w:val="false"/>
          <w:i w:val="false"/>
          <w:color w:val="000000"/>
          <w:sz w:val="22"/>
        </w:rPr>
        <w:t>. The tax credit certificate must be included with the income tax return for the tax period in which the housing is ready for occupancy.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501.46(4)</w:t>
      </w:r>
      <w:r>
        <w:rPr>
          <w:rFonts w:ascii="Times New Roman" w:hAnsi="Times New Roman"/>
          <w:b w:val="false"/>
          <w:i w:val="false"/>
          <w:color w:val="000000"/>
          <w:sz w:val="22"/>
        </w:rPr>
        <w:t> </w:t>
      </w:r>
      <w:r>
        <w:rPr>
          <w:rFonts w:ascii="Times New Roman" w:hAnsi="Times New Roman"/>
          <w:b w:val="false"/>
          <w:i/>
          <w:color w:val="000000"/>
          <w:sz w:val="22"/>
        </w:rPr>
        <w:t xml:space="preserve">Basis adjustment. </w:t>
      </w:r>
      <w:r>
        <w:rPr>
          <w:rFonts w:ascii="Times New Roman" w:hAnsi="Times New Roman"/>
          <w:b w:val="false"/>
          <w:i w:val="false"/>
          <w:color w:val="000000"/>
          <w:sz w:val="22"/>
        </w:rPr>
        <w:t>The increase in the basis of the property that would otherwise result from the qualifying new investment shall be reduced by the amount of the investment tax credit. For example, if a new housing project had qualifying new investment of $1 million which resulted in a $100,000 investment tax credit for Iowa tax purposes, the basis of the property for Iowa income tax purposes would be $900,000.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501.46(5)</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Submission of transferred tax credit certificate to the department—information required. </w:t>
      </w:r>
      <w:r>
        <w:rPr>
          <w:rFonts w:ascii="Times New Roman" w:hAnsi="Times New Roman"/>
          <w:b w:val="false"/>
          <w:i w:val="false"/>
          <w:color w:val="000000"/>
          <w:sz w:val="22"/>
        </w:rPr>
        <w:t xml:space="preserve">Tax credit certificates issued under an agreement entered into pursuant to subrule </w:t>
      </w:r>
      <w:hyperlink r:id="rId340">
        <w:r>
          <w:rPr>
            <w:rStyle w:val="Hyperlink"/>
            <w:rFonts w:ascii="Times New Roman" w:hAnsi="Times New Roman"/>
            <w:b w:val="false"/>
            <w:i w:val="false"/>
            <w:color w:val="000000"/>
            <w:sz w:val="22"/>
          </w:rPr>
          <w:t>501.46(3)</w:t>
        </w:r>
      </w:hyperlink>
      <w:r>
        <w:rPr>
          <w:rFonts w:ascii="Times New Roman" w:hAnsi="Times New Roman"/>
          <w:b w:val="false"/>
          <w:i w:val="false"/>
          <w:color w:val="000000"/>
          <w:sz w:val="22"/>
        </w:rPr>
        <w:t xml:space="preserve"> may be transferred to any person. Within 90 days of transfer, the transferee shall submit the transferred tax credit certificate to the department of revenue along with a statement containing the transferee’s name, tax identification number, and address, the denomination that each replacement tax credit certificate is to carry, and any other information required by the department of revenue. However, tax credit certificate amounts of less than the minimum amount established in rule by the economic development authority shall not be transferable.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Issuance of replacement certificate by the department. </w:t>
      </w:r>
      <w:r>
        <w:rPr>
          <w:rFonts w:ascii="Times New Roman" w:hAnsi="Times New Roman"/>
          <w:b w:val="false"/>
          <w:i w:val="false"/>
          <w:color w:val="000000"/>
          <w:sz w:val="22"/>
        </w:rPr>
        <w:t xml:space="preserve">Within 30 days of receiving the transferred tax credit certificate and the transferee’s statement, the department of revenue shall issue one or more replacement tax credit certificates to the transferee. Each replacement tax credit certificate must contain the information required for the original tax credit certificate and must have the same expiration date that appeared on the transferred tax credit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Claiming the transferred tax credit. </w:t>
      </w:r>
      <w:r>
        <w:rPr>
          <w:rFonts w:ascii="Times New Roman" w:hAnsi="Times New Roman"/>
          <w:b w:val="false"/>
          <w:i w:val="false"/>
          <w:color w:val="000000"/>
          <w:sz w:val="22"/>
        </w:rPr>
        <w:t>A tax credit shall not be claimed by a transferee under this rule until a replacement tax credit certificate identifying the transferee as the proper holder has been issued. The transferee may use the amount of the tax credit transferred for any tax year the original transferor could have claimed the tax credit. 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Unlimited number of transferees and subsequent transfers. </w:t>
      </w:r>
      <w:r>
        <w:rPr>
          <w:rFonts w:ascii="Times New Roman" w:hAnsi="Times New Roman"/>
          <w:b w:val="false"/>
          <w:i w:val="false"/>
          <w:color w:val="000000"/>
          <w:sz w:val="22"/>
        </w:rPr>
        <w:t>There is no limitation on the number of transferees to whom the credit may be transferred. There is no limitation on the number of times that the credit may be retransferred by a transferee. The transferor may divide the credit into multiple credits of alternate denominations so long as the resulting credits are for amounts of no less than the minimum amount established in rule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Carryforward limitations on transferees. </w:t>
      </w:r>
      <w:r>
        <w:rPr>
          <w:rFonts w:ascii="Times New Roman" w:hAnsi="Times New Roman"/>
          <w:b w:val="false"/>
          <w:i w:val="false"/>
          <w:color w:val="000000"/>
          <w:sz w:val="22"/>
        </w:rPr>
        <w:t xml:space="preserve">The transferee may use the amount of the transferred tax credit for any tax year that the original transferor could have claimed the tax credit. The carryforward limitations described in </w:t>
      </w:r>
      <w:hyperlink r:id="rId341">
        <w:r>
          <w:rPr>
            <w:rStyle w:val="Hyperlink"/>
            <w:rFonts w:ascii="Times New Roman" w:hAnsi="Times New Roman"/>
            <w:b w:val="false"/>
            <w:i w:val="false"/>
            <w:color w:val="000000"/>
            <w:sz w:val="22"/>
          </w:rPr>
          <w:t>subparagraph 501.46(2)</w:t>
        </w:r>
      </w:hyperlink>
      <w:r>
        <w:rPr>
          <w:rFonts w:ascii="Times New Roman" w:hAnsi="Times New Roman"/>
          <w:b w:val="false"/>
          <w:i/>
          <w:color w:val="000000"/>
          <w:sz w:val="22"/>
        </w:rPr>
        <w:t>“b”</w:t>
      </w:r>
      <w:r>
        <w:rPr>
          <w:rFonts w:ascii="Times New Roman" w:hAnsi="Times New Roman"/>
          <w:b w:val="false"/>
          <w:i w:val="false"/>
          <w:color w:val="000000"/>
          <w:sz w:val="22"/>
        </w:rPr>
        <w:t>(4)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501.46(6)</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the housing business fails to maintain the requirements of Iowa Code section </w:t>
      </w:r>
      <w:hyperlink r:id="rId342">
        <w:r>
          <w:rPr>
            <w:rStyle w:val="Hyperlink"/>
            <w:rFonts w:ascii="Times New Roman" w:hAnsi="Times New Roman"/>
            <w:b w:val="false"/>
            <w:i w:val="false"/>
            <w:color w:val="000000"/>
            <w:sz w:val="22"/>
          </w:rPr>
          <w:t>15.353</w:t>
        </w:r>
      </w:hyperlink>
      <w:r>
        <w:rPr>
          <w:rFonts w:ascii="Times New Roman" w:hAnsi="Times New Roman"/>
          <w:b w:val="false"/>
          <w:i w:val="false"/>
          <w:color w:val="000000"/>
          <w:sz w:val="22"/>
        </w:rPr>
        <w:t xml:space="preserve">, the taxpayer may be required to repay all or a portion of the tax incentives the taxpayer received. Irrespective of the fact that the statute of limitations to assess the taxpayer for repayment of the income tax credit may have expired, the department may proceed to collect the tax incentives forfeited by failure of the taxpayer to maintain the requirements of Iowa Code section </w:t>
      </w:r>
      <w:hyperlink r:id="rId343">
        <w:r>
          <w:rPr>
            <w:rStyle w:val="Hyperlink"/>
            <w:rFonts w:ascii="Times New Roman" w:hAnsi="Times New Roman"/>
            <w:b w:val="false"/>
            <w:i w:val="false"/>
            <w:color w:val="000000"/>
            <w:sz w:val="22"/>
          </w:rPr>
          <w:t>15.353</w:t>
        </w:r>
      </w:hyperlink>
      <w:r>
        <w:rPr>
          <w:rFonts w:ascii="Times New Roman" w:hAnsi="Times New Roman"/>
          <w:b w:val="false"/>
          <w:i w:val="false"/>
          <w:color w:val="000000"/>
          <w:sz w:val="22"/>
        </w:rPr>
        <w:t>. This repayment is required because it is a recovery of an incentive, rather than an adjustment to the taxpayer’s tax liability. Details on the calculation of the repayment can be found in  </w:t>
      </w:r>
      <w:hyperlink r:id="rId344">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5">
        <w:r>
          <w:rPr>
            <w:rStyle w:val="Hyperlink"/>
            <w:rFonts w:ascii="Times New Roman" w:hAnsi="Times New Roman"/>
            <w:b w:val="false"/>
            <w:i w:val="false"/>
            <w:color w:val="000000"/>
            <w:sz w:val="22"/>
          </w:rPr>
          <w:t>15.354</w:t>
        </w:r>
      </w:hyperlink>
      <w:r>
        <w:rPr>
          <w:rFonts w:ascii="Times New Roman" w:hAnsi="Times New Roman"/>
          <w:b w:val="false"/>
          <w:i w:val="false"/>
          <w:color w:val="000000"/>
          <w:sz w:val="22"/>
        </w:rPr>
        <w:t xml:space="preserve"> and </w:t>
      </w:r>
      <w:hyperlink r:id="rId346">
        <w:r>
          <w:rPr>
            <w:rStyle w:val="Hyperlink"/>
            <w:rFonts w:ascii="Times New Roman" w:hAnsi="Times New Roman"/>
            <w:b w:val="false"/>
            <w:i w:val="false"/>
            <w:color w:val="000000"/>
            <w:sz w:val="22"/>
          </w:rPr>
          <w:t>15.355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3837C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 xml:space="preserve">; </w:t>
      </w:r>
      <w:r>
        <w:rPr>
          <w:rFonts w:ascii="Times New Roman" w:hAnsi="Times New Roman"/>
          <w:b/>
          <w:i w:val="false"/>
          <w:color w:val="000000"/>
          <w:sz w:val="16"/>
        </w:rPr>
        <w:t>ARC 6398C</w:t>
      </w:r>
      <w:r>
        <w:rPr>
          <w:rFonts w:ascii="Times New Roman" w:hAnsi="Times New Roman"/>
          <w:b w:val="false"/>
          <w:i w:val="false"/>
          <w:color w:val="000000"/>
          <w:sz w:val="16"/>
        </w:rPr>
        <w:t>, IAB 7/13/22, effective 7/1/22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701—501.47</w:t>
      </w:r>
      <w:r>
        <w:rPr>
          <w:rFonts w:ascii="Times New Roman" w:hAnsi="Times New Roman"/>
          <w:b/>
          <w:i w:val="false"/>
          <w:color w:val="000000"/>
          <w:sz w:val="22"/>
        </w:rPr>
        <w:t xml:space="preserve">(404A,422) </w:t>
      </w:r>
      <w:r>
        <w:rPr>
          <w:rFonts w:ascii="Times New Roman" w:hAnsi="Times New Roman"/>
          <w:b/>
          <w:i w:val="false"/>
          <w:color w:val="000000"/>
          <w:sz w:val="22"/>
        </w:rPr>
        <w:t xml:space="preserve">Historic preservation and cultural and entertainment district tax credit for projects registered on or after July 1, 2014, and before August 15, 2016. </w:t>
      </w:r>
      <w:r>
        <w:rPr>
          <w:rFonts w:ascii="Times New Roman" w:hAnsi="Times New Roman"/>
          <w:b w:val="false"/>
          <w:i w:val="false"/>
          <w:color w:val="000000"/>
          <w:sz w:val="22"/>
        </w:rPr>
        <w:t xml:space="preserve">For projects registered before August 15, 2016, the department of cultural affairs is authorized by the general assembly to award tax credits for a percentage of the qualified rehabilitation expenditures on a qualified rehabilitation project as described in the historic preservation and cultural and entertainment district tax credit program, Iowa Code chapter </w:t>
      </w:r>
      <w:hyperlink r:id="rId347">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The program is administered by the department of cultural affairs with the assistance of the department of revenue. The general assembly has mandated that the department of cultural affairs and the department of revenue adopt rules to jointly administer Iowa Code chapter </w:t>
      </w:r>
      <w:hyperlink r:id="rId348">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In general, the department of cultural affairs is responsible for evaluating whether projects comply with the prescribed standards for rehabilitation while the department of revenue is responsible for evaluating whether projects comply with the tax aspects of the program.</w:t>
      </w:r>
    </w:p>
    <w:p>
      <w:pPr>
        <w:spacing w:before="0" w:after="0"/>
        <w:ind w:left="120"/>
        <w:jc w:val="both"/>
      </w:pP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 xml:space="preserve">, amended the historic preservation and cultural and entertainment district tax credit program effective July 1, 2014. The department of revenue’s provisions for projects with Part 2 applications approved and tax credits reserved prior to July 1, 2014, are found in rule </w:t>
      </w:r>
      <w:hyperlink r:id="rId349">
        <w:r>
          <w:rPr>
            <w:rStyle w:val="Hyperlink"/>
            <w:rFonts w:ascii="Times New Roman" w:hAnsi="Times New Roman"/>
            <w:b w:val="false"/>
            <w:i w:val="false"/>
            <w:color w:val="000000"/>
            <w:sz w:val="22"/>
          </w:rPr>
          <w:t>701—501.18</w:t>
        </w:r>
      </w:hyperlink>
      <w:r>
        <w:rPr>
          <w:rFonts w:ascii="Times New Roman" w:hAnsi="Times New Roman"/>
          <w:b w:val="false"/>
          <w:i w:val="false"/>
          <w:color w:val="000000"/>
          <w:sz w:val="22"/>
        </w:rPr>
        <w:t xml:space="preserve">(404A,422). The department of revenue’s provisions for projects registered on or after July 1, 2014, and before August 15, 2016, are found in this rule. The department of cultural affairs’ rules related to this program may be found at </w:t>
      </w:r>
      <w:hyperlink r:id="rId350">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amended the program and transferred primary responsibility for its administration to the economic development authority effective August 15, 2016. Effective August 15, 2016, the program is administered by the economic development authority with the assistance of the department of cultural affairs and the department of revenue. The department of revenue’s provisions for projects registered on or after August 15, 2016, are found in rule </w:t>
      </w:r>
      <w:hyperlink r:id="rId351">
        <w:r>
          <w:rPr>
            <w:rStyle w:val="Hyperlink"/>
            <w:rFonts w:ascii="Times New Roman" w:hAnsi="Times New Roman"/>
            <w:b w:val="false"/>
            <w:i w:val="false"/>
            <w:color w:val="000000"/>
            <w:sz w:val="22"/>
          </w:rPr>
          <w:t>701—501.48</w:t>
        </w:r>
      </w:hyperlink>
      <w:r>
        <w:rPr>
          <w:rFonts w:ascii="Times New Roman" w:hAnsi="Times New Roman"/>
          <w:b w:val="false"/>
          <w:i w:val="false"/>
          <w:color w:val="000000"/>
          <w:sz w:val="22"/>
        </w:rPr>
        <w:t xml:space="preserve">(404A,422). The economic development authority’s rules related to the program may be found at </w:t>
      </w:r>
      <w:hyperlink r:id="rId352">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xml:space="preserve">. When adopted, the department of cultural affairs’ rules related to the program will be found in </w:t>
      </w:r>
      <w:hyperlink r:id="rId353">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Notwithstanding anything contained herein to the contrary, the department of cultural affairs shall not reserve tax credits under 2013 Iowa Code chapter </w:t>
      </w:r>
      <w:hyperlink r:id="rId354">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 section 1</w:t>
      </w:r>
      <w:r>
        <w:rPr>
          <w:rFonts w:ascii="Times New Roman" w:hAnsi="Times New Roman"/>
          <w:b w:val="false"/>
          <w:i w:val="false"/>
          <w:color w:val="000000"/>
          <w:sz w:val="22"/>
        </w:rPr>
        <w:t xml:space="preserve">, for applicants that do not have an approved Part 2 application and a tax credit reservation on or before June 30, 2014. Projects with approved Part 2 applications and provisional tax credit reservations on or before June 30, 2014, shall be governed by 2013 Iowa Code chapter </w:t>
      </w:r>
      <w:hyperlink r:id="rId355">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 section 1</w:t>
      </w:r>
      <w:r>
        <w:rPr>
          <w:rFonts w:ascii="Times New Roman" w:hAnsi="Times New Roman"/>
          <w:b w:val="false"/>
          <w:i w:val="false"/>
          <w:color w:val="000000"/>
          <w:sz w:val="22"/>
        </w:rPr>
        <w:t xml:space="preserve">; by </w:t>
      </w:r>
      <w:hyperlink r:id="rId356">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 and by rule </w:t>
      </w:r>
      <w:hyperlink r:id="rId357">
        <w:r>
          <w:rPr>
            <w:rStyle w:val="Hyperlink"/>
            <w:rFonts w:ascii="Times New Roman" w:hAnsi="Times New Roman"/>
            <w:b w:val="false"/>
            <w:i w:val="false"/>
            <w:color w:val="000000"/>
            <w:sz w:val="22"/>
          </w:rPr>
          <w:t>701—501.18</w:t>
        </w:r>
      </w:hyperlink>
      <w:r>
        <w:rPr>
          <w:rFonts w:ascii="Times New Roman" w:hAnsi="Times New Roman"/>
          <w:b w:val="false"/>
          <w:i w:val="false"/>
          <w:color w:val="000000"/>
          <w:sz w:val="22"/>
        </w:rPr>
        <w:t xml:space="preserve">(404A,422). Projects registered on or after July 1, 2014, but before August 15, 2016, shall be governed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 xml:space="preserve">; by </w:t>
      </w:r>
      <w:hyperlink r:id="rId358">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II; and by this rule. Projects registered on or after August 15, 2016, shall be governed by 2016 Iowa Code chapter </w:t>
      </w:r>
      <w:hyperlink r:id="rId359">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by </w:t>
      </w:r>
      <w:hyperlink r:id="rId360">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xml:space="preserve">; and by rule </w:t>
      </w:r>
      <w:hyperlink r:id="rId361">
        <w:r>
          <w:rPr>
            <w:rStyle w:val="Hyperlink"/>
            <w:rFonts w:ascii="Times New Roman" w:hAnsi="Times New Roman"/>
            <w:b w:val="false"/>
            <w:i w:val="false"/>
            <w:color w:val="000000"/>
            <w:sz w:val="22"/>
          </w:rPr>
          <w:t>701—501.48</w:t>
        </w:r>
      </w:hyperlink>
      <w:r>
        <w:rPr>
          <w:rFonts w:ascii="Times New Roman" w:hAnsi="Times New Roman"/>
          <w:b w:val="false"/>
          <w:i w:val="false"/>
          <w:color w:val="000000"/>
          <w:sz w:val="22"/>
        </w:rPr>
        <w:t>(404A,422).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501.47(1)</w:t>
      </w:r>
      <w:r>
        <w:rPr>
          <w:rFonts w:ascii="Times New Roman" w:hAnsi="Times New Roman"/>
          <w:b w:val="false"/>
          <w:i w:val="false"/>
          <w:color w:val="000000"/>
          <w:sz w:val="22"/>
        </w:rPr>
        <w:t> </w:t>
      </w:r>
      <w:r>
        <w:rPr>
          <w:rFonts w:ascii="Times New Roman" w:hAnsi="Times New Roman"/>
          <w:b w:val="false"/>
          <w:i/>
          <w:color w:val="000000"/>
          <w:sz w:val="22"/>
        </w:rPr>
        <w:t xml:space="preserve">Application, registration, and agreement for the historic preservation and cultural and entertainment district tax credit. </w:t>
      </w:r>
      <w:r>
        <w:rPr>
          <w:rFonts w:ascii="Times New Roman" w:hAnsi="Times New Roman"/>
          <w:b w:val="false"/>
          <w:i w:val="false"/>
          <w:color w:val="000000"/>
          <w:sz w:val="22"/>
        </w:rPr>
        <w:t>Taxpayers that want to claim a corporation income tax credit for completing a qualified rehabilitation project must submit an application for approval of the project. The application forms and instructions for the historic preservation and cultural and entertainment district tax credit are available on the department of cultural affairs’ website. Once a project is registered, the taxpayer must enter into an agreement with the department of cultural affairs to be eligible for the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501.47(2)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the historic preservation and cultural and entertainment district tax credit. </w:t>
      </w:r>
      <w:r>
        <w:rPr>
          <w:rFonts w:ascii="Times New Roman" w:hAnsi="Times New Roman"/>
          <w:b w:val="false"/>
          <w:i w:val="false"/>
          <w:color w:val="000000"/>
          <w:sz w:val="22"/>
        </w:rPr>
        <w:t>The amount of the historic preservation and cultural and entertainment district tax credit is a maximum of 25 percent of the qualified rehabilitation expenditures verified by the department of cultural affairs and the department of revenue following project completion, up to the amount specified in the agreement between the taxpayer and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501.47(3)</w:t>
      </w:r>
      <w:r>
        <w:rPr>
          <w:rFonts w:ascii="Times New Roman" w:hAnsi="Times New Roman"/>
          <w:b w:val="false"/>
          <w:i w:val="false"/>
          <w:color w:val="000000"/>
          <w:sz w:val="22"/>
        </w:rPr>
        <w:t> </w:t>
      </w:r>
      <w:r>
        <w:rPr>
          <w:rFonts w:ascii="Times New Roman" w:hAnsi="Times New Roman"/>
          <w:b w:val="false"/>
          <w:i/>
          <w:color w:val="000000"/>
          <w:sz w:val="22"/>
        </w:rPr>
        <w:t xml:space="preserve">Qualified rehabilitation expenditures. </w:t>
      </w:r>
      <w:r>
        <w:rPr>
          <w:rFonts w:ascii="Times New Roman" w:hAnsi="Times New Roman"/>
          <w:b w:val="false"/>
          <w:i w:val="false"/>
          <w:color w:val="000000"/>
          <w:sz w:val="22"/>
        </w:rPr>
        <w:t xml:space="preserve">“Qualified rehabilitation expenditures” means the same as defined in rule </w:t>
      </w:r>
      <w:hyperlink r:id="rId362">
        <w:r>
          <w:rPr>
            <w:rStyle w:val="Hyperlink"/>
            <w:rFonts w:ascii="Times New Roman" w:hAnsi="Times New Roman"/>
            <w:b w:val="false"/>
            <w:i w:val="false"/>
            <w:color w:val="000000"/>
            <w:sz w:val="22"/>
          </w:rPr>
          <w:t>223—48.22</w:t>
        </w:r>
      </w:hyperlink>
      <w:r>
        <w:rPr>
          <w:rFonts w:ascii="Times New Roman" w:hAnsi="Times New Roman"/>
          <w:b w:val="false"/>
          <w:i w:val="false"/>
          <w:color w:val="000000"/>
          <w:sz w:val="22"/>
        </w:rPr>
        <w:t xml:space="preserve">(404A) of the historical division of the department of cultural affairs. In general, the department of cultural affairs evaluates whether expenditures comply with the prescribed standards for rehabilitation while the department of revenue evaluates whether expenditures comply with the tax requirements to be considered qualified rehabilitation expenditures, including whether the expenditures are in accordance with the requirements of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47 and its related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Type of property and services eligible. </w:t>
      </w:r>
      <w:r>
        <w:rPr>
          <w:rFonts w:ascii="Times New Roman" w:hAnsi="Times New Roman"/>
          <w:b w:val="false"/>
          <w:i w:val="false"/>
          <w:color w:val="000000"/>
          <w:sz w:val="22"/>
        </w:rPr>
        <w:t xml:space="preserve">In accordance with Iowa Code section </w:t>
      </w:r>
      <w:hyperlink r:id="rId363">
        <w:r>
          <w:rPr>
            <w:rStyle w:val="Hyperlink"/>
            <w:rFonts w:ascii="Times New Roman" w:hAnsi="Times New Roman"/>
            <w:b w:val="false"/>
            <w:i w:val="false"/>
            <w:color w:val="000000"/>
            <w:sz w:val="22"/>
          </w:rPr>
          <w:t>404A.1(6)</w:t>
        </w:r>
      </w:hyperlink>
      <w:r>
        <w:rPr>
          <w:rFonts w:ascii="Times New Roman" w:hAnsi="Times New Roman"/>
          <w:b w:val="false"/>
          <w:i w:val="false"/>
          <w:color w:val="000000"/>
          <w:sz w:val="22"/>
        </w:rPr>
        <w:t xml:space="preserve">, the types of property and services claimed for the state tax credit must be “qualified rehabilitation expenditures” in accordance with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47. Notwithstanding the foregoing sentence, expenditures incurred by an eligible taxpayer that is a nonprofit organization as defined in Iowa Code section </w:t>
      </w:r>
      <w:hyperlink r:id="rId364">
        <w:r>
          <w:rPr>
            <w:rStyle w:val="Hyperlink"/>
            <w:rFonts w:ascii="Times New Roman" w:hAnsi="Times New Roman"/>
            <w:b w:val="false"/>
            <w:i w:val="false"/>
            <w:color w:val="000000"/>
            <w:sz w:val="22"/>
          </w:rPr>
          <w:t>404A.1(4)</w:t>
        </w:r>
      </w:hyperlink>
      <w:r>
        <w:rPr>
          <w:rFonts w:ascii="Times New Roman" w:hAnsi="Times New Roman"/>
          <w:b w:val="false"/>
          <w:i w:val="false"/>
          <w:color w:val="000000"/>
          <w:sz w:val="22"/>
        </w:rPr>
        <w:t xml:space="preserve"> shall be considered “qualified rehabilitation expenditures” if they are for “structural components,” as that term is defined in Treasury Regulation § 1.48-1(e)(2), and for amounts incurred for architectural and engineering fees, site survey fees, legal expenses, insurance premiums, development fees and other construction-related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Effect of financing sources on eligibility of expenditures. </w:t>
      </w:r>
      <w:r>
        <w:rPr>
          <w:rFonts w:ascii="Times New Roman" w:hAnsi="Times New Roman"/>
          <w:b w:val="false"/>
          <w:i w:val="false"/>
          <w:color w:val="000000"/>
          <w:sz w:val="22"/>
        </w:rPr>
        <w:t xml:space="preserve">Qualified rehabilitation expenditures do not include expenditures financed by federal, state, or local government grants or forgivable loans unless otherwise allowed under </w:t>
      </w:r>
      <w:r>
        <w:rPr>
          <w:rFonts w:ascii="Times New Roman" w:hAnsi="Times New Roman"/>
          <w:b w:val="false"/>
          <w:i w:val="false"/>
          <w:color w:val="000000"/>
          <w:sz w:val="22"/>
        </w:rPr>
        <w:t>Section 47 of the Internal Revenue Code</w:t>
      </w:r>
      <w:r>
        <w:rPr>
          <w:rFonts w:ascii="Times New Roman" w:hAnsi="Times New Roman"/>
          <w:b w:val="false"/>
          <w:i w:val="false"/>
          <w:color w:val="000000"/>
          <w:sz w:val="22"/>
        </w:rPr>
        <w:t xml:space="preserve">. For an eligible taxpayer that is a nonprofit organization as defined in Iowa Code section </w:t>
      </w:r>
      <w:hyperlink r:id="rId365">
        <w:r>
          <w:rPr>
            <w:rStyle w:val="Hyperlink"/>
            <w:rFonts w:ascii="Times New Roman" w:hAnsi="Times New Roman"/>
            <w:b w:val="false"/>
            <w:i w:val="false"/>
            <w:color w:val="000000"/>
            <w:sz w:val="22"/>
          </w:rPr>
          <w:t>404A.1(4)</w:t>
        </w:r>
      </w:hyperlink>
      <w:r>
        <w:rPr>
          <w:rFonts w:ascii="Times New Roman" w:hAnsi="Times New Roman"/>
          <w:b w:val="false"/>
          <w:i w:val="false"/>
          <w:color w:val="000000"/>
          <w:sz w:val="22"/>
        </w:rPr>
        <w:t xml:space="preserve"> that is not eligible for the federal rehabilitation credit, or another person that is not eligible for the federal rehabilitation credit, expenditures financed with federal, state, or local government grants or forgivable loans are not qualified rehabilitation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501.47(4)</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qualified rehabilitation project and claiming the tax credit on the Iowa return. </w:t>
      </w:r>
      <w:r>
        <w:rPr>
          <w:rFonts w:ascii="Times New Roman" w:hAnsi="Times New Roman"/>
          <w:b w:val="false"/>
          <w:i w:val="false"/>
          <w:color w:val="000000"/>
          <w:sz w:val="22"/>
        </w:rPr>
        <w:t xml:space="preserve">After the taxpayer completes a qualified rehabilitation project, the taxpayer will be issued a certificate of completion of the project from the department of cultural affairs if the project complies with the federal standards, as defined in rule </w:t>
      </w:r>
      <w:hyperlink r:id="rId366">
        <w:r>
          <w:rPr>
            <w:rStyle w:val="Hyperlink"/>
            <w:rFonts w:ascii="Times New Roman" w:hAnsi="Times New Roman"/>
            <w:b w:val="false"/>
            <w:i w:val="false"/>
            <w:color w:val="000000"/>
            <w:sz w:val="22"/>
          </w:rPr>
          <w:t>223—48.22</w:t>
        </w:r>
      </w:hyperlink>
      <w:r>
        <w:rPr>
          <w:rFonts w:ascii="Times New Roman" w:hAnsi="Times New Roman"/>
          <w:b w:val="false"/>
          <w:i w:val="false"/>
          <w:color w:val="000000"/>
          <w:sz w:val="22"/>
        </w:rPr>
        <w:t xml:space="preserve">(404A). After the department of cultural affairs and the department of revenue verify the taxpayer’s eligibility for the tax credit, the department of cultural affairs shall issue a tax credit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r>
        <w:rPr>
          <w:rFonts w:ascii="Times New Roman" w:hAnsi="Times New Roman"/>
          <w:b w:val="false"/>
          <w:i w:val="false"/>
          <w:color w:val="000000"/>
          <w:sz w:val="22"/>
        </w:rPr>
        <w:t xml:space="preserve">For the taxpayer to claim the credit, the certificate must be included with the taxpayer’s corporation income tax return for the tax year in which the rehabilitation project is completed or the corporation income tax return for any tax year within the five years following the tax year of project completion. Taxpayers that elect to delay claiming the credit to a later tax year return as described in this paragraph are subject to the carryforward limitations described in paragraph </w:t>
      </w:r>
      <w:hyperlink r:id="rId367">
        <w:r>
          <w:rPr>
            <w:rStyle w:val="Hyperlink"/>
            <w:rFonts w:ascii="Times New Roman" w:hAnsi="Times New Roman"/>
            <w:b w:val="false"/>
            <w:i w:val="false"/>
            <w:color w:val="000000"/>
            <w:sz w:val="22"/>
          </w:rPr>
          <w:t>501.47(4)</w:t>
        </w:r>
      </w:hyperlink>
      <w:r>
        <w:rPr>
          <w:rFonts w:ascii="Times New Roman" w:hAnsi="Times New Roman"/>
          <w:b w:val="false"/>
          <w:i/>
          <w:color w:val="000000"/>
          <w:sz w:val="22"/>
        </w:rPr>
        <w:t>“d”</w:t>
      </w:r>
      <w:r>
        <w:rPr>
          <w:rFonts w:ascii="Times New Roman" w:hAnsi="Times New Roman"/>
          <w:b w:val="false"/>
          <w:i w:val="false"/>
          <w:color w:val="000000"/>
          <w:sz w:val="22"/>
        </w:rPr>
        <w:t xml:space="preserve"> below. The credit may be claimed on an amended return so long as the amended return is filed within the statute of limitations applicable to the tax year for which the amended return is being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tax credit certificate shall include the taxpayer’s name, the taxpayer’s address, the taxpayer’s tax identification number, the address or location of the rehabilitation project, the date the project was completed, the amount of the historic preservation and cultural and entertainment district tax credit, and, if applicable, an indication of whether the credit is nonrefundable (see paragraph </w:t>
      </w:r>
      <w:hyperlink r:id="rId368">
        <w:r>
          <w:rPr>
            <w:rStyle w:val="Hyperlink"/>
            <w:rFonts w:ascii="Times New Roman" w:hAnsi="Times New Roman"/>
            <w:b w:val="false"/>
            <w:i w:val="false"/>
            <w:color w:val="000000"/>
            <w:sz w:val="22"/>
          </w:rPr>
          <w:t>501.47(4)</w:t>
        </w:r>
      </w:hyperlink>
      <w:r>
        <w:rPr>
          <w:rFonts w:ascii="Times New Roman" w:hAnsi="Times New Roman"/>
          <w:b w:val="false"/>
          <w:i/>
          <w:color w:val="000000"/>
          <w:sz w:val="22"/>
        </w:rPr>
        <w:t>“c”</w:t>
      </w:r>
      <w:r>
        <w:rPr>
          <w:rFonts w:ascii="Times New Roman" w:hAnsi="Times New Roman"/>
          <w:b w:val="false"/>
          <w:i w:val="false"/>
          <w:color w:val="000000"/>
          <w:sz w:val="22"/>
        </w:rPr>
        <w:t xml:space="preserve"> below). In addition, the tax credit certificate shall include a place for the name and tax identification number of a transferee and the amount of the tax credit being transferred, as provided in subrule </w:t>
      </w:r>
      <w:hyperlink r:id="rId369">
        <w:r>
          <w:rPr>
            <w:rStyle w:val="Hyperlink"/>
            <w:rFonts w:ascii="Times New Roman" w:hAnsi="Times New Roman"/>
            <w:b w:val="false"/>
            <w:i w:val="false"/>
            <w:color w:val="000000"/>
            <w:sz w:val="22"/>
          </w:rPr>
          <w:t>501.47(5)</w:t>
        </w:r>
      </w:hyperlink>
      <w:r>
        <w:rPr>
          <w:rFonts w:ascii="Times New Roman" w:hAnsi="Times New Roman"/>
          <w:b w:val="false"/>
          <w:i w:val="false"/>
          <w:color w:val="000000"/>
          <w:sz w:val="22"/>
        </w:rPr>
        <w:t xml:space="preserve">. In addition, if the taxpayer is a partnership, limited liability company, estate or trust, and the tax credit is allocated to the owners or beneficiaries of the entity, a list of the owners or beneficiaries and the amount of credit allocated to each owner or beneficiary shall be provided with the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 xml:space="preserve">A historic preservation and cultural and entertainment district tax credit in excess of the taxpayer’s tax liability is fully refundable with interest computed under Iowa Code section </w:t>
      </w:r>
      <w:hyperlink r:id="rId370">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In lieu of claiming the refund, the taxpayer may elect to have the overpayment credited to the tax liability for the following tax year. To receive a refundable credit, the taxpayer must elect to receive the credit as refundable at the Part 3 stage of the application process administered by the department of cultural affairs. See department of cultural affairs’ </w:t>
      </w:r>
      <w:hyperlink r:id="rId371">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Once the taxpayer elects to receive a nonrefundable credit, the taxpayer cannot select to change the credit to a refundable credit or vice versa. If the taxpayer is a transferee, the taxpayer may elect to receive the credit as refundable or nonrefundable when the taxpayer applies to the department of revenue for transfer of the tax credit as described in subrule </w:t>
      </w:r>
      <w:hyperlink r:id="rId372">
        <w:r>
          <w:rPr>
            <w:rStyle w:val="Hyperlink"/>
            <w:rFonts w:ascii="Times New Roman" w:hAnsi="Times New Roman"/>
            <w:b w:val="false"/>
            <w:i w:val="false"/>
            <w:color w:val="000000"/>
            <w:sz w:val="22"/>
          </w:rPr>
          <w:t>501.47(5)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 xml:space="preserve">If the taxpayer elects to receive a nonrefundable historic preservation and cultural and entertainment district tax credit as described in paragraph </w:t>
      </w:r>
      <w:hyperlink r:id="rId373">
        <w:r>
          <w:rPr>
            <w:rStyle w:val="Hyperlink"/>
            <w:rFonts w:ascii="Times New Roman" w:hAnsi="Times New Roman"/>
            <w:b w:val="false"/>
            <w:i w:val="false"/>
            <w:color w:val="000000"/>
            <w:sz w:val="22"/>
          </w:rPr>
          <w:t>501.47(4)</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amount in excess of the taxpayer’s tax liability may be carried forward for five years following the tax year in which the project is completed, or until it is depleted, whichever is earlier. A tax credit shall not be carried back to a tax year prior to the tax year in which the taxpayer is first eligible to claim the credit. Regardless of whether the taxpayer elects to claim the tax credit on a tax return for a year that is later than the year of project completion as described in paragraph </w:t>
      </w:r>
      <w:hyperlink r:id="rId374">
        <w:r>
          <w:rPr>
            <w:rStyle w:val="Hyperlink"/>
            <w:rFonts w:ascii="Times New Roman" w:hAnsi="Times New Roman"/>
            <w:b w:val="false"/>
            <w:i w:val="false"/>
            <w:color w:val="000000"/>
            <w:sz w:val="22"/>
          </w:rPr>
          <w:t>501.47(4)</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taxpayer must utilize the entire credit within five years of project completion as described in this paragraph; any credit amount that is not utilized within the five-year carryforward period is forfeited. The five-year carryforward limitation does not apply if the taxpayer elects to receive a refundable credit, the excess of which may be credited to future tax years as an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Allocation of historic preservation and cultural and entertainment district tax credits to the individual owners of the entity or beneficiaries of an estate or trust. </w:t>
      </w:r>
      <w:r>
        <w:rPr>
          <w:rFonts w:ascii="Times New Roman" w:hAnsi="Times New Roman"/>
          <w:b w:val="false"/>
          <w:i w:val="false"/>
          <w:color w:val="000000"/>
          <w:sz w:val="22"/>
        </w:rPr>
        <w:t>A partnership, limited liability company or S corporation may designate the amount of the tax credit to be allocated to each partner, member or shareholder. The credit does not have to be allocated based on the pro rata share of earnings of the partnership, limited liability company or S corporation. For an individual claiming a tax credit of an estate or trust, the amount claimed by the individual shall be based upon the pro rata share of the individual’s earnings from the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501.47(5)</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historic preservation and cultural and entertainment district tax credit. </w:t>
      </w:r>
      <w:r>
        <w:rPr>
          <w:rFonts w:ascii="Times New Roman" w:hAnsi="Times New Roman"/>
          <w:b w:val="false"/>
          <w:i w:val="false"/>
          <w:color w:val="000000"/>
          <w:sz w:val="22"/>
        </w:rPr>
        <w:t xml:space="preserve">The historic preservation and cultural and entertainment district tax credit certificates may be transferred to any person or entity. The transferee may use the amount of the tax credit transferred against the taxes imposed in Iowa Code chapter </w:t>
      </w:r>
      <w:hyperlink r:id="rId375">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divisions II, III, and V, and in Iowa Code chapter </w:t>
      </w:r>
      <w:hyperlink r:id="rId376">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for any tax year the original transferor could have claimed the tax credit. Transferees must elect to receive either a refundable or nonrefundable tax credit. Once the transferee elects to receive a nonrefundable credit, the transferee cannot elect to change the credit to a refundable credit or vice versa. A tax credit certificate of less than $1,000 shall not be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Transfer process—information required. </w:t>
      </w: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that contains the transferee’s name, address and tax identification number, the amount of the tax credit being transferred, an election to receive either a refundable or nonrefundable tax credit, and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tax credit transferee shall describe the nature of the nonmonetary consideration and disclose any value the transferor and transferee assigned to the nonmonetary consideration. The tax credit transferee must indicate on its statement to the department of revenue if no consideration was provided in exchange for the tax credit. Within 30 days of receiving the transferred tax credit certificate and the statement from the transferee, the department of revenue will issue the replacement tax credit certificate to the transferee. If the transferee is a partnership, limited liability company or S corporation, the transferee shall provide a list of the partners, members or shareholders and information on how the historic preservation and cultural and entertainment district tax credit should be divided among the partners, members or shareholders. The transferee shall also provide the tax identification numbers and addresses of the partners, members or shareholders. The certificate must have the same information required for the original tax certificate and must have the same expiration date as the original tax credit certificate. The transferee may not claim a tax credit until a replacement certificate identifying the transferee as the proper holder has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Unlimited number of transferees and subsequent transfers. </w:t>
      </w:r>
      <w:r>
        <w:rPr>
          <w:rFonts w:ascii="Times New Roman" w:hAnsi="Times New Roman"/>
          <w:b w:val="false"/>
          <w:i w:val="false"/>
          <w:color w:val="000000"/>
          <w:sz w:val="22"/>
        </w:rPr>
        <w:t>There is no limitation on the number of transferees to whom the credit may be transferred. There is no limitation on the number of times that the credit may be retransferred by a transferee. The transferor may divide the credit into multiple credits of alternate denominations so long as the resulting credits are for amounts of no less than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limitations on transferees. </w:t>
      </w:r>
      <w:r>
        <w:rPr>
          <w:rFonts w:ascii="Times New Roman" w:hAnsi="Times New Roman"/>
          <w:b w:val="false"/>
          <w:i w:val="false"/>
          <w:color w:val="000000"/>
          <w:sz w:val="22"/>
        </w:rPr>
        <w:t xml:space="preserve">The transferee may use the amount of the transferred tax credit for any tax year the original transferor could have claimed the tax credit. The carryforward limitations described in paragraph </w:t>
      </w:r>
      <w:hyperlink r:id="rId377">
        <w:r>
          <w:rPr>
            <w:rStyle w:val="Hyperlink"/>
            <w:rFonts w:ascii="Times New Roman" w:hAnsi="Times New Roman"/>
            <w:b w:val="false"/>
            <w:i w:val="false"/>
            <w:color w:val="000000"/>
            <w:sz w:val="22"/>
          </w:rPr>
          <w:t>501.47(4)</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501.47(6)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Challenges to an action by the department of revenue related to tax credit transfers, claiming tax credits, tax credit revocation, or repayment or recovery of tax credits must be brought pursuant to </w:t>
      </w:r>
      <w:hyperlink r:id="rId378">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79">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and Iowa Code section </w:t>
      </w:r>
      <w:hyperlink r:id="rId380">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1968C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2928C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701—501.48</w:t>
      </w:r>
      <w:r>
        <w:rPr>
          <w:rFonts w:ascii="Times New Roman" w:hAnsi="Times New Roman"/>
          <w:b/>
          <w:i w:val="false"/>
          <w:color w:val="000000"/>
          <w:sz w:val="22"/>
        </w:rPr>
        <w:t xml:space="preserve">(404A,422) </w:t>
      </w:r>
      <w:r>
        <w:rPr>
          <w:rFonts w:ascii="Times New Roman" w:hAnsi="Times New Roman"/>
          <w:b/>
          <w:i w:val="false"/>
          <w:color w:val="000000"/>
          <w:sz w:val="22"/>
        </w:rPr>
        <w:t xml:space="preserve">Historic preservation and cultural and entertainment district tax credit for projects registered on or after August 15, 2016. </w:t>
      </w:r>
      <w:r>
        <w:rPr>
          <w:rFonts w:ascii="Times New Roman" w:hAnsi="Times New Roman"/>
          <w:b w:val="false"/>
          <w:i w:val="false"/>
          <w:color w:val="000000"/>
          <w:sz w:val="22"/>
        </w:rPr>
        <w:t xml:space="preserve">The economic development authority is authorized by the general assembly to award tax credits for a percentage of the qualified rehabilitation expenditures on a qualified rehabilitation project as described in the historic preservation and cultural and entertainment district tax credit program, Iowa Code chapter </w:t>
      </w:r>
      <w:hyperlink r:id="rId381">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The program is administered by the economic development authority with the assistance of the department of cultural affairs and the department of revenue. The general assembly has mandated that the economic development authority, the department of cultural affairs and the department of revenue adopt rules as necessary to administer Iowa Code chapter </w:t>
      </w:r>
      <w:hyperlink r:id="rId382">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In general, the department of revenue is responsible for administering tax credit transfers and processing and auditing tax returns that include tax credits claimed on returns. For the economic development authority’s rules on the credit program, see </w:t>
      </w:r>
      <w:hyperlink r:id="rId383">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xml:space="preserve">. For the department of cultural affairs’ rules on the credit program, see </w:t>
      </w:r>
      <w:hyperlink r:id="rId384">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501.48(1)</w:t>
      </w:r>
      <w:r>
        <w:rPr>
          <w:rFonts w:ascii="Times New Roman" w:hAnsi="Times New Roman"/>
          <w:b w:val="false"/>
          <w:i w:val="false"/>
          <w:color w:val="000000"/>
          <w:sz w:val="22"/>
        </w:rPr>
        <w:t> </w:t>
      </w:r>
      <w:r>
        <w:rPr>
          <w:rFonts w:ascii="Times New Roman" w:hAnsi="Times New Roman"/>
          <w:b w:val="false"/>
          <w:i/>
          <w:color w:val="000000"/>
          <w:sz w:val="22"/>
        </w:rPr>
        <w:t xml:space="preserve">Program transition.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made several changes to the credit program, including transferring primary responsibility for the program’s administration from the department of cultural affairs to the economic development authority. Projects registered prior to August 15, 2016, remain under the purview of the department of cultural affairs, with assistance from the department of revenue. For department of revenue rules related to projects registered prior to August 15, 2016, see rules </w:t>
      </w:r>
      <w:hyperlink r:id="rId385">
        <w:r>
          <w:rPr>
            <w:rStyle w:val="Hyperlink"/>
            <w:rFonts w:ascii="Times New Roman" w:hAnsi="Times New Roman"/>
            <w:b w:val="false"/>
            <w:i w:val="false"/>
            <w:color w:val="000000"/>
            <w:sz w:val="22"/>
          </w:rPr>
          <w:t>701—501.18</w:t>
        </w:r>
      </w:hyperlink>
      <w:r>
        <w:rPr>
          <w:rFonts w:ascii="Times New Roman" w:hAnsi="Times New Roman"/>
          <w:b w:val="false"/>
          <w:i w:val="false"/>
          <w:color w:val="000000"/>
          <w:sz w:val="22"/>
        </w:rPr>
        <w:t xml:space="preserve">(404A,422) and </w:t>
      </w:r>
      <w:hyperlink r:id="rId386">
        <w:r>
          <w:rPr>
            <w:rStyle w:val="Hyperlink"/>
            <w:rFonts w:ascii="Times New Roman" w:hAnsi="Times New Roman"/>
            <w:b w:val="false"/>
            <w:i w:val="false"/>
            <w:color w:val="000000"/>
            <w:sz w:val="22"/>
          </w:rPr>
          <w:t>701—501.47</w:t>
        </w:r>
      </w:hyperlink>
      <w:r>
        <w:rPr>
          <w:rFonts w:ascii="Times New Roman" w:hAnsi="Times New Roman"/>
          <w:b w:val="false"/>
          <w:i w:val="false"/>
          <w:color w:val="000000"/>
          <w:sz w:val="22"/>
        </w:rPr>
        <w:t>(404A,422).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501.48(2)</w:t>
      </w:r>
      <w:r>
        <w:rPr>
          <w:rFonts w:ascii="Times New Roman" w:hAnsi="Times New Roman"/>
          <w:b w:val="false"/>
          <w:i w:val="false"/>
          <w:color w:val="000000"/>
          <w:sz w:val="22"/>
        </w:rPr>
        <w:t> </w:t>
      </w:r>
      <w:r>
        <w:rPr>
          <w:rFonts w:ascii="Times New Roman" w:hAnsi="Times New Roman"/>
          <w:b w:val="false"/>
          <w:i/>
          <w:color w:val="000000"/>
          <w:sz w:val="22"/>
        </w:rPr>
        <w:t xml:space="preserve">Application, registration, and agreement for the historic preservation and cultural and entertainment district tax credit. </w:t>
      </w:r>
      <w:r>
        <w:rPr>
          <w:rFonts w:ascii="Times New Roman" w:hAnsi="Times New Roman"/>
          <w:b w:val="false"/>
          <w:i w:val="false"/>
          <w:color w:val="000000"/>
          <w:sz w:val="22"/>
        </w:rPr>
        <w:t xml:space="preserve">For rules on the application, registration, and agreement process, see economic development authority rules, </w:t>
      </w:r>
      <w:hyperlink r:id="rId387">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501.48(3)</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the historic preservation and cultural and entertainment district tax credit. </w:t>
      </w:r>
      <w:r>
        <w:rPr>
          <w:rFonts w:ascii="Times New Roman" w:hAnsi="Times New Roman"/>
          <w:b w:val="false"/>
          <w:i w:val="false"/>
          <w:color w:val="000000"/>
          <w:sz w:val="22"/>
        </w:rPr>
        <w:t xml:space="preserve">The amount of the historic preservation and cultural and entertainment district tax credit is a maximum of 25 percent of the qualified rehabilitation expenditures verified by the economic development authority following project completion, up to the amount specified in the agreement between the taxpayer and the economic development authority. For more information on the credit computation, see economic development authority rules, </w:t>
      </w:r>
      <w:hyperlink r:id="rId388">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The amount remains subject to audit by the department of revenue when the credit is claimed on the taxpayer’s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501.48(4)</w:t>
      </w:r>
      <w:r>
        <w:rPr>
          <w:rFonts w:ascii="Times New Roman" w:hAnsi="Times New Roman"/>
          <w:b w:val="false"/>
          <w:i w:val="false"/>
          <w:color w:val="000000"/>
          <w:sz w:val="22"/>
        </w:rPr>
        <w:t> </w:t>
      </w:r>
      <w:r>
        <w:rPr>
          <w:rFonts w:ascii="Times New Roman" w:hAnsi="Times New Roman"/>
          <w:b w:val="false"/>
          <w:i/>
          <w:color w:val="000000"/>
          <w:sz w:val="22"/>
        </w:rPr>
        <w:t xml:space="preserve">Qualified rehabilitation expenditures. </w:t>
      </w:r>
      <w:r>
        <w:rPr>
          <w:rFonts w:ascii="Times New Roman" w:hAnsi="Times New Roman"/>
          <w:b w:val="false"/>
          <w:i w:val="false"/>
          <w:color w:val="000000"/>
          <w:sz w:val="22"/>
        </w:rPr>
        <w:t xml:space="preserve">“Qualified rehabilitation expenditures” means the same as defined in Iowa Code section </w:t>
      </w:r>
      <w:hyperlink r:id="rId389">
        <w:r>
          <w:rPr>
            <w:rStyle w:val="Hyperlink"/>
            <w:rFonts w:ascii="Times New Roman" w:hAnsi="Times New Roman"/>
            <w:b w:val="false"/>
            <w:i w:val="false"/>
            <w:color w:val="000000"/>
            <w:sz w:val="22"/>
          </w:rPr>
          <w:t>404A.1(7)</w:t>
        </w:r>
      </w:hyperlink>
      <w:r>
        <w:rPr>
          <w:rFonts w:ascii="Times New Roman" w:hAnsi="Times New Roman"/>
          <w:b w:val="false"/>
          <w:i w:val="false"/>
          <w:color w:val="000000"/>
          <w:sz w:val="22"/>
        </w:rPr>
        <w:t xml:space="preserve"> and rule </w:t>
      </w:r>
      <w:hyperlink r:id="rId390">
        <w:r>
          <w:rPr>
            <w:rStyle w:val="Hyperlink"/>
            <w:rFonts w:ascii="Times New Roman" w:hAnsi="Times New Roman"/>
            <w:b w:val="false"/>
            <w:i w:val="false"/>
            <w:color w:val="000000"/>
            <w:sz w:val="22"/>
          </w:rPr>
          <w:t>261—49.5</w:t>
        </w:r>
      </w:hyperlink>
      <w:r>
        <w:rPr>
          <w:rFonts w:ascii="Times New Roman" w:hAnsi="Times New Roman"/>
          <w:b w:val="false"/>
          <w:i w:val="false"/>
          <w:color w:val="000000"/>
          <w:sz w:val="22"/>
        </w:rPr>
        <w:t xml:space="preserve">(404A) of economic development authority rules. In the event of an audit, the department of revenue evaluates whether expenditures comply with the agreement between the economic development authority and the eligible taxpayer, as well as with applicable statutes and rules, including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47 and its related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501.48(5)</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qualified rehabilitation project and claiming the tax credit. </w:t>
      </w:r>
      <w:r>
        <w:rPr>
          <w:rFonts w:ascii="Times New Roman" w:hAnsi="Times New Roman"/>
          <w:b w:val="false"/>
          <w:i w:val="false"/>
          <w:color w:val="000000"/>
          <w:sz w:val="22"/>
        </w:rPr>
        <w:t xml:space="preserve">After the economic development authority verifies the taxpayer’s eligibility for the tax credit, the economic development authority shall issue a tax credit certificate. For more information on credit certificate issuance, see economic development authority rules, </w:t>
      </w:r>
      <w:hyperlink r:id="rId391">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r>
        <w:rPr>
          <w:rFonts w:ascii="Times New Roman" w:hAnsi="Times New Roman"/>
          <w:b w:val="false"/>
          <w:i w:val="false"/>
          <w:color w:val="000000"/>
          <w:sz w:val="22"/>
        </w:rPr>
        <w:t xml:space="preserve">For the taxpayer to claim the credit, the certificate must be included with the taxpayer’s corporation income tax return for the tax year in which the rehabilitation project is completed or the corporation income tax return for any year within the five years following the year of project completion. Taxpayers that elect to delay claiming the credit to a later year’s return as described in this paragraph are subject to the carryforward limitations described in paragraph </w:t>
      </w:r>
      <w:hyperlink r:id="rId392">
        <w:r>
          <w:rPr>
            <w:rStyle w:val="Hyperlink"/>
            <w:rFonts w:ascii="Times New Roman" w:hAnsi="Times New Roman"/>
            <w:b w:val="false"/>
            <w:i w:val="false"/>
            <w:color w:val="000000"/>
            <w:sz w:val="22"/>
          </w:rPr>
          <w:t>501.48(5)</w:t>
        </w:r>
      </w:hyperlink>
      <w:r>
        <w:rPr>
          <w:rFonts w:ascii="Times New Roman" w:hAnsi="Times New Roman"/>
          <w:b w:val="false"/>
          <w:i/>
          <w:color w:val="000000"/>
          <w:sz w:val="22"/>
        </w:rPr>
        <w:t>“d”</w:t>
      </w:r>
      <w:r>
        <w:rPr>
          <w:rFonts w:ascii="Times New Roman" w:hAnsi="Times New Roman"/>
          <w:b w:val="false"/>
          <w:i w:val="false"/>
          <w:color w:val="000000"/>
          <w:sz w:val="22"/>
        </w:rPr>
        <w:t xml:space="preserve"> below. The credit may be claimed on an amended return so long as the amended return is filed within the statute of limitations applicable to the tax year for which the amended tax return is being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tax credit certificate shall include the taxpayer’s name, the taxpayer’s address, the taxpayer’s tax identification number, the address or location of the rehabilitation project, the date the project was completed, the amount of the historic preservation and cultural and entertainment district tax credit, and, if applicable, an indication of whether the credit is nonrefundable (see paragraph </w:t>
      </w:r>
      <w:hyperlink r:id="rId393">
        <w:r>
          <w:rPr>
            <w:rStyle w:val="Hyperlink"/>
            <w:rFonts w:ascii="Times New Roman" w:hAnsi="Times New Roman"/>
            <w:b w:val="false"/>
            <w:i w:val="false"/>
            <w:color w:val="000000"/>
            <w:sz w:val="22"/>
          </w:rPr>
          <w:t>501.48(5)</w:t>
        </w:r>
      </w:hyperlink>
      <w:r>
        <w:rPr>
          <w:rFonts w:ascii="Times New Roman" w:hAnsi="Times New Roman"/>
          <w:b w:val="false"/>
          <w:i/>
          <w:color w:val="000000"/>
          <w:sz w:val="22"/>
        </w:rPr>
        <w:t>“c”</w:t>
      </w:r>
      <w:r>
        <w:rPr>
          <w:rFonts w:ascii="Times New Roman" w:hAnsi="Times New Roman"/>
          <w:b w:val="false"/>
          <w:i w:val="false"/>
          <w:color w:val="000000"/>
          <w:sz w:val="22"/>
        </w:rPr>
        <w:t xml:space="preserve"> below). In addition, the tax credit certificate shall include a place for the name and tax identification number of a transferee and the amount of the tax credit being transferred, as provided in subrule </w:t>
      </w:r>
      <w:hyperlink r:id="rId394">
        <w:r>
          <w:rPr>
            <w:rStyle w:val="Hyperlink"/>
            <w:rFonts w:ascii="Times New Roman" w:hAnsi="Times New Roman"/>
            <w:b w:val="false"/>
            <w:i w:val="false"/>
            <w:color w:val="000000"/>
            <w:sz w:val="22"/>
          </w:rPr>
          <w:t>501.48(6)</w:t>
        </w:r>
      </w:hyperlink>
      <w:r>
        <w:rPr>
          <w:rFonts w:ascii="Times New Roman" w:hAnsi="Times New Roman"/>
          <w:b w:val="false"/>
          <w:i w:val="false"/>
          <w:color w:val="000000"/>
          <w:sz w:val="22"/>
        </w:rPr>
        <w:t>. In addition, if the taxpayer is a partnership, limited liability company, estate or trust, and the tax credit is allocated to the owners or beneficiaries of the entity, a list of the owners or beneficiaries and the amount of credit allocated to each owner or beneficiary shall be provided with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 xml:space="preserve">A historic preservation and cultural and entertainment district tax credit in excess of the taxpayer’s tax liability is fully refundable with interest computed under Iowa Code section </w:t>
      </w:r>
      <w:hyperlink r:id="rId395">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In lieu of claiming the refund, the taxpayer may elect to have the overpayment credited to the tax liability for the following tax year. To receive a refundable credit, the taxpayer must elect to receive the credit as refundable at the Part 3 stage of the application process administered by the economic development authority. See the economic development authority’s rule </w:t>
      </w:r>
      <w:hyperlink r:id="rId396">
        <w:r>
          <w:rPr>
            <w:rStyle w:val="Hyperlink"/>
            <w:rFonts w:ascii="Times New Roman" w:hAnsi="Times New Roman"/>
            <w:b w:val="false"/>
            <w:i w:val="false"/>
            <w:color w:val="000000"/>
            <w:sz w:val="22"/>
          </w:rPr>
          <w:t>261—49.15</w:t>
        </w:r>
      </w:hyperlink>
      <w:r>
        <w:rPr>
          <w:rFonts w:ascii="Times New Roman" w:hAnsi="Times New Roman"/>
          <w:b w:val="false"/>
          <w:i w:val="false"/>
          <w:color w:val="000000"/>
          <w:sz w:val="22"/>
        </w:rPr>
        <w:t xml:space="preserve">(404A). Once the taxpayer elects to receive a nonrefundable credit, the taxpayer cannot elect to change the credit to a refundable credit or vice versa. If the taxpayer is a transferee, the taxpayer may elect to receive the credit as refundable or nonrefundable when the taxpayer applies to the department of revenue for transfer of the tax credit as described in subrule </w:t>
      </w:r>
      <w:hyperlink r:id="rId397">
        <w:r>
          <w:rPr>
            <w:rStyle w:val="Hyperlink"/>
            <w:rFonts w:ascii="Times New Roman" w:hAnsi="Times New Roman"/>
            <w:b w:val="false"/>
            <w:i w:val="false"/>
            <w:color w:val="000000"/>
            <w:sz w:val="22"/>
          </w:rPr>
          <w:t>501.48(6)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 xml:space="preserve">If the taxpayer elects to receive a nonrefundable historic preservation and cultural and entertainment district tax credit as described in paragraph </w:t>
      </w:r>
      <w:hyperlink r:id="rId398">
        <w:r>
          <w:rPr>
            <w:rStyle w:val="Hyperlink"/>
            <w:rFonts w:ascii="Times New Roman" w:hAnsi="Times New Roman"/>
            <w:b w:val="false"/>
            <w:i w:val="false"/>
            <w:color w:val="000000"/>
            <w:sz w:val="22"/>
          </w:rPr>
          <w:t>501.48(5)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amount in excess of the taxpayer’s tax liability may be carried forward for five years following the tax year in which the project is completed, or until it is depleted, whichever is earlier. A tax credit shall not be carried back to a tax year prior to the tax year in which the taxpayer is first eligible to claim the credit. Regardless of whether the taxpayer elects to claim the tax credit on a tax return for a year that is later than the year of project completion as described in paragraph </w:t>
      </w:r>
      <w:hyperlink r:id="rId399">
        <w:r>
          <w:rPr>
            <w:rStyle w:val="Hyperlink"/>
            <w:rFonts w:ascii="Times New Roman" w:hAnsi="Times New Roman"/>
            <w:b w:val="false"/>
            <w:i w:val="false"/>
            <w:color w:val="000000"/>
            <w:sz w:val="22"/>
          </w:rPr>
          <w:t>501.48(5)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taxpayer must utilize the entire credit within five years following the tax year of the project completion as described in this paragraph; any credit that is not utilized within the five-year carryforward period is forfeited. The five-year carryforward limitation does not apply if the taxpayer elects to receive a refundable credit, the excess of which may be credited to future tax years as an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Allocation of historic preservation and cultural and entertainment district tax credits to the individual owners of the entity or beneficiaries of an estate or trust. </w:t>
      </w:r>
      <w:r>
        <w:rPr>
          <w:rFonts w:ascii="Times New Roman" w:hAnsi="Times New Roman"/>
          <w:b w:val="false"/>
          <w:i w:val="false"/>
          <w:color w:val="000000"/>
          <w:sz w:val="22"/>
        </w:rPr>
        <w:t>A partnership, limited liability company or S corporation may designate the amount of the tax credit to be allocated to each partner, member or shareholder. The credit does not have to be allocated based on the pro rata share of earnings of the partnership, limited liability company or S corporation. For an individual claiming a tax credit of an estate or trust, the amount claimed by the individual shall be based upon the pro rata share of the individual’s earnings from the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501.48(6)</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historic preservation and cultural and entertainment district tax credit. </w:t>
      </w:r>
      <w:r>
        <w:rPr>
          <w:rFonts w:ascii="Times New Roman" w:hAnsi="Times New Roman"/>
          <w:b w:val="false"/>
          <w:i w:val="false"/>
          <w:color w:val="000000"/>
          <w:sz w:val="22"/>
        </w:rPr>
        <w:t xml:space="preserve">The historic preservation and cultural and entertainment district tax credit certificates may be transferred to any person or entity. The transferee may use the amount of the tax credit transferred against the taxes imposed in Iowa Code chapter </w:t>
      </w:r>
      <w:hyperlink r:id="rId400">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divisions II, III, and V, and in Iowa Code chapter </w:t>
      </w:r>
      <w:hyperlink r:id="rId401">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for any tax year that the original transferor could have claimed the tax credit. Transferees must elect to receive either a refundable or nonrefundable tax credit. Once the transferee elects to receive a nonrefundable credit, the transferee cannot elect to change the credit to a refundable credit or vice versa. A tax credit certificate of less than $1,000 shall not be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Transfer process—information required. </w:t>
      </w: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that contains the transferee’s name, address and tax identification number, the amount of the tax credit being transferred, an election to receive either a refundable or nonrefundable tax credit, and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tax credit transferee shall describe the nature of the nonmonetary consideration and disclose any value the transferor and transferee assigned to the nonmonetary consideration. The tax credit transferee must indicate on its statement to the department of revenue if no consideration was provided in exchange for the tax credit. Within 30 days of receiving the transferred tax credit certificate and the statement from the transferee, the department of revenue will issue the replacement tax credit certificate to the transferee. If the transferee is a partnership, limited liability company or S corporation, the transferee shall provide a list of the partners, members or shareholders and information on how the historic preservation and cultural and entertainment district tax credit should be divided among the partners, members or shareholders. The transferee shall also provide the tax identification numbers and addresses of the partners, members or shareholders. The certificate must have the same information required for the original tax certificate and must have the same expiration date as the original tax credit certificate. The transferee may not claim a tax credit until a replacement certificate identifying the transferee as the proper holder has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Unlimited number of transferees and subsequent transfers. </w:t>
      </w:r>
      <w:r>
        <w:rPr>
          <w:rFonts w:ascii="Times New Roman" w:hAnsi="Times New Roman"/>
          <w:b w:val="false"/>
          <w:i w:val="false"/>
          <w:color w:val="000000"/>
          <w:sz w:val="22"/>
        </w:rPr>
        <w:t>There is no limitation on the number of transferees to whom the tax credit may be transferred. There is no limitation on the number of times that the credit may be retransferred by a transferee. The transferor may divide the credit into multiple credits of alternate denominations so long as the resulting credits are for amounts of no less than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limitations on transferees. </w:t>
      </w:r>
      <w:r>
        <w:rPr>
          <w:rFonts w:ascii="Times New Roman" w:hAnsi="Times New Roman"/>
          <w:b w:val="false"/>
          <w:i w:val="false"/>
          <w:color w:val="000000"/>
          <w:sz w:val="22"/>
        </w:rPr>
        <w:t xml:space="preserve">The transferee may use the amount of the transferred tax credit for any tax year that the original transferor could have claimed the tax credit. The carryforward limitations described in paragraph </w:t>
      </w:r>
      <w:hyperlink r:id="rId402">
        <w:r>
          <w:rPr>
            <w:rStyle w:val="Hyperlink"/>
            <w:rFonts w:ascii="Times New Roman" w:hAnsi="Times New Roman"/>
            <w:b w:val="false"/>
            <w:i w:val="false"/>
            <w:color w:val="000000"/>
            <w:sz w:val="22"/>
          </w:rPr>
          <w:t>501.48(4)</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501.48(7)</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Challenges to an action by the department of revenue related to tax credit transfers, the claiming of tax credits, tax credit revocation, or repayment or recovery of tax credits must be brought pursuant to </w:t>
      </w:r>
      <w:hyperlink r:id="rId403">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04">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and Iowa Code section </w:t>
      </w:r>
      <w:hyperlink r:id="rId405">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2928C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701—501.49</w:t>
      </w:r>
      <w:r>
        <w:rPr>
          <w:rFonts w:ascii="Times New Roman" w:hAnsi="Times New Roman"/>
          <w:b/>
          <w:i w:val="false"/>
          <w:color w:val="000000"/>
          <w:sz w:val="22"/>
        </w:rPr>
        <w:t xml:space="preserve">(15,422) </w:t>
      </w:r>
      <w:r>
        <w:rPr>
          <w:rFonts w:ascii="Times New Roman" w:hAnsi="Times New Roman"/>
          <w:b/>
          <w:i w:val="false"/>
          <w:color w:val="000000"/>
          <w:sz w:val="22"/>
        </w:rPr>
        <w:t xml:space="preserve">Renewable chemical production tax credit program. </w:t>
      </w:r>
      <w:r>
        <w:rPr>
          <w:rFonts w:ascii="Times New Roman" w:hAnsi="Times New Roman"/>
          <w:b w:val="false"/>
          <w:i w:val="false"/>
          <w:color w:val="000000"/>
          <w:sz w:val="22"/>
        </w:rPr>
        <w:t xml:space="preserve">An eligible business that has received a renewable chemical production tax credit certificate from the economic development authority may claim a tax credit against corporation income tax. The credit is equal to the product of five cents multiplied by the number of pounds of renewable chemicals produced in Iowa from biomass feedstock by the eligible business during a given production year, subject to the limitations described in Iowa Code sections </w:t>
      </w:r>
      <w:hyperlink r:id="rId406">
        <w:r>
          <w:rPr>
            <w:rStyle w:val="Hyperlink"/>
            <w:rFonts w:ascii="Times New Roman" w:hAnsi="Times New Roman"/>
            <w:b w:val="false"/>
            <w:i w:val="false"/>
            <w:color w:val="000000"/>
            <w:sz w:val="22"/>
          </w:rPr>
          <w:t>15.315 through 15.322</w:t>
        </w:r>
      </w:hyperlink>
      <w:r>
        <w:rPr>
          <w:rFonts w:ascii="Times New Roman" w:hAnsi="Times New Roman"/>
          <w:b w:val="false"/>
          <w:i w:val="false"/>
          <w:color w:val="000000"/>
          <w:sz w:val="22"/>
        </w:rPr>
        <w:t xml:space="preserve">, </w:t>
      </w:r>
      <w:hyperlink r:id="rId407">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 xml:space="preserve">, and this rule. The economic development authority’s rules on eligibility for the credit may be found in </w:t>
      </w:r>
      <w:hyperlink r:id="rId408">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501.49(1)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agreement for the credit. </w:t>
      </w:r>
      <w:r>
        <w:rPr>
          <w:rFonts w:ascii="Times New Roman" w:hAnsi="Times New Roman"/>
          <w:b w:val="false"/>
          <w:i w:val="false"/>
          <w:color w:val="000000"/>
          <w:sz w:val="22"/>
        </w:rPr>
        <w:t xml:space="preserve">To be eligible for the tax credit, the eligible business must apply to and enter into an agreement with the economic development authority. The economic development authority’s rules on the application and agreement process may be found in </w:t>
      </w:r>
      <w:hyperlink r:id="rId409">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501.49(2)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credit and certificate issuance. </w:t>
      </w:r>
      <w:r>
        <w:rPr>
          <w:rFonts w:ascii="Times New Roman" w:hAnsi="Times New Roman"/>
          <w:b w:val="false"/>
          <w:i w:val="false"/>
          <w:color w:val="000000"/>
          <w:sz w:val="22"/>
        </w:rPr>
        <w:t xml:space="preserve">Upon establishing that all requirements of the program and the agreement have been fulfilled and verifying the taxpayer’s eligibility for the tax credit, the economic development authority calculates the credit. Then the economic development authority issues the related tax credit certificate to the eligible business stating the amount of the renewable chemical production tax credit that the eligible business may claim. A tax credit certificate shall not be issued by the economic development authority prior to July 1, 2018. The economic development authority’s rules on credit certificate issuance may be found in </w:t>
      </w:r>
      <w:hyperlink r:id="rId410">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501.49(3)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generally. </w:t>
      </w:r>
      <w:r>
        <w:rPr>
          <w:rFonts w:ascii="Times New Roman" w:hAnsi="Times New Roman"/>
          <w:b w:val="false"/>
          <w:i w:val="false"/>
          <w:color w:val="000000"/>
          <w:sz w:val="22"/>
        </w:rPr>
        <w:t>To claim the credit, a taxpayer must include one or more tax credit certificates with the taxpayer’s tax return for the tax year during which the eligible business was issued the tax credit certificate or certificates. If the taxpayer claiming the credit has already filed a return for the tax year for which the credit certificate was issued, the taxpayer may claim the credit on an amended return. The taxpayer must file the amended return within the statute of limitations applicable to such amended return. No tax credit may be claimed under this program by a taxpayer prior to September 1,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of a pass-through entity. </w:t>
      </w:r>
      <w:r>
        <w:rPr>
          <w:rFonts w:ascii="Times New Roman" w:hAnsi="Times New Roman"/>
          <w:b w:val="false"/>
          <w:i w:val="false"/>
          <w:color w:val="000000"/>
          <w:sz w:val="22"/>
        </w:rPr>
        <w:t>To claim the credit of an eligible business that is a pass-through entity, an individual taxpayer must claim the credit on the tax return for the tax year during which the eligible business received the tax credit certificate. Such tax year may be either the tax year of the eligible business or of the individual.</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A partnership has a fiscal year of September 2017 through August 2018. The partnership receives a renewable chemical production tax credit certificate under this program in July 2018, which is during the partnership’s 2017 tax year. A partner in the partnership files individual returns on a calendar year basis, which means that the credit was issued in the partner’s 2018 tax year. That partner may file an amended 2017 tax return to claim the credit based on the partnership’s tax year, or that partner may claim the credit on the partner’s 2018 tax return based on the partner’s own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The tax credit certificate shall include the taxpayer’s name, address, and tax identification number, the amount of the credit, the name of the eligible business, and any other information required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Allocation to the individual owners of the entity or beneficiaries of an estate or trust. </w:t>
      </w:r>
      <w:r>
        <w:rPr>
          <w:rFonts w:ascii="Times New Roman" w:hAnsi="Times New Roman"/>
          <w:b w:val="false"/>
          <w:i w:val="false"/>
          <w:color w:val="000000"/>
          <w:sz w:val="22"/>
        </w:rPr>
        <w:t xml:space="preserve">An individual may claim the credit of a partnership, limited liability company, S corporation, cooperative organized under Iowa Code chapter </w:t>
      </w:r>
      <w:hyperlink r:id="rId411">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tax purposes, estate, or trust electing to have income taxed directly to the individual. The amount claimed by the individual shall be based on the pro rata share of the individual’s earnings from the partnership, limited liability company, S corporation, cooperative,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 liability is refundable. In lieu of claiming a refund, the taxpayer may elect to have the overpayment shown on the taxpayer’s final, completed return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Tax credit certificates shall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Rescission and recapture. </w:t>
      </w:r>
      <w:r>
        <w:rPr>
          <w:rFonts w:ascii="Times New Roman" w:hAnsi="Times New Roman"/>
          <w:b w:val="false"/>
          <w:i w:val="false"/>
          <w:color w:val="000000"/>
          <w:sz w:val="22"/>
        </w:rPr>
        <w:t xml:space="preserve">The tax credit certificate, unless rescinded by the economic development authority, shall be accepted by the department of revenue, subject to any conditions or restrictions placed upon the face of the tax credit certificate by the economic development authority and subject to the limitations of the program. Should the economic development authority reduce, terminate, or rescind any tax credits issued under the program, the eligible business may be subject to the repayment or recapture of any credits already claimed. The economic development authority’s rules related to the program may be found in 261—Chapter 81. The repayment of tax credits or recapture by the department of revenue shall be accomplished in the same manner as provided in Iowa Code section </w:t>
      </w:r>
      <w:hyperlink r:id="rId412">
        <w:r>
          <w:rPr>
            <w:rStyle w:val="Hyperlink"/>
            <w:rFonts w:ascii="Times New Roman" w:hAnsi="Times New Roman"/>
            <w:b w:val="false"/>
            <w:i w:val="false"/>
            <w:color w:val="000000"/>
            <w:sz w:val="22"/>
          </w:rPr>
          <w:t>15.330(2)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3">
        <w:r>
          <w:rPr>
            <w:rStyle w:val="Hyperlink"/>
            <w:rFonts w:ascii="Times New Roman" w:hAnsi="Times New Roman"/>
            <w:b w:val="false"/>
            <w:i w:val="false"/>
            <w:color w:val="000000"/>
            <w:sz w:val="22"/>
          </w:rPr>
          <w:t>422.33(22)</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3008C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701—501.50</w:t>
      </w:r>
      <w:r>
        <w:rPr>
          <w:rFonts w:ascii="Times New Roman" w:hAnsi="Times New Roman"/>
          <w:b/>
          <w:i w:val="false"/>
          <w:color w:val="000000"/>
          <w:sz w:val="22"/>
        </w:rPr>
        <w:t xml:space="preserve">(15E,422) </w:t>
      </w:r>
      <w:r>
        <w:rPr>
          <w:rFonts w:ascii="Times New Roman" w:hAnsi="Times New Roman"/>
          <w:b/>
          <w:i w:val="false"/>
          <w:color w:val="000000"/>
          <w:sz w:val="22"/>
        </w:rPr>
        <w:t xml:space="preserve">Hoover presidential library tax credit. </w:t>
      </w:r>
      <w:r>
        <w:rPr>
          <w:rFonts w:ascii="Times New Roman" w:hAnsi="Times New Roman"/>
          <w:b w:val="false"/>
          <w:i w:val="false"/>
          <w:color w:val="000000"/>
          <w:sz w:val="22"/>
        </w:rPr>
        <w:t xml:space="preserve">A Hoover presidential library tax credit is available according to the same requirements, conditions, and limitations as described in rule </w:t>
      </w:r>
      <w:hyperlink r:id="rId414">
        <w:r>
          <w:rPr>
            <w:rStyle w:val="Hyperlink"/>
            <w:rFonts w:ascii="Times New Roman" w:hAnsi="Times New Roman"/>
            <w:b w:val="false"/>
            <w:i w:val="false"/>
            <w:color w:val="000000"/>
            <w:sz w:val="22"/>
          </w:rPr>
          <w:t>701—403.57</w:t>
        </w:r>
      </w:hyperlink>
      <w:r>
        <w:rPr>
          <w:rFonts w:ascii="Times New Roman" w:hAnsi="Times New Roman"/>
          <w:b w:val="false"/>
          <w:i w:val="false"/>
          <w:color w:val="000000"/>
          <w:sz w:val="22"/>
        </w:rPr>
        <w:t xml:space="preserve">(15E,422) and </w:t>
      </w:r>
      <w:hyperlink r:id="rId415">
        <w:r>
          <w:rPr>
            <w:rStyle w:val="Hyperlink"/>
            <w:rFonts w:ascii="Times New Roman" w:hAnsi="Times New Roman"/>
            <w:b w:val="false"/>
            <w:i w:val="false"/>
            <w:color w:val="000000"/>
            <w:sz w:val="22"/>
          </w:rPr>
          <w:t>261—Chapter 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15E.364 and </w:t>
      </w:r>
      <w:hyperlink r:id="rId416">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(31) as enacted by </w:t>
      </w:r>
      <w:r>
        <w:rPr>
          <w:rFonts w:ascii="Times New Roman" w:hAnsi="Times New Roman"/>
          <w:b w:val="false"/>
          <w:i w:val="false"/>
          <w:color w:val="000000"/>
          <w:sz w:val="22"/>
        </w:rPr>
        <w:t>2021 Iowa Acts, House File 588</w:t>
      </w:r>
      <w:r>
        <w:rPr>
          <w:rFonts w:ascii="Times New Roman" w:hAnsi="Times New Roman"/>
          <w:b w:val="false"/>
          <w:i w:val="false"/>
          <w:color w:val="000000"/>
          <w:sz w:val="22"/>
        </w:rPr>
        <w:t>, sections 1 and 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6267C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701—501.51</w:t>
      </w:r>
      <w:r>
        <w:rPr>
          <w:rFonts w:ascii="Times New Roman" w:hAnsi="Times New Roman"/>
          <w:b/>
          <w:i w:val="false"/>
          <w:color w:val="000000"/>
          <w:sz w:val="22"/>
        </w:rPr>
        <w:t xml:space="preserve">(237A) </w:t>
      </w:r>
      <w:r>
        <w:rPr>
          <w:rFonts w:ascii="Times New Roman" w:hAnsi="Times New Roman"/>
          <w:b/>
          <w:i w:val="false"/>
          <w:color w:val="000000"/>
          <w:sz w:val="22"/>
        </w:rPr>
        <w:t xml:space="preserve">Employer child care tax credit. </w:t>
      </w:r>
      <w:r>
        <w:rPr>
          <w:rFonts w:ascii="Times New Roman" w:hAnsi="Times New Roman"/>
          <w:b w:val="false"/>
          <w:i w:val="false"/>
          <w:color w:val="000000"/>
          <w:sz w:val="22"/>
        </w:rPr>
        <w:t xml:space="preserve">An employer child care tax credit is available according to the same requirements, conditions, and limitations as described in rule </w:t>
      </w:r>
      <w:hyperlink r:id="rId417">
        <w:r>
          <w:rPr>
            <w:rStyle w:val="Hyperlink"/>
            <w:rFonts w:ascii="Times New Roman" w:hAnsi="Times New Roman"/>
            <w:b w:val="false"/>
            <w:i w:val="false"/>
            <w:color w:val="000000"/>
            <w:sz w:val="22"/>
          </w:rPr>
          <w:t>701—304.58</w:t>
        </w:r>
      </w:hyperlink>
      <w:r>
        <w:rPr>
          <w:rFonts w:ascii="Times New Roman" w:hAnsi="Times New Roman"/>
          <w:b w:val="false"/>
          <w:i w:val="false"/>
          <w:color w:val="000000"/>
          <w:sz w:val="22"/>
        </w:rPr>
        <w:t xml:space="preserve">(237A) and </w:t>
      </w:r>
      <w:hyperlink r:id="rId418">
        <w:r>
          <w:rPr>
            <w:rStyle w:val="Hyperlink"/>
            <w:rFonts w:ascii="Times New Roman" w:hAnsi="Times New Roman"/>
            <w:b w:val="false"/>
            <w:i w:val="false"/>
            <w:color w:val="000000"/>
            <w:sz w:val="22"/>
          </w:rPr>
          <w:t>261—Chapter 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9">
        <w:r>
          <w:rPr>
            <w:rStyle w:val="Hyperlink"/>
            <w:rFonts w:ascii="Times New Roman" w:hAnsi="Times New Roman"/>
            <w:b w:val="false"/>
            <w:i w:val="false"/>
            <w:color w:val="000000"/>
            <w:sz w:val="22"/>
          </w:rPr>
          <w:t>237A.31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8201C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12/12/74]</w:t>
      </w:r>
    </w:p>
    <w:p>
      <w:pPr>
        <w:spacing w:before="0" w:after="0"/>
        <w:ind w:left="120"/>
        <w:jc w:val="center"/>
      </w:pPr>
      <w:r>
        <w:rPr>
          <w:rFonts w:ascii="Times New Roman" w:hAnsi="Times New Roman"/>
          <w:b w:val="false"/>
          <w:i w:val="false"/>
          <w:color w:val="000000"/>
          <w:sz w:val="21"/>
        </w:rPr>
        <w:t>[Filed 12/10/76, Notice 9/22/76—published 12/29/76, effective 2/2/77]</w:t>
      </w:r>
    </w:p>
    <w:p>
      <w:pPr>
        <w:spacing w:before="0" w:after="0"/>
        <w:ind w:left="120"/>
        <w:jc w:val="center"/>
      </w:pPr>
      <w:r>
        <w:rPr>
          <w:rFonts w:ascii="Times New Roman" w:hAnsi="Times New Roman"/>
          <w:b w:val="false"/>
          <w:i w:val="false"/>
          <w:color w:val="000000"/>
          <w:sz w:val="21"/>
        </w:rPr>
        <w:t>[Filed 4/28/78, Notice 3/22/78—published 5/17/78, effective 6/22/78]</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emergency 6/6/80—published 6/25/80, effective 6/6/80]</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9/11/81, Notice 8/5/81—published 9/30/81, effective 11/4/81]</w:t>
      </w:r>
    </w:p>
    <w:p>
      <w:pPr>
        <w:spacing w:before="0" w:after="0"/>
        <w:ind w:left="120"/>
        <w:jc w:val="center"/>
      </w:pPr>
      <w:r>
        <w:rPr>
          <w:rFonts w:ascii="Times New Roman" w:hAnsi="Times New Roman"/>
          <w:b w:val="false"/>
          <w:i w:val="false"/>
          <w:color w:val="000000"/>
          <w:sz w:val="21"/>
        </w:rPr>
        <w:t>[Filed 11/20/81, Notice 10/14/81—published 12/9/81, effective 1/13/82]</w:t>
      </w:r>
    </w:p>
    <w:p>
      <w:pPr>
        <w:spacing w:before="0" w:after="0"/>
        <w:ind w:left="120"/>
        <w:jc w:val="center"/>
      </w:pPr>
      <w:r>
        <w:rPr>
          <w:rFonts w:ascii="Times New Roman" w:hAnsi="Times New Roman"/>
          <w:b w:val="false"/>
          <w:i w:val="false"/>
          <w:color w:val="000000"/>
          <w:sz w:val="21"/>
        </w:rPr>
        <w:t>[Filed 12/31/81, Notice 11/25/81—published 1/20/82, effective 2/24/82]</w:t>
      </w:r>
    </w:p>
    <w:p>
      <w:pPr>
        <w:spacing w:before="0" w:after="0"/>
        <w:ind w:left="120"/>
        <w:jc w:val="center"/>
      </w:pPr>
      <w:r>
        <w:rPr>
          <w:rFonts w:ascii="Times New Roman" w:hAnsi="Times New Roman"/>
          <w:b w:val="false"/>
          <w:i w:val="false"/>
          <w:color w:val="000000"/>
          <w:sz w:val="21"/>
        </w:rPr>
        <w:t>[Filed 9/23/82, Notice 8/18/82—published 10/13/82, effective 11/17/82]</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11/19/82, Notice 10/13/82—published 12/8/82, effective 1/12/83]</w:t>
      </w:r>
    </w:p>
    <w:p>
      <w:pPr>
        <w:spacing w:before="0" w:after="0"/>
        <w:ind w:left="120"/>
        <w:jc w:val="center"/>
      </w:pPr>
      <w:r>
        <w:rPr>
          <w:rFonts w:ascii="Times New Roman" w:hAnsi="Times New Roman"/>
          <w:b w:val="false"/>
          <w:i w:val="false"/>
          <w:color w:val="000000"/>
          <w:sz w:val="21"/>
        </w:rPr>
        <w:t>[Filed 2/10/84, Notice 1/4/84—published 2/29/84, effective 4/5/84]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7/27/84, Notice 6/20/84—published 8/15/84, effective 9/19/84]</w:t>
      </w:r>
    </w:p>
    <w:p>
      <w:pPr>
        <w:spacing w:before="0" w:after="0"/>
        <w:ind w:left="120"/>
        <w:jc w:val="center"/>
      </w:pPr>
      <w:r>
        <w:rPr>
          <w:rFonts w:ascii="Times New Roman" w:hAnsi="Times New Roman"/>
          <w:b w:val="false"/>
          <w:i w:val="false"/>
          <w:color w:val="000000"/>
          <w:sz w:val="21"/>
        </w:rPr>
        <w:t>[Filed 10/19/84, Notice 9/12/84—published 11/7/84, effective 12/12/84]</w:t>
      </w:r>
    </w:p>
    <w:p>
      <w:pPr>
        <w:spacing w:before="0" w:after="0"/>
        <w:ind w:left="120"/>
        <w:jc w:val="center"/>
      </w:pPr>
      <w:r>
        <w:rPr>
          <w:rFonts w:ascii="Times New Roman" w:hAnsi="Times New Roman"/>
          <w:b w:val="false"/>
          <w:i w:val="false"/>
          <w:color w:val="000000"/>
          <w:sz w:val="21"/>
        </w:rPr>
        <w:t>[Filed 2/22/85, Notice 1/16/85—published 3/13/85, effective 4/17/85]</w:t>
      </w:r>
    </w:p>
    <w:p>
      <w:pPr>
        <w:spacing w:before="0" w:after="0"/>
        <w:ind w:left="120"/>
        <w:jc w:val="center"/>
      </w:pPr>
      <w:r>
        <w:rPr>
          <w:rFonts w:ascii="Times New Roman" w:hAnsi="Times New Roman"/>
          <w:b w:val="false"/>
          <w:i w:val="false"/>
          <w:color w:val="000000"/>
          <w:sz w:val="21"/>
        </w:rPr>
        <w:t>[Filed 3/8/85, Notice 1/30/85—published 3/27/85, effective 5/1/85]</w:t>
      </w:r>
    </w:p>
    <w:p>
      <w:pPr>
        <w:spacing w:before="0" w:after="0"/>
        <w:ind w:left="120"/>
        <w:jc w:val="center"/>
      </w:pPr>
      <w:r>
        <w:rPr>
          <w:rFonts w:ascii="Times New Roman" w:hAnsi="Times New Roman"/>
          <w:b w:val="false"/>
          <w:i w:val="false"/>
          <w:color w:val="000000"/>
          <w:sz w:val="21"/>
        </w:rPr>
        <w:t>[Filed 8/23/85, Notice 7/17/85—published 9/11/85, effective 10/16/85]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9/6/85, Notice 7/31/85—published 9/25/85, effective 10/30/85]</w:t>
      </w:r>
    </w:p>
    <w:p>
      <w:pPr>
        <w:spacing w:before="0" w:after="0"/>
        <w:ind w:left="120"/>
        <w:jc w:val="center"/>
      </w:pPr>
      <w:r>
        <w:rPr>
          <w:rFonts w:ascii="Times New Roman" w:hAnsi="Times New Roman"/>
          <w:b w:val="false"/>
          <w:i w:val="false"/>
          <w:color w:val="000000"/>
          <w:sz w:val="21"/>
        </w:rPr>
        <w:t>[Filed 12/2/85, Notice 10/23/85—published 12/18/85, effective 1/22/86]</w:t>
      </w:r>
    </w:p>
    <w:p>
      <w:pPr>
        <w:spacing w:before="0" w:after="0"/>
        <w:ind w:left="120"/>
        <w:jc w:val="center"/>
      </w:pPr>
      <w:r>
        <w:rPr>
          <w:rFonts w:ascii="Times New Roman" w:hAnsi="Times New Roman"/>
          <w:b w:val="false"/>
          <w:i w:val="false"/>
          <w:color w:val="000000"/>
          <w:sz w:val="21"/>
        </w:rPr>
        <w:t>[Filed 6/27/86, Notice 5/7/86—published 7/16/86, effective 8/20/86]</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9/5/86, Notice 7/30/86—published 9/24/86, effective 10/29/86]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9/18/87, Notice 8/12/87—published 10/7/87, effective 11/11/87]</w:t>
      </w:r>
    </w:p>
    <w:p>
      <w:pPr>
        <w:spacing w:before="0" w:after="0"/>
        <w:ind w:left="120"/>
        <w:jc w:val="center"/>
      </w:pPr>
      <w:r>
        <w:rPr>
          <w:rFonts w:ascii="Times New Roman" w:hAnsi="Times New Roman"/>
          <w:b w:val="false"/>
          <w:i w:val="false"/>
          <w:color w:val="000000"/>
          <w:sz w:val="21"/>
        </w:rPr>
        <w:t>[Filed 10/16/87, Notice 9/9/87—published 11/4/87, effective 12/9/87]</w:t>
      </w:r>
    </w:p>
    <w:p>
      <w:pPr>
        <w:spacing w:before="0" w:after="0"/>
        <w:ind w:left="120"/>
        <w:jc w:val="center"/>
      </w:pPr>
      <w:r>
        <w:rPr>
          <w:rFonts w:ascii="Times New Roman" w:hAnsi="Times New Roman"/>
          <w:b w:val="false"/>
          <w:i w:val="false"/>
          <w:color w:val="000000"/>
          <w:sz w:val="21"/>
        </w:rPr>
        <w:t>[Filed 2/5/88, Notice 12/30/87—published 2/24/88, effective 3/30/88]</w:t>
      </w:r>
    </w:p>
    <w:p>
      <w:pPr>
        <w:spacing w:before="0" w:after="0"/>
        <w:ind w:left="120"/>
        <w:jc w:val="center"/>
      </w:pPr>
      <w:r>
        <w:rPr>
          <w:rFonts w:ascii="Times New Roman" w:hAnsi="Times New Roman"/>
          <w:b w:val="false"/>
          <w:i w:val="false"/>
          <w:color w:val="000000"/>
          <w:sz w:val="21"/>
        </w:rPr>
        <w:t>[Filed 4/13/88, Notice 3/9/88—published 5/4/88, effective 6/8/88]</w:t>
      </w:r>
    </w:p>
    <w:p>
      <w:pPr>
        <w:spacing w:before="0" w:after="0"/>
        <w:ind w:left="120"/>
        <w:jc w:val="center"/>
      </w:pPr>
      <w:r>
        <w:rPr>
          <w:rFonts w:ascii="Times New Roman" w:hAnsi="Times New Roman"/>
          <w:b w:val="false"/>
          <w:i w:val="false"/>
          <w:color w:val="000000"/>
          <w:sz w:val="21"/>
        </w:rPr>
        <w:t>[Filed 8/19/88, Notice 7/13/88—published 9/7/88, effective 10/12/88]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10/27/89, Notice 9/20/89—published 11/15/89, effective 12/20/89]</w:t>
      </w:r>
    </w:p>
    <w:p>
      <w:pPr>
        <w:spacing w:before="0" w:after="0"/>
        <w:ind w:left="120"/>
        <w:jc w:val="center"/>
      </w:pPr>
      <w:r>
        <w:rPr>
          <w:rFonts w:ascii="Times New Roman" w:hAnsi="Times New Roman"/>
          <w:b w:val="false"/>
          <w:i w:val="false"/>
          <w:color w:val="000000"/>
          <w:sz w:val="21"/>
        </w:rPr>
        <w:t>[Filed 11/22/89, Notice 10/18/89—published 12/13/89, effective 1/17/90]</w:t>
      </w:r>
    </w:p>
    <w:p>
      <w:pPr>
        <w:spacing w:before="0" w:after="0"/>
        <w:ind w:left="120"/>
        <w:jc w:val="center"/>
      </w:pPr>
      <w:r>
        <w:rPr>
          <w:rFonts w:ascii="Times New Roman" w:hAnsi="Times New Roman"/>
          <w:b w:val="false"/>
          <w:i w:val="false"/>
          <w:color w:val="000000"/>
          <w:sz w:val="21"/>
        </w:rPr>
        <w:t>[Filed 1/19/90, Notice 12/13/89—published 2/7/90, effective 3/14/90]</w:t>
      </w:r>
    </w:p>
    <w:p>
      <w:pPr>
        <w:spacing w:before="0" w:after="0"/>
        <w:ind w:left="120"/>
        <w:jc w:val="center"/>
      </w:pPr>
      <w:r>
        <w:rPr>
          <w:rFonts w:ascii="Times New Roman" w:hAnsi="Times New Roman"/>
          <w:b w:val="false"/>
          <w:i w:val="false"/>
          <w:color w:val="000000"/>
          <w:sz w:val="21"/>
        </w:rPr>
        <w:t>[Filed 8/2/90, Notice 6/27/90—published 8/22/90, effective 9/26/90]</w:t>
      </w:r>
    </w:p>
    <w:p>
      <w:pPr>
        <w:spacing w:before="0" w:after="0"/>
        <w:ind w:left="120"/>
        <w:jc w:val="center"/>
      </w:pPr>
      <w:r>
        <w:rPr>
          <w:rFonts w:ascii="Times New Roman" w:hAnsi="Times New Roman"/>
          <w:b w:val="false"/>
          <w:i w:val="false"/>
          <w:color w:val="000000"/>
          <w:sz w:val="21"/>
        </w:rPr>
        <w:t>[Filed 9/13/90, Notice 8/8/90—published 10/3/90, effective 11/7/90]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11/9/90, Notice 10/3/90—published 11/28/90, effective 1/2/91]</w:t>
      </w:r>
    </w:p>
    <w:p>
      <w:pPr>
        <w:spacing w:before="0" w:after="0"/>
        <w:ind w:left="120"/>
        <w:jc w:val="center"/>
      </w:pPr>
      <w:r>
        <w:rPr>
          <w:rFonts w:ascii="Times New Roman" w:hAnsi="Times New Roman"/>
          <w:b w:val="false"/>
          <w:i w:val="false"/>
          <w:color w:val="000000"/>
          <w:sz w:val="21"/>
        </w:rPr>
        <w:t>[Filed 1/4/91, Notice 11/28/90—published 1/23/91, effective 2/27/91]</w:t>
      </w:r>
    </w:p>
    <w:p>
      <w:pPr>
        <w:spacing w:before="0" w:after="0"/>
        <w:ind w:left="120"/>
        <w:jc w:val="center"/>
      </w:pPr>
      <w:r>
        <w:rPr>
          <w:rFonts w:ascii="Times New Roman" w:hAnsi="Times New Roman"/>
          <w:b w:val="false"/>
          <w:i w:val="false"/>
          <w:color w:val="000000"/>
          <w:sz w:val="21"/>
        </w:rPr>
        <w:t>[Filed 1/17/91, Notice 12/12/90—published 2/6/91, effective 3/13/91]</w:t>
      </w:r>
    </w:p>
    <w:p>
      <w:pPr>
        <w:spacing w:before="0" w:after="0"/>
        <w:ind w:left="120"/>
        <w:jc w:val="center"/>
      </w:pPr>
      <w:r>
        <w:rPr>
          <w:rFonts w:ascii="Times New Roman" w:hAnsi="Times New Roman"/>
          <w:b w:val="false"/>
          <w:i w:val="false"/>
          <w:color w:val="000000"/>
          <w:sz w:val="21"/>
        </w:rPr>
        <w:t>[Filed 9/13/91, Notice 8/7/91—published 10/2/91, effective 11/6/91]</w:t>
      </w:r>
    </w:p>
    <w:p>
      <w:pPr>
        <w:spacing w:before="0" w:after="0"/>
        <w:ind w:left="120"/>
        <w:jc w:val="center"/>
      </w:pPr>
      <w:r>
        <w:rPr>
          <w:rFonts w:ascii="Times New Roman" w:hAnsi="Times New Roman"/>
          <w:b w:val="false"/>
          <w:i w:val="false"/>
          <w:color w:val="000000"/>
          <w:sz w:val="21"/>
        </w:rPr>
        <w:t>[Filed 11/7/91, Notice 10/2/91—published 11/27/91, effective 1/1/92]</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10/23/92, Notice 9/16/92—published 11/11/92, effective 12/16/92]</w:t>
      </w:r>
    </w:p>
    <w:p>
      <w:pPr>
        <w:spacing w:before="0" w:after="0"/>
        <w:ind w:left="120"/>
        <w:jc w:val="center"/>
      </w:pPr>
      <w:r>
        <w:rPr>
          <w:rFonts w:ascii="Times New Roman" w:hAnsi="Times New Roman"/>
          <w:b w:val="false"/>
          <w:i w:val="false"/>
          <w:color w:val="000000"/>
          <w:sz w:val="21"/>
        </w:rPr>
        <w:t>[Filed 11/6/92, Notice 9/30/92—published 11/25/92, effective 12/30/92]</w:t>
      </w:r>
    </w:p>
    <w:p>
      <w:pPr>
        <w:spacing w:before="0" w:after="0"/>
        <w:ind w:left="120"/>
        <w:jc w:val="center"/>
      </w:pPr>
      <w:r>
        <w:rPr>
          <w:rFonts w:ascii="Times New Roman" w:hAnsi="Times New Roman"/>
          <w:b w:val="false"/>
          <w:i w:val="false"/>
          <w:color w:val="000000"/>
          <w:sz w:val="21"/>
        </w:rPr>
        <w:t>[Filed 11/19/93, Notice 10/13/93—published 12/8/93, effective 1/12/94]</w:t>
      </w:r>
    </w:p>
    <w:p>
      <w:pPr>
        <w:spacing w:before="0" w:after="0"/>
        <w:ind w:left="120"/>
        <w:jc w:val="center"/>
      </w:pPr>
      <w:r>
        <w:rPr>
          <w:rFonts w:ascii="Times New Roman" w:hAnsi="Times New Roman"/>
          <w:b w:val="false"/>
          <w:i w:val="false"/>
          <w:color w:val="000000"/>
          <w:sz w:val="21"/>
        </w:rPr>
        <w:t>[Filed 9/23/94, Notice 8/17/94—published 10/12/94, effective 11/16/94]</w:t>
      </w:r>
    </w:p>
    <w:p>
      <w:pPr>
        <w:spacing w:before="0" w:after="0"/>
        <w:ind w:left="120"/>
        <w:jc w:val="center"/>
      </w:pPr>
      <w:r>
        <w:rPr>
          <w:rFonts w:ascii="Times New Roman" w:hAnsi="Times New Roman"/>
          <w:b w:val="false"/>
          <w:i w:val="false"/>
          <w:color w:val="000000"/>
          <w:sz w:val="21"/>
        </w:rPr>
        <w:t>[Filed 1/12/95, Notice 12/7/94—published 2/1/95, effective 3/8/95]</w:t>
      </w:r>
    </w:p>
    <w:p>
      <w:pPr>
        <w:spacing w:before="0" w:after="0"/>
        <w:ind w:left="120"/>
        <w:jc w:val="center"/>
      </w:pPr>
      <w:r>
        <w:rPr>
          <w:rFonts w:ascii="Times New Roman" w:hAnsi="Times New Roman"/>
          <w:b w:val="false"/>
          <w:i w:val="false"/>
          <w:color w:val="000000"/>
          <w:sz w:val="21"/>
        </w:rPr>
        <w:t>[Filed 2/24/95, Notice 1/4/95—published 3/15/95, effective 4/19/95]</w:t>
      </w:r>
    </w:p>
    <w:p>
      <w:pPr>
        <w:spacing w:before="0" w:after="0"/>
        <w:ind w:left="120"/>
        <w:jc w:val="center"/>
      </w:pPr>
      <w:r>
        <w:rPr>
          <w:rFonts w:ascii="Times New Roman" w:hAnsi="Times New Roman"/>
          <w:b w:val="false"/>
          <w:i w:val="false"/>
          <w:color w:val="000000"/>
          <w:sz w:val="21"/>
        </w:rPr>
        <w:t>[Filed 10/6/95, Notice 8/30/95—published 10/25/95, effective 11/29/95]</w:t>
      </w:r>
    </w:p>
    <w:p>
      <w:pPr>
        <w:spacing w:before="0" w:after="0"/>
        <w:ind w:left="120"/>
        <w:jc w:val="center"/>
      </w:pPr>
      <w:r>
        <w:rPr>
          <w:rFonts w:ascii="Times New Roman" w:hAnsi="Times New Roman"/>
          <w:b w:val="false"/>
          <w:i w:val="false"/>
          <w:color w:val="000000"/>
          <w:sz w:val="21"/>
        </w:rPr>
        <w:t>[Filed 1/12/96, Notice 12/6/95—published 1/31/96, effective 3/6/96]</w:t>
      </w:r>
    </w:p>
    <w:p>
      <w:pPr>
        <w:spacing w:before="0" w:after="0"/>
        <w:ind w:left="120"/>
        <w:jc w:val="center"/>
      </w:pPr>
      <w:r>
        <w:rPr>
          <w:rFonts w:ascii="Times New Roman" w:hAnsi="Times New Roman"/>
          <w:b w:val="false"/>
          <w:i w:val="false"/>
          <w:color w:val="000000"/>
          <w:sz w:val="21"/>
        </w:rPr>
        <w:t>[Filed 2/9/96, Notice 1/3/96—published 2/28/96, effective 4/3/96]</w:t>
      </w:r>
    </w:p>
    <w:p>
      <w:pPr>
        <w:spacing w:before="0" w:after="0"/>
        <w:ind w:left="120"/>
        <w:jc w:val="center"/>
      </w:pPr>
      <w:r>
        <w:rPr>
          <w:rFonts w:ascii="Times New Roman" w:hAnsi="Times New Roman"/>
          <w:b w:val="false"/>
          <w:i w:val="false"/>
          <w:color w:val="000000"/>
          <w:sz w:val="21"/>
        </w:rPr>
        <w:t>[Filed 3/22/96, Notice 2/14/96—published 4/10/96, effective 5/15/96]</w:t>
      </w:r>
    </w:p>
    <w:p>
      <w:pPr>
        <w:spacing w:before="0" w:after="0"/>
        <w:ind w:left="120"/>
        <w:jc w:val="center"/>
      </w:pPr>
      <w:r>
        <w:rPr>
          <w:rFonts w:ascii="Times New Roman" w:hAnsi="Times New Roman"/>
          <w:b w:val="false"/>
          <w:i w:val="false"/>
          <w:color w:val="000000"/>
          <w:sz w:val="21"/>
        </w:rPr>
        <w:t>[Filed 9/20/96, Notice 8/14/96—published 10/9/96, effective 11/13/96]</w:t>
      </w:r>
    </w:p>
    <w:p>
      <w:pPr>
        <w:spacing w:before="0" w:after="0"/>
        <w:ind w:left="120"/>
        <w:jc w:val="center"/>
      </w:pPr>
      <w:r>
        <w:rPr>
          <w:rFonts w:ascii="Times New Roman" w:hAnsi="Times New Roman"/>
          <w:b w:val="false"/>
          <w:i w:val="false"/>
          <w:color w:val="000000"/>
          <w:sz w:val="21"/>
        </w:rPr>
        <w:t>[Filed 11/15/96, Notice 10/9/96—published 12/4/96, effective 1/8/97]</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2/20/98, Notice 1/14/98—published 3/11/98, effective 4/15/98]</w:t>
      </w:r>
    </w:p>
    <w:p>
      <w:pPr>
        <w:spacing w:before="0" w:after="0"/>
        <w:ind w:left="120"/>
        <w:jc w:val="center"/>
      </w:pPr>
      <w:r>
        <w:rPr>
          <w:rFonts w:ascii="Times New Roman" w:hAnsi="Times New Roman"/>
          <w:b w:val="false"/>
          <w:i w:val="false"/>
          <w:color w:val="000000"/>
          <w:sz w:val="21"/>
        </w:rPr>
        <w:t>[Filed 8/5/98, Notice 7/1/98—published 8/26/98, effective 9/30/98]</w:t>
      </w:r>
    </w:p>
    <w:p>
      <w:pPr>
        <w:spacing w:before="0" w:after="0"/>
        <w:ind w:left="120"/>
        <w:jc w:val="center"/>
      </w:pPr>
      <w:r>
        <w:rPr>
          <w:rFonts w:ascii="Times New Roman" w:hAnsi="Times New Roman"/>
          <w:b w:val="false"/>
          <w:i w:val="false"/>
          <w:color w:val="000000"/>
          <w:sz w:val="21"/>
        </w:rPr>
        <w:t>[Filed 11/13/98, Notice 10/7/98—published 12/2/98, effective 1/6/99]</w:t>
      </w:r>
    </w:p>
    <w:p>
      <w:pPr>
        <w:spacing w:before="0" w:after="0"/>
        <w:ind w:left="120"/>
        <w:jc w:val="center"/>
      </w:pPr>
      <w:r>
        <w:rPr>
          <w:rFonts w:ascii="Times New Roman" w:hAnsi="Times New Roman"/>
          <w:b w:val="false"/>
          <w:i w:val="false"/>
          <w:color w:val="000000"/>
          <w:sz w:val="21"/>
        </w:rPr>
        <w:t>[Filed 11/24/99, Notice 9/22/99—published 12/15/99, effective 3/29/00]</w:t>
      </w:r>
    </w:p>
    <w:p>
      <w:pPr>
        <w:spacing w:before="0" w:after="0"/>
        <w:ind w:left="120"/>
        <w:jc w:val="center"/>
      </w:pPr>
      <w:r>
        <w:rPr>
          <w:rFonts w:ascii="Times New Roman" w:hAnsi="Times New Roman"/>
          <w:b w:val="false"/>
          <w:i w:val="false"/>
          <w:color w:val="000000"/>
          <w:sz w:val="21"/>
        </w:rPr>
        <w:t>[Filed 2/3/00, Notice 12/29/99—published 2/23/00, effective 3/29/00]</w:t>
      </w:r>
    </w:p>
    <w:p>
      <w:pPr>
        <w:spacing w:before="0" w:after="0"/>
        <w:ind w:left="120"/>
        <w:jc w:val="center"/>
      </w:pPr>
      <w:r>
        <w:rPr>
          <w:rFonts w:ascii="Times New Roman" w:hAnsi="Times New Roman"/>
          <w:b w:val="false"/>
          <w:i w:val="false"/>
          <w:color w:val="000000"/>
          <w:sz w:val="21"/>
        </w:rPr>
        <w:t>[Filed 1/5/01, Notice 11/29/00—published 1/24/01, effective 2/28/01]</w:t>
      </w:r>
    </w:p>
    <w:p>
      <w:pPr>
        <w:spacing w:before="0" w:after="0"/>
        <w:ind w:left="120"/>
        <w:jc w:val="center"/>
      </w:pPr>
      <w:r>
        <w:rPr>
          <w:rFonts w:ascii="Times New Roman" w:hAnsi="Times New Roman"/>
          <w:b w:val="false"/>
          <w:i w:val="false"/>
          <w:color w:val="000000"/>
          <w:sz w:val="21"/>
        </w:rPr>
        <w:t>[Filed 3/2/01, Notice 1/24/01—published 3/21/01, effective 4/25/01]</w:t>
      </w:r>
    </w:p>
    <w:p>
      <w:pPr>
        <w:spacing w:before="0" w:after="0"/>
        <w:ind w:left="120"/>
        <w:jc w:val="center"/>
      </w:pPr>
      <w:r>
        <w:rPr>
          <w:rFonts w:ascii="Times New Roman" w:hAnsi="Times New Roman"/>
          <w:b w:val="false"/>
          <w:i w:val="false"/>
          <w:color w:val="000000"/>
          <w:sz w:val="21"/>
        </w:rPr>
        <w:t>[Filed 5/24/01, Notice 4/18/01—published 6/13/01, effective 7/18/01]</w:t>
      </w:r>
    </w:p>
    <w:p>
      <w:pPr>
        <w:spacing w:before="0" w:after="0"/>
        <w:ind w:left="120"/>
        <w:jc w:val="center"/>
      </w:pPr>
      <w:r>
        <w:rPr>
          <w:rFonts w:ascii="Times New Roman" w:hAnsi="Times New Roman"/>
          <w:b w:val="false"/>
          <w:i w:val="false"/>
          <w:color w:val="000000"/>
          <w:sz w:val="21"/>
        </w:rPr>
        <w:t>[Filed 8/30/01, Notice 7/25/01—published 9/19/01, effective 10/24/01]</w:t>
      </w:r>
    </w:p>
    <w:p>
      <w:pPr>
        <w:spacing w:before="0" w:after="0"/>
        <w:ind w:left="120"/>
        <w:jc w:val="center"/>
      </w:pPr>
      <w:r>
        <w:rPr>
          <w:rFonts w:ascii="Times New Roman" w:hAnsi="Times New Roman"/>
          <w:b w:val="false"/>
          <w:i w:val="false"/>
          <w:color w:val="000000"/>
          <w:sz w:val="21"/>
        </w:rPr>
        <w:t>[Filed 10/12/01, Notice 8/8/01—published 10/31/01, effective 12/5/01]</w:t>
      </w:r>
    </w:p>
    <w:p>
      <w:pPr>
        <w:spacing w:before="0" w:after="0"/>
        <w:ind w:left="120"/>
        <w:jc w:val="center"/>
      </w:pPr>
      <w:r>
        <w:rPr>
          <w:rFonts w:ascii="Times New Roman" w:hAnsi="Times New Roman"/>
          <w:b w:val="false"/>
          <w:i w:val="false"/>
          <w:color w:val="000000"/>
          <w:sz w:val="21"/>
        </w:rPr>
        <w:t>[Filed 12/7/01, Notice 10/3/01—published 12/26/01, effective 1/30/02]</w:t>
      </w:r>
    </w:p>
    <w:p>
      <w:pPr>
        <w:spacing w:before="0" w:after="0"/>
        <w:ind w:left="120"/>
        <w:jc w:val="center"/>
      </w:pPr>
      <w:r>
        <w:rPr>
          <w:rFonts w:ascii="Times New Roman" w:hAnsi="Times New Roman"/>
          <w:b w:val="false"/>
          <w:i w:val="false"/>
          <w:color w:val="000000"/>
          <w:sz w:val="21"/>
        </w:rPr>
        <w:t>[Filed 12/7/01, Notice 10/31/01—published 12/26/01, effective 1/30/02]</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3/15/02, Notice 1/23/02—published 4/3/02, effective 5/8/02]</w:t>
      </w:r>
    </w:p>
    <w:p>
      <w:pPr>
        <w:spacing w:before="0" w:after="0"/>
        <w:ind w:left="120"/>
        <w:jc w:val="center"/>
      </w:pPr>
      <w:r>
        <w:rPr>
          <w:rFonts w:ascii="Times New Roman" w:hAnsi="Times New Roman"/>
          <w:b w:val="false"/>
          <w:i w:val="false"/>
          <w:color w:val="000000"/>
          <w:sz w:val="21"/>
        </w:rPr>
        <w:t>[Filed 3/15/02, Notice 2/6/02—published 4/3/02, effective 5/8/02]</w:t>
      </w:r>
    </w:p>
    <w:p>
      <w:pPr>
        <w:spacing w:before="0" w:after="0"/>
        <w:ind w:left="120"/>
        <w:jc w:val="center"/>
      </w:pPr>
      <w:r>
        <w:rPr>
          <w:rFonts w:ascii="Times New Roman" w:hAnsi="Times New Roman"/>
          <w:b w:val="false"/>
          <w:i w:val="false"/>
          <w:color w:val="000000"/>
          <w:sz w:val="21"/>
        </w:rPr>
        <w:t>[Filed 9/13/02, Notice 8/7/02—published 10/2/02, effective 11/6/02]</w:t>
      </w:r>
    </w:p>
    <w:p>
      <w:pPr>
        <w:spacing w:before="0" w:after="0"/>
        <w:ind w:left="120"/>
        <w:jc w:val="center"/>
      </w:pPr>
      <w:r>
        <w:rPr>
          <w:rFonts w:ascii="Times New Roman" w:hAnsi="Times New Roman"/>
          <w:b w:val="false"/>
          <w:i w:val="false"/>
          <w:color w:val="000000"/>
          <w:sz w:val="21"/>
        </w:rPr>
        <w:t>[Filed 10/11/02, Notice 9/4/02—published 10/30/02, effective 12/4/02]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11/8/02, Notice 10/2/02—published 11/27/02, effective 1/1/03]</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9/26/03, Notice 8/20/03—published 10/15/03, effective 11/19/03]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10/24/03, Notice 9/17/03—published 11/12/03, effective 12/17/03]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11/6/03, Notice 10/1/03—published 11/26/03, effective 12/31/03]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12/5/03, Notice 10/15/03—published 12/24/03, effective 1/28/04]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12/31/03, Notice 11/26/03—published 1/21/04, effective 2/25/04]</w:t>
      </w:r>
    </w:p>
    <w:p>
      <w:pPr>
        <w:spacing w:before="0" w:after="0"/>
        <w:ind w:left="120"/>
        <w:jc w:val="center"/>
      </w:pPr>
      <w:r>
        <w:rPr>
          <w:rFonts w:ascii="Times New Roman" w:hAnsi="Times New Roman"/>
          <w:b w:val="false"/>
          <w:i w:val="false"/>
          <w:color w:val="000000"/>
          <w:sz w:val="21"/>
        </w:rPr>
        <w:t>[Filed 1/30/04, Notice 12/24/03—published 2/18/04, effective 3/24/04]</w:t>
      </w:r>
    </w:p>
    <w:p>
      <w:pPr>
        <w:spacing w:before="0" w:after="0"/>
        <w:ind w:left="120"/>
        <w:jc w:val="center"/>
      </w:pPr>
      <w:r>
        <w:rPr>
          <w:rFonts w:ascii="Times New Roman" w:hAnsi="Times New Roman"/>
          <w:b w:val="false"/>
          <w:i w:val="false"/>
          <w:color w:val="000000"/>
          <w:sz w:val="21"/>
        </w:rPr>
        <w:t>[Filed 8/12/04, Notice 7/7/04—published 9/1/04, effective 10/6/04]</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12/3/04, Notice 10/27/04—published 12/22/04, effective 1/26/05]</w:t>
      </w:r>
    </w:p>
    <w:p>
      <w:pPr>
        <w:spacing w:before="0" w:after="0"/>
        <w:ind w:left="120"/>
        <w:jc w:val="center"/>
      </w:pPr>
      <w:r>
        <w:rPr>
          <w:rFonts w:ascii="Times New Roman" w:hAnsi="Times New Roman"/>
          <w:b w:val="false"/>
          <w:i w:val="false"/>
          <w:color w:val="000000"/>
          <w:sz w:val="21"/>
        </w:rPr>
        <w:t>[Filed 1/14/05, Notice 12/8/04—published 2/2/05, effective 3/9/05]</w:t>
      </w:r>
    </w:p>
    <w:p>
      <w:pPr>
        <w:spacing w:before="0" w:after="0"/>
        <w:ind w:left="120"/>
        <w:jc w:val="center"/>
      </w:pPr>
      <w:r>
        <w:rPr>
          <w:rFonts w:ascii="Times New Roman" w:hAnsi="Times New Roman"/>
          <w:b w:val="false"/>
          <w:i w:val="false"/>
          <w:color w:val="000000"/>
          <w:sz w:val="21"/>
        </w:rPr>
        <w:t>[Filed 9/22/05, Notice 8/3/05—published 10/12/05, effective 11/16/05]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10/20/05, Notice 9/14/05—published 11/9/05, effective 12/14/05]</w:t>
      </w:r>
    </w:p>
    <w:p>
      <w:pPr>
        <w:spacing w:before="0" w:after="0"/>
        <w:ind w:left="120"/>
        <w:jc w:val="center"/>
      </w:pPr>
      <w:r>
        <w:rPr>
          <w:rFonts w:ascii="Times New Roman" w:hAnsi="Times New Roman"/>
          <w:b w:val="false"/>
          <w:i w:val="false"/>
          <w:color w:val="000000"/>
          <w:sz w:val="21"/>
        </w:rPr>
        <w:t>[Filed 12/30/05, Notice 11/23/05—published 1/18/06, effective 2/22/06]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1/27/06, Notice 12/21/05—published 2/15/06, effective 3/22/06]</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10/5/06, Notice 8/30/06—published 10/25/06, effective 11/29/06]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11/1/06, Notice 8/16/06—published 11/22/06, effective 12/27/06]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1/11/07, Notice 12/6/06—published 1/31/07, effective 3/7/07]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10/5/07, Notice 8/15/07—published 10/24/07, effective 11/28/07]</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[Filed 10/19/07, Notice 9/12/07—published 11/7/07, effective 12/12/07]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3/7/08, Notice 1/30/08—published 3/26/08, effective 4/30/08]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5/21/08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7761B</w:t>
      </w:r>
      <w:r>
        <w:rPr>
          <w:rFonts w:ascii="Times New Roman" w:hAnsi="Times New Roman"/>
          <w:b w:val="false"/>
          <w:i w:val="false"/>
          <w:color w:val="000000"/>
          <w:sz w:val="21"/>
        </w:rPr>
        <w:t xml:space="preserve"> (Notice ARC 7632B,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8589B</w:t>
      </w:r>
      <w:r>
        <w:rPr>
          <w:rFonts w:ascii="Times New Roman" w:hAnsi="Times New Roman"/>
          <w:b w:val="false"/>
          <w:i w:val="false"/>
          <w:color w:val="000000"/>
          <w:sz w:val="21"/>
        </w:rPr>
        <w:t xml:space="preserve"> (Notice ARC 8430B, IAB 12/30/09)</w:t>
      </w:r>
      <w:r>
        <w:rPr>
          <w:rFonts w:ascii="Times New Roman" w:hAnsi="Times New Roman"/>
          <w:b w:val="false"/>
          <w:i w:val="false"/>
          <w:color w:val="000000"/>
          <w:sz w:val="21"/>
        </w:rPr>
        <w:t>, IAB 3/10/10, effective 4/14/10]</w:t>
      </w:r>
      <w:r>
        <w:br/>
      </w:r>
      <w:r>
        <w:rPr>
          <w:rFonts w:ascii="Times New Roman" w:hAnsi="Times New Roman"/>
          <w:b w:val="false"/>
          <w:i w:val="false"/>
          <w:color w:val="000000"/>
          <w:sz w:val="21"/>
        </w:rPr>
        <w:t>[Filed ARC 8605B</w:t>
      </w:r>
      <w:r>
        <w:rPr>
          <w:rFonts w:ascii="Times New Roman" w:hAnsi="Times New Roman"/>
          <w:b w:val="false"/>
          <w:i w:val="false"/>
          <w:color w:val="000000"/>
          <w:sz w:val="21"/>
        </w:rPr>
        <w:t xml:space="preserve"> (Notice ARC 8481B,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8702B</w:t>
      </w:r>
      <w:r>
        <w:rPr>
          <w:rFonts w:ascii="Times New Roman" w:hAnsi="Times New Roman"/>
          <w:b w:val="false"/>
          <w:i w:val="false"/>
          <w:color w:val="000000"/>
          <w:sz w:val="21"/>
        </w:rPr>
        <w:t xml:space="preserve"> (Notice ARC 8512B, IAB 2/10/10)</w:t>
      </w:r>
      <w:r>
        <w:rPr>
          <w:rFonts w:ascii="Times New Roman" w:hAnsi="Times New Roman"/>
          <w:b w:val="false"/>
          <w:i w:val="false"/>
          <w:color w:val="000000"/>
          <w:sz w:val="21"/>
        </w:rPr>
        <w:t>, IAB 4/21/10, effective 5/26/10]</w:t>
      </w:r>
    </w:p>
    <w:p>
      <w:pPr>
        <w:spacing w:before="0" w:after="0"/>
        <w:ind w:left="120"/>
        <w:jc w:val="center"/>
      </w:pPr>
      <w:r>
        <w:rPr>
          <w:rFonts w:ascii="Times New Roman" w:hAnsi="Times New Roman"/>
          <w:b w:val="false"/>
          <w:i w:val="false"/>
          <w:color w:val="000000"/>
          <w:sz w:val="21"/>
        </w:rPr>
        <w:t>[Filed ARC 9104B</w:t>
      </w:r>
      <w:r>
        <w:rPr>
          <w:rFonts w:ascii="Times New Roman" w:hAnsi="Times New Roman"/>
          <w:b w:val="false"/>
          <w:i w:val="false"/>
          <w:color w:val="000000"/>
          <w:sz w:val="21"/>
        </w:rPr>
        <w:t xml:space="preserve"> (Notice ARC 8954B, IAB 7/28/10)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9821B</w:t>
      </w:r>
      <w:r>
        <w:rPr>
          <w:rFonts w:ascii="Times New Roman" w:hAnsi="Times New Roman"/>
          <w:b w:val="false"/>
          <w:i w:val="false"/>
          <w:color w:val="000000"/>
          <w:sz w:val="21"/>
        </w:rPr>
        <w:t xml:space="preserve"> (Notice ARC 9741B, IAB 9/7/11)</w:t>
      </w:r>
      <w:r>
        <w:rPr>
          <w:rFonts w:ascii="Times New Roman" w:hAnsi="Times New Roman"/>
          <w:b w:val="false"/>
          <w:i w:val="false"/>
          <w:color w:val="000000"/>
          <w:sz w:val="21"/>
        </w:rPr>
        <w:t>, IAB 11/2/11, effective 12/7/11]</w:t>
      </w:r>
      <w:r>
        <w:br/>
      </w:r>
      <w:r>
        <w:rPr>
          <w:rFonts w:ascii="Times New Roman" w:hAnsi="Times New Roman"/>
          <w:b w:val="false"/>
          <w:i w:val="false"/>
          <w:color w:val="000000"/>
          <w:sz w:val="21"/>
        </w:rPr>
        <w:t>[Filed ARC 9820B</w:t>
      </w:r>
      <w:r>
        <w:rPr>
          <w:rFonts w:ascii="Times New Roman" w:hAnsi="Times New Roman"/>
          <w:b w:val="false"/>
          <w:i w:val="false"/>
          <w:color w:val="000000"/>
          <w:sz w:val="21"/>
        </w:rPr>
        <w:t xml:space="preserve"> (Notice ARC 9740B, IAB 9/7/11)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9876B</w:t>
      </w:r>
      <w:r>
        <w:rPr>
          <w:rFonts w:ascii="Times New Roman" w:hAnsi="Times New Roman"/>
          <w:b w:val="false"/>
          <w:i w:val="false"/>
          <w:color w:val="000000"/>
          <w:sz w:val="21"/>
        </w:rPr>
        <w:t xml:space="preserve"> (Notice ARC 9796B,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9966B</w:t>
      </w:r>
      <w:r>
        <w:rPr>
          <w:rFonts w:ascii="Times New Roman" w:hAnsi="Times New Roman"/>
          <w:b w:val="false"/>
          <w:i w:val="false"/>
          <w:color w:val="000000"/>
          <w:sz w:val="21"/>
        </w:rPr>
        <w:t xml:space="preserve"> (Notice ARC 9856B, IAB 11/16/11)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0337C</w:t>
      </w:r>
      <w:r>
        <w:rPr>
          <w:rFonts w:ascii="Times New Roman" w:hAnsi="Times New Roman"/>
          <w:b w:val="false"/>
          <w:i w:val="false"/>
          <w:color w:val="000000"/>
          <w:sz w:val="21"/>
        </w:rPr>
        <w:t xml:space="preserve"> (Notice ARC 0232C, IAB 7/25/12)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[Filed ARC 0361C</w:t>
      </w:r>
      <w:r>
        <w:rPr>
          <w:rFonts w:ascii="Times New Roman" w:hAnsi="Times New Roman"/>
          <w:b w:val="false"/>
          <w:i w:val="false"/>
          <w:color w:val="000000"/>
          <w:sz w:val="21"/>
        </w:rPr>
        <w:t xml:space="preserve"> (Notice ARC 0253C, IAB 8/8/12)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0398C</w:t>
      </w:r>
      <w:r>
        <w:rPr>
          <w:rFonts w:ascii="Times New Roman" w:hAnsi="Times New Roman"/>
          <w:b w:val="false"/>
          <w:i w:val="false"/>
          <w:color w:val="000000"/>
          <w:sz w:val="21"/>
        </w:rPr>
        <w:t xml:space="preserve"> (Notice ARC 0292C,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1101C</w:t>
      </w:r>
      <w:r>
        <w:rPr>
          <w:rFonts w:ascii="Times New Roman" w:hAnsi="Times New Roman"/>
          <w:b w:val="false"/>
          <w:i w:val="false"/>
          <w:color w:val="000000"/>
          <w:sz w:val="21"/>
        </w:rPr>
        <w:t xml:space="preserve"> (Notice ARC 0976C, IAB 8/21/13)</w:t>
      </w:r>
      <w:r>
        <w:rPr>
          <w:rFonts w:ascii="Times New Roman" w:hAnsi="Times New Roman"/>
          <w:b w:val="false"/>
          <w:i w:val="false"/>
          <w:color w:val="000000"/>
          <w:sz w:val="21"/>
        </w:rPr>
        <w:t>, IAB 10/16/13, effective 11/20/13]</w:t>
      </w:r>
      <w:r>
        <w:br/>
      </w:r>
      <w:r>
        <w:rPr>
          <w:rFonts w:ascii="Times New Roman" w:hAnsi="Times New Roman"/>
          <w:b w:val="false"/>
          <w:i w:val="false"/>
          <w:color w:val="000000"/>
          <w:sz w:val="21"/>
        </w:rPr>
        <w:t>[Filed ARC 1102C</w:t>
      </w:r>
      <w:r>
        <w:rPr>
          <w:rFonts w:ascii="Times New Roman" w:hAnsi="Times New Roman"/>
          <w:b w:val="false"/>
          <w:i w:val="false"/>
          <w:color w:val="000000"/>
          <w:sz w:val="21"/>
        </w:rPr>
        <w:t xml:space="preserve"> (Notice ARC 0975C,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1138C</w:t>
      </w:r>
      <w:r>
        <w:rPr>
          <w:rFonts w:ascii="Times New Roman" w:hAnsi="Times New Roman"/>
          <w:b w:val="false"/>
          <w:i w:val="false"/>
          <w:color w:val="000000"/>
          <w:sz w:val="21"/>
        </w:rPr>
        <w:t xml:space="preserve"> (Notice ARC 0998C, IAB 9/4/13)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1665C</w:t>
      </w:r>
      <w:r>
        <w:rPr>
          <w:rFonts w:ascii="Times New Roman" w:hAnsi="Times New Roman"/>
          <w:b w:val="false"/>
          <w:i w:val="false"/>
          <w:color w:val="000000"/>
          <w:sz w:val="21"/>
        </w:rPr>
        <w:t xml:space="preserve"> (Notice ARC 1590C, IAB 8/20/14)</w:t>
      </w:r>
      <w:r>
        <w:rPr>
          <w:rFonts w:ascii="Times New Roman" w:hAnsi="Times New Roman"/>
          <w:b w:val="false"/>
          <w:i w:val="false"/>
          <w:color w:val="000000"/>
          <w:sz w:val="21"/>
        </w:rPr>
        <w:t>, IAB 10/15/14, effective 11/19/14]</w:t>
      </w:r>
      <w:r>
        <w:br/>
      </w:r>
      <w:r>
        <w:rPr>
          <w:rFonts w:ascii="Times New Roman" w:hAnsi="Times New Roman"/>
          <w:b w:val="false"/>
          <w:i w:val="false"/>
          <w:color w:val="000000"/>
          <w:sz w:val="21"/>
        </w:rPr>
        <w:t>[Filed ARC 1666C</w:t>
      </w:r>
      <w:r>
        <w:rPr>
          <w:rFonts w:ascii="Times New Roman" w:hAnsi="Times New Roman"/>
          <w:b w:val="false"/>
          <w:i w:val="false"/>
          <w:color w:val="000000"/>
          <w:sz w:val="21"/>
        </w:rPr>
        <w:t xml:space="preserve"> (Notice ARC 1589C, IAB 8/20/14)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1744C</w:t>
      </w:r>
      <w:r>
        <w:rPr>
          <w:rFonts w:ascii="Times New Roman" w:hAnsi="Times New Roman"/>
          <w:b w:val="false"/>
          <w:i w:val="false"/>
          <w:color w:val="000000"/>
          <w:sz w:val="21"/>
        </w:rPr>
        <w:t xml:space="preserve"> (Notice ARC 1654C, IAB 10/1/14)</w:t>
      </w:r>
      <w:r>
        <w:rPr>
          <w:rFonts w:ascii="Times New Roman" w:hAnsi="Times New Roman"/>
          <w:b w:val="false"/>
          <w:i w:val="false"/>
          <w:color w:val="000000"/>
          <w:sz w:val="21"/>
        </w:rPr>
        <w:t>, IAB 11/26/14, effective 12/31/14]</w:t>
      </w:r>
    </w:p>
    <w:p>
      <w:pPr>
        <w:spacing w:before="0" w:after="0"/>
        <w:ind w:left="120"/>
        <w:jc w:val="center"/>
      </w:pPr>
      <w:r>
        <w:rPr>
          <w:rFonts w:ascii="Times New Roman" w:hAnsi="Times New Roman"/>
          <w:b w:val="false"/>
          <w:i w:val="false"/>
          <w:color w:val="000000"/>
          <w:sz w:val="21"/>
        </w:rPr>
        <w:t>[Filed ARC 1949C</w:t>
      </w:r>
      <w:r>
        <w:rPr>
          <w:rFonts w:ascii="Times New Roman" w:hAnsi="Times New Roman"/>
          <w:b w:val="false"/>
          <w:i w:val="false"/>
          <w:color w:val="000000"/>
          <w:sz w:val="21"/>
        </w:rPr>
        <w:t xml:space="preserve"> (Notice ARC 1857C,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1968C</w:t>
      </w:r>
      <w:r>
        <w:rPr>
          <w:rFonts w:ascii="Times New Roman" w:hAnsi="Times New Roman"/>
          <w:b w:val="false"/>
          <w:i w:val="false"/>
          <w:color w:val="000000"/>
          <w:sz w:val="21"/>
        </w:rPr>
        <w:t xml:space="preserve"> (Notice ARC 1837C, IAB 1/21/15)</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2632C</w:t>
      </w:r>
      <w:r>
        <w:rPr>
          <w:rFonts w:ascii="Times New Roman" w:hAnsi="Times New Roman"/>
          <w:b w:val="false"/>
          <w:i w:val="false"/>
          <w:color w:val="000000"/>
          <w:sz w:val="21"/>
        </w:rPr>
        <w:t xml:space="preserve"> (Notice ARC 2547C, IAB 5/25/16)</w:t>
      </w:r>
      <w:r>
        <w:rPr>
          <w:rFonts w:ascii="Times New Roman" w:hAnsi="Times New Roman"/>
          <w:b w:val="false"/>
          <w:i w:val="false"/>
          <w:color w:val="000000"/>
          <w:sz w:val="21"/>
        </w:rPr>
        <w:t>, IAB 7/20/16, effective 8/24/16]</w:t>
      </w:r>
    </w:p>
    <w:p>
      <w:pPr>
        <w:spacing w:before="0" w:after="0"/>
        <w:ind w:left="120"/>
        <w:jc w:val="center"/>
      </w:pPr>
      <w:r>
        <w:rPr>
          <w:rFonts w:ascii="Times New Roman" w:hAnsi="Times New Roman"/>
          <w:b w:val="false"/>
          <w:i w:val="false"/>
          <w:color w:val="000000"/>
          <w:sz w:val="21"/>
        </w:rPr>
        <w:t>[Filed ARC 2772C</w:t>
      </w:r>
      <w:r>
        <w:rPr>
          <w:rFonts w:ascii="Times New Roman" w:hAnsi="Times New Roman"/>
          <w:b w:val="false"/>
          <w:i w:val="false"/>
          <w:color w:val="000000"/>
          <w:sz w:val="21"/>
        </w:rPr>
        <w:t xml:space="preserve"> (Notice ARC 2681C, IAB 8/17/16)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2829C</w:t>
      </w:r>
      <w:r>
        <w:rPr>
          <w:rFonts w:ascii="Times New Roman" w:hAnsi="Times New Roman"/>
          <w:b w:val="false"/>
          <w:i w:val="false"/>
          <w:color w:val="000000"/>
          <w:sz w:val="21"/>
        </w:rPr>
        <w:t xml:space="preserve"> (Notice ARC 2737C, IAB 9/28/16)</w:t>
      </w:r>
      <w:r>
        <w:rPr>
          <w:rFonts w:ascii="Times New Roman" w:hAnsi="Times New Roman"/>
          <w:b w:val="false"/>
          <w:i w:val="false"/>
          <w:color w:val="000000"/>
          <w:sz w:val="21"/>
        </w:rPr>
        <w:t>, IAB 11/23/16, effective 1/1/17]</w:t>
      </w:r>
    </w:p>
    <w:p>
      <w:pPr>
        <w:spacing w:before="0" w:after="0"/>
        <w:ind w:left="120"/>
        <w:jc w:val="center"/>
      </w:pPr>
      <w:r>
        <w:rPr>
          <w:rFonts w:ascii="Times New Roman" w:hAnsi="Times New Roman"/>
          <w:b w:val="false"/>
          <w:i w:val="false"/>
          <w:color w:val="000000"/>
          <w:sz w:val="21"/>
        </w:rPr>
        <w:t>[Filed ARC 2925C</w:t>
      </w:r>
      <w:r>
        <w:rPr>
          <w:rFonts w:ascii="Times New Roman" w:hAnsi="Times New Roman"/>
          <w:b w:val="false"/>
          <w:i w:val="false"/>
          <w:color w:val="000000"/>
          <w:sz w:val="21"/>
        </w:rPr>
        <w:t xml:space="preserve"> (Notice ARC 2736C, IAB 9/28/16)</w:t>
      </w:r>
      <w:r>
        <w:rPr>
          <w:rFonts w:ascii="Times New Roman" w:hAnsi="Times New Roman"/>
          <w:b w:val="false"/>
          <w:i w:val="false"/>
          <w:color w:val="000000"/>
          <w:sz w:val="21"/>
        </w:rPr>
        <w:t>, IAB 2/1/17, effective 3/8/17]</w:t>
      </w:r>
      <w:r>
        <w:br/>
      </w:r>
      <w:r>
        <w:rPr>
          <w:rFonts w:ascii="Times New Roman" w:hAnsi="Times New Roman"/>
          <w:b w:val="false"/>
          <w:i w:val="false"/>
          <w:color w:val="000000"/>
          <w:sz w:val="21"/>
        </w:rPr>
        <w:t>[Filed ARC 2928C</w:t>
      </w:r>
      <w:r>
        <w:rPr>
          <w:rFonts w:ascii="Times New Roman" w:hAnsi="Times New Roman"/>
          <w:b w:val="false"/>
          <w:i w:val="false"/>
          <w:color w:val="000000"/>
          <w:sz w:val="21"/>
        </w:rPr>
        <w:t xml:space="preserve"> (Notice ARC 2806C, IAB 11/9/16)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3008C</w:t>
      </w:r>
      <w:r>
        <w:rPr>
          <w:rFonts w:ascii="Times New Roman" w:hAnsi="Times New Roman"/>
          <w:b w:val="false"/>
          <w:i w:val="false"/>
          <w:color w:val="000000"/>
          <w:sz w:val="21"/>
        </w:rPr>
        <w:t xml:space="preserve"> (Notice ARC 2865C, IAB 12/21/16)</w:t>
      </w:r>
      <w:r>
        <w:rPr>
          <w:rFonts w:ascii="Times New Roman" w:hAnsi="Times New Roman"/>
          <w:b w:val="false"/>
          <w:i w:val="false"/>
          <w:color w:val="000000"/>
          <w:sz w:val="21"/>
        </w:rPr>
        <w:t>, IAB 3/29/17, effective 5/3/17]</w:t>
      </w:r>
    </w:p>
    <w:p>
      <w:pPr>
        <w:spacing w:before="0" w:after="0"/>
        <w:ind w:left="120"/>
        <w:jc w:val="center"/>
      </w:pPr>
      <w:r>
        <w:rPr>
          <w:rFonts w:ascii="Times New Roman" w:hAnsi="Times New Roman"/>
          <w:b w:val="false"/>
          <w:i w:val="false"/>
          <w:color w:val="000000"/>
          <w:sz w:val="21"/>
        </w:rPr>
        <w:t>[Filed ARC 3043C</w:t>
      </w:r>
      <w:r>
        <w:rPr>
          <w:rFonts w:ascii="Times New Roman" w:hAnsi="Times New Roman"/>
          <w:b w:val="false"/>
          <w:i w:val="false"/>
          <w:color w:val="000000"/>
          <w:sz w:val="21"/>
        </w:rPr>
        <w:t xml:space="preserve"> (Notice ARC 2896C, IAB 1/18/17)</w:t>
      </w:r>
      <w:r>
        <w:rPr>
          <w:rFonts w:ascii="Times New Roman" w:hAnsi="Times New Roman"/>
          <w:b w:val="false"/>
          <w:i w:val="false"/>
          <w:color w:val="000000"/>
          <w:sz w:val="21"/>
        </w:rPr>
        <w:t>, IAB 4/26/17, effective 5/31/17]</w:t>
      </w:r>
    </w:p>
    <w:p>
      <w:pPr>
        <w:spacing w:before="0" w:after="0"/>
        <w:ind w:left="120"/>
        <w:jc w:val="center"/>
      </w:pPr>
      <w:r>
        <w:rPr>
          <w:rFonts w:ascii="Times New Roman" w:hAnsi="Times New Roman"/>
          <w:b w:val="false"/>
          <w:i w:val="false"/>
          <w:color w:val="000000"/>
          <w:sz w:val="21"/>
        </w:rPr>
        <w:t>[Filed ARC 3085C</w:t>
      </w:r>
      <w:r>
        <w:rPr>
          <w:rFonts w:ascii="Times New Roman" w:hAnsi="Times New Roman"/>
          <w:b w:val="false"/>
          <w:i w:val="false"/>
          <w:color w:val="000000"/>
          <w:sz w:val="21"/>
        </w:rPr>
        <w:t xml:space="preserve"> (Notice ARC 2942C, IAB 2/15/17)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3837C</w:t>
      </w:r>
      <w:r>
        <w:rPr>
          <w:rFonts w:ascii="Times New Roman" w:hAnsi="Times New Roman"/>
          <w:b w:val="false"/>
          <w:i w:val="false"/>
          <w:color w:val="000000"/>
          <w:sz w:val="21"/>
        </w:rPr>
        <w:t xml:space="preserve"> (Notice ARC 3724C, IAB 4/11/18)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4143C</w:t>
      </w:r>
      <w:r>
        <w:rPr>
          <w:rFonts w:ascii="Times New Roman" w:hAnsi="Times New Roman"/>
          <w:b w:val="false"/>
          <w:i w:val="false"/>
          <w:color w:val="000000"/>
          <w:sz w:val="21"/>
        </w:rPr>
        <w:t xml:space="preserve"> (Notice ARC 4025C,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5590C</w:t>
      </w:r>
      <w:r>
        <w:rPr>
          <w:rFonts w:ascii="Times New Roman" w:hAnsi="Times New Roman"/>
          <w:b w:val="false"/>
          <w:i w:val="false"/>
          <w:color w:val="000000"/>
          <w:sz w:val="21"/>
        </w:rPr>
        <w:t xml:space="preserve"> (Notice ARC 5470C, IAB 2/24/21)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5978C</w:t>
      </w:r>
      <w:r>
        <w:rPr>
          <w:rFonts w:ascii="Times New Roman" w:hAnsi="Times New Roman"/>
          <w:b w:val="false"/>
          <w:i w:val="false"/>
          <w:color w:val="000000"/>
          <w:sz w:val="21"/>
        </w:rPr>
        <w:t xml:space="preserve"> (Notice ARC 5822C, IAB 8/11/21)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6030C</w:t>
      </w:r>
      <w:r>
        <w:rPr>
          <w:rFonts w:ascii="Times New Roman" w:hAnsi="Times New Roman"/>
          <w:b w:val="false"/>
          <w:i w:val="false"/>
          <w:color w:val="000000"/>
          <w:sz w:val="21"/>
        </w:rPr>
        <w:t xml:space="preserve"> (Notice ARC 5883C, IAB 9/8/21)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6267C</w:t>
      </w:r>
      <w:r>
        <w:rPr>
          <w:rFonts w:ascii="Times New Roman" w:hAnsi="Times New Roman"/>
          <w:b w:val="false"/>
          <w:i w:val="false"/>
          <w:color w:val="000000"/>
          <w:sz w:val="21"/>
        </w:rPr>
        <w:t xml:space="preserve"> (Notice ARC 5986C, IAB 10/20/21)</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Emergency ARC 6398C, IAB 7/13/22, effective 7/1/22]</w:t>
      </w:r>
    </w:p>
    <w:p>
      <w:pPr>
        <w:spacing w:before="0" w:after="0"/>
        <w:ind w:left="120"/>
        <w:jc w:val="center"/>
      </w:pPr>
      <w:r>
        <w:rPr>
          <w:rFonts w:ascii="Times New Roman" w:hAnsi="Times New Roman"/>
          <w:b w:val="false"/>
          <w:i w:val="false"/>
          <w:color w:val="000000"/>
          <w:sz w:val="21"/>
        </w:rPr>
        <w:t>[Filed ARC 6551C</w:t>
      </w:r>
      <w:r>
        <w:rPr>
          <w:rFonts w:ascii="Times New Roman" w:hAnsi="Times New Roman"/>
          <w:b w:val="false"/>
          <w:i w:val="false"/>
          <w:color w:val="000000"/>
          <w:sz w:val="21"/>
        </w:rPr>
        <w:t xml:space="preserve"> (Notice ARC 6450C,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6900C</w:t>
      </w:r>
      <w:r>
        <w:rPr>
          <w:rFonts w:ascii="Times New Roman" w:hAnsi="Times New Roman"/>
          <w:b w:val="false"/>
          <w:i w:val="false"/>
          <w:color w:val="000000"/>
          <w:sz w:val="21"/>
        </w:rPr>
        <w:t xml:space="preserve"> (Notice ARC 6746C, IAB 12/14/22)</w:t>
      </w:r>
      <w:r>
        <w:rPr>
          <w:rFonts w:ascii="Times New Roman" w:hAnsi="Times New Roman"/>
          <w:b w:val="false"/>
          <w:i w:val="false"/>
          <w:color w:val="000000"/>
          <w:sz w:val="21"/>
        </w:rPr>
        <w:t>, IAB 2/22/23, effective 3/29/23]</w:t>
      </w:r>
      <w:r>
        <w:br/>
      </w:r>
      <w:r>
        <w:rPr>
          <w:rFonts w:ascii="Times New Roman" w:hAnsi="Times New Roman"/>
          <w:b w:val="false"/>
          <w:i w:val="false"/>
          <w:color w:val="000000"/>
          <w:sz w:val="21"/>
        </w:rPr>
        <w:t>[Filed ARC 6901C</w:t>
      </w:r>
      <w:r>
        <w:rPr>
          <w:rFonts w:ascii="Times New Roman" w:hAnsi="Times New Roman"/>
          <w:b w:val="false"/>
          <w:i w:val="false"/>
          <w:color w:val="000000"/>
          <w:sz w:val="21"/>
        </w:rPr>
        <w:t xml:space="preserve"> (Notice ARC 6699C, IAB 11/30/22)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8201C</w:t>
      </w:r>
      <w:r>
        <w:rPr>
          <w:rFonts w:ascii="Times New Roman" w:hAnsi="Times New Roman"/>
          <w:b w:val="false"/>
          <w:i w:val="false"/>
          <w:color w:val="000000"/>
          <w:sz w:val="21"/>
        </w:rPr>
        <w:t xml:space="preserve"> (Notice ARC 8071C, IAB 6/26/24)</w:t>
      </w:r>
      <w:r>
        <w:rPr>
          <w:rFonts w:ascii="Times New Roman" w:hAnsi="Times New Roman"/>
          <w:b w:val="false"/>
          <w:i w:val="false"/>
          <w:color w:val="000000"/>
          <w:sz w:val="21"/>
        </w:rPr>
        <w:t>, IAB 8/21/24, effective 9/25/24]</w:t>
      </w:r>
    </w:p>
    <w:p>
      <w:pPr>
        <w:spacing w:before="0" w:after="0"/>
        <w:ind w:left="120"/>
        <w:jc w:val="center"/>
      </w:pPr>
      <w:r>
        <w:rPr>
          <w:rFonts w:ascii="Times New Roman" w:hAnsi="Times New Roman"/>
          <w:b w:val="false"/>
          <w:i w:val="false"/>
          <w:color w:val="000000"/>
          <w:sz w:val="21"/>
        </w:rPr>
        <w:t>[Filed ARC 0028D</w:t>
      </w:r>
      <w:r>
        <w:rPr>
          <w:rFonts w:ascii="Times New Roman" w:hAnsi="Times New Roman"/>
          <w:b w:val="false"/>
          <w:i w:val="false"/>
          <w:color w:val="000000"/>
          <w:sz w:val="21"/>
        </w:rPr>
        <w:t xml:space="preserve"> (Notice ARC 9745C, IAB 11/26/25)</w:t>
      </w:r>
      <w:r>
        <w:rPr>
          <w:rFonts w:ascii="Times New Roman" w:hAnsi="Times New Roman"/>
          <w:b w:val="false"/>
          <w:i w:val="false"/>
          <w:color w:val="000000"/>
          <w:sz w:val="21"/>
        </w:rPr>
        <w:t>, IAB 1/21/26, effective 2/25/26]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42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01.503.pdf" Type="http://schemas.openxmlformats.org/officeDocument/2006/relationships/hyperlink" Id="rId5"/>
    <Relationship TargetMode="External" Target="https://www.legis.iowa.gov/docs/iac/chapter/701.503.pdf" Type="http://schemas.openxmlformats.org/officeDocument/2006/relationships/hyperlink" Id="rId6"/>
    <Relationship TargetMode="External" Target="https://www.legis.iowa.gov/docs/ico/chapter/422.33.pdf" Type="http://schemas.openxmlformats.org/officeDocument/2006/relationships/hyperlink" Id="rId7"/>
    <Relationship TargetMode="External" Target="https://www.legis.iowa.gov/docs/ico/chapter/422.15.pdf" Type="http://schemas.openxmlformats.org/officeDocument/2006/relationships/hyperlink" Id="rId8"/>
    <Relationship TargetMode="External" Target="https://www.legis.iowa.gov/docs/ico/chapter/422.16.pdf" Type="http://schemas.openxmlformats.org/officeDocument/2006/relationships/hyperlink" Id="rId9"/>
    <Relationship TargetMode="External" Target="https://www.legis.iowa.gov/docs/ico/chapter/422.34.pdf" Type="http://schemas.openxmlformats.org/officeDocument/2006/relationships/hyperlink" Id="rId10"/>
    <Relationship TargetMode="External" Target="https://www.legis.iowa.gov/docs/ico/chapter/422.33.pdf" Type="http://schemas.openxmlformats.org/officeDocument/2006/relationships/hyperlink" Id="rId11"/>
    <Relationship TargetMode="External" Target="https://www.legis.iowa.gov/docs/ico/chapter/422.35.pdf" Type="http://schemas.openxmlformats.org/officeDocument/2006/relationships/hyperlink" Id="rId12"/>
    <Relationship TargetMode="External" Target="https://www.legis.iowa.gov/docs/ico/chapter/422.33.pdf" Type="http://schemas.openxmlformats.org/officeDocument/2006/relationships/hyperlink" Id="rId13"/>
    <Relationship TargetMode="External" Target="https://www.legis.iowa.gov/docs/iac/chapter/701.500.pdf" Type="http://schemas.openxmlformats.org/officeDocument/2006/relationships/hyperlink" Id="rId14"/>
    <Relationship TargetMode="External" Target="https://www.legis.iowa.gov/docs/iac/chapter/701.501.pdf" Type="http://schemas.openxmlformats.org/officeDocument/2006/relationships/hyperlink" Id="rId15"/>
    <Relationship TargetMode="External" Target="https://www.legis.iowa.gov/docs/iac/chapter/701.502.pdf" Type="http://schemas.openxmlformats.org/officeDocument/2006/relationships/hyperlink" Id="rId16"/>
    <Relationship TargetMode="External" Target="https://www.legis.iowa.gov/docs/iac/chapter/701.503.pdf" Type="http://schemas.openxmlformats.org/officeDocument/2006/relationships/hyperlink" Id="rId17"/>
    <Relationship TargetMode="External" Target="https://www.legis.iowa.gov/docs/iac/chapter/701.504.pdf" Type="http://schemas.openxmlformats.org/officeDocument/2006/relationships/hyperlink" Id="rId18"/>
    <Relationship TargetMode="External" Target="https://www.legis.iowa.gov/docs/iac/chapter/701.505.pdf" Type="http://schemas.openxmlformats.org/officeDocument/2006/relationships/hyperlink" Id="rId19"/>
    <Relationship TargetMode="External" Target="https://www.legis.iowa.gov/docs/iac/chapter/701.276.pdf" Type="http://schemas.openxmlformats.org/officeDocument/2006/relationships/hyperlink" Id="rId20"/>
    <Relationship TargetMode="External" Target="https://www.legis.iowa.gov/docs/ico/chapter/29C.24.pdf" Type="http://schemas.openxmlformats.org/officeDocument/2006/relationships/hyperlink" Id="rId21"/>
    <Relationship TargetMode="External" Target="https://www.legis.iowa.gov/docs/ico/chapter/422.32.pdf" Type="http://schemas.openxmlformats.org/officeDocument/2006/relationships/hyperlink" Id="rId22"/>
    <Relationship TargetMode="External" Target="https://www.legis.iowa.gov/docs/ico/chapter/422.21.pdf" Type="http://schemas.openxmlformats.org/officeDocument/2006/relationships/hyperlink" Id="rId23"/>
    <Relationship TargetMode="External" Target="https://www.legis.iowa.gov/docs/ico/chapter/422.32.pdf" Type="http://schemas.openxmlformats.org/officeDocument/2006/relationships/hyperlink" Id="rId24"/>
    <Relationship TargetMode="External" Target="https://www.legis.iowa.gov/docs/ico/chapter/422.33.pdf" Type="http://schemas.openxmlformats.org/officeDocument/2006/relationships/hyperlink" Id="rId25"/>
    <Relationship TargetMode="External" Target="https://www.legis.iowa.gov/docs/ico/chapter/422.34.pdf" Type="http://schemas.openxmlformats.org/officeDocument/2006/relationships/hyperlink" Id="rId26"/>
    <Relationship TargetMode="External" Target="https://www.legis.iowa.gov/docs/ico/chapter/422.34A.pdf" Type="http://schemas.openxmlformats.org/officeDocument/2006/relationships/hyperlink" Id="rId27"/>
    <Relationship TargetMode="External" Target="https://www.legis.iowa.gov/docs/ico/chapter/422.36.pdf" Type="http://schemas.openxmlformats.org/officeDocument/2006/relationships/hyperlink" Id="rId28"/>
    <Relationship TargetMode="External" Target="https://www.legis.iowa.gov/docs/ico/chapter/422.24A.pdf" Type="http://schemas.openxmlformats.org/officeDocument/2006/relationships/hyperlink" Id="rId29"/>
    <Relationship TargetMode="External" Target="https://www.legis.iowa.gov/docs/iac/rule/701.301.2.pdf" Type="http://schemas.openxmlformats.org/officeDocument/2006/relationships/hyperlink" Id="rId30"/>
    <Relationship TargetMode="External" Target="https://www.legis.iowa.gov/docs/ico/chapter/422.21.pdf" Type="http://schemas.openxmlformats.org/officeDocument/2006/relationships/hyperlink" Id="rId31"/>
    <Relationship TargetMode="External" Target="https://www.legis.iowa.gov/docs/ico/chapter/422.24.pdf" Type="http://schemas.openxmlformats.org/officeDocument/2006/relationships/hyperlink" Id="rId32"/>
    <Relationship TargetMode="External" Target="https://www.legis.iowa.gov/docs/ico/chapter/422.32.pdf" Type="http://schemas.openxmlformats.org/officeDocument/2006/relationships/hyperlink" Id="rId33"/>
    <Relationship TargetMode="External" Target="https://www.legis.iowa.gov/docs/ico/chapter/422.32.pdf" Type="http://schemas.openxmlformats.org/officeDocument/2006/relationships/hyperlink" Id="rId34"/>
    <Relationship TargetMode="External" Target="https://www.legis.iowa.gov/docs/iac/rule/701.500.2.pdf" Type="http://schemas.openxmlformats.org/officeDocument/2006/relationships/hyperlink" Id="rId35"/>
    <Relationship TargetMode="External" Target="https://www.legis.iowa.gov/docs/iac/rule/701.504.3.pdf" Type="http://schemas.openxmlformats.org/officeDocument/2006/relationships/hyperlink" Id="rId36"/>
    <Relationship TargetMode="External" Target="https://www.legis.iowa.gov/docs/ico/chapter/422.21.pdf" Type="http://schemas.openxmlformats.org/officeDocument/2006/relationships/hyperlink" Id="rId37"/>
    <Relationship TargetMode="External" Target="https://www.legis.iowa.gov/docs/ico/chapter/422.36.pdf" Type="http://schemas.openxmlformats.org/officeDocument/2006/relationships/hyperlink" Id="rId38"/>
    <Relationship TargetMode="External" Target="https://www.legis.iowa.gov/docs/iac/chapter/701.505.pdf" Type="http://schemas.openxmlformats.org/officeDocument/2006/relationships/hyperlink" Id="rId39"/>
    <Relationship TargetMode="External" Target="https://www.legis.iowa.gov/docs/iac/rule/701.10.6.pdf" Type="http://schemas.openxmlformats.org/officeDocument/2006/relationships/hyperlink" Id="rId40"/>
    <Relationship TargetMode="External" Target="https://www.legis.iowa.gov/docs/iac/rule/701.10.7.pdf" Type="http://schemas.openxmlformats.org/officeDocument/2006/relationships/hyperlink" Id="rId41"/>
    <Relationship TargetMode="External" Target="https://www.legis.iowa.gov/docs/iac/rule/701.10.2.pdf" Type="http://schemas.openxmlformats.org/officeDocument/2006/relationships/hyperlink" Id="rId42"/>
    <Relationship TargetMode="External" Target="https://www.legis.iowa.gov/docs/ico/chapter/422.21.pdf" Type="http://schemas.openxmlformats.org/officeDocument/2006/relationships/hyperlink" Id="rId43"/>
    <Relationship TargetMode="External" Target="https://www.legis.iowa.gov/docs/ico/chapter/422.24.pdf" Type="http://schemas.openxmlformats.org/officeDocument/2006/relationships/hyperlink" Id="rId44"/>
    <Relationship TargetMode="External" Target="https://www.legis.iowa.gov/docs/ico/chapter/422.25.pdf" Type="http://schemas.openxmlformats.org/officeDocument/2006/relationships/hyperlink" Id="rId45"/>
    <Relationship TargetMode="External" Target="https://www.legis.iowa.gov/docs/ico/chapter/422.33.pdf" Type="http://schemas.openxmlformats.org/officeDocument/2006/relationships/hyperlink" Id="rId46"/>
    <Relationship TargetMode="External" Target="https://www.legis.iowa.gov/docs/ico/chapter/422.86.pdf" Type="http://schemas.openxmlformats.org/officeDocument/2006/relationships/hyperlink" Id="rId47"/>
    <Relationship TargetMode="External" Target="https://www.legis.iowa.gov/docs/ico/chapter/422.33.pdf" Type="http://schemas.openxmlformats.org/officeDocument/2006/relationships/hyperlink" Id="rId48"/>
    <Relationship TargetMode="External" Target="https://www.legis.iowa.gov/docs/ico/chapter/422.35.pdf" Type="http://schemas.openxmlformats.org/officeDocument/2006/relationships/hyperlink" Id="rId49"/>
    <Relationship TargetMode="External" Target="https://www.legis.iowa.gov/docs/iac/rule/701.502.2.pdf" Type="http://schemas.openxmlformats.org/officeDocument/2006/relationships/hyperlink" Id="rId50"/>
    <Relationship TargetMode="External" Target="https://www.legis.iowa.gov/docs/iac/rule/701.502.2.pdf" Type="http://schemas.openxmlformats.org/officeDocument/2006/relationships/hyperlink" Id="rId51"/>
    <Relationship TargetMode="External" Target="https://www.legis.iowa.gov/docs/ico/chapter/422.33.pdf" Type="http://schemas.openxmlformats.org/officeDocument/2006/relationships/hyperlink" Id="rId52"/>
    <Relationship TargetMode="External" Target="https://www.legis.iowa.gov/docs/ico/chapter/422.33.pdf" Type="http://schemas.openxmlformats.org/officeDocument/2006/relationships/hyperlink" Id="rId53"/>
    <Relationship TargetMode="External" Target="https://www.legis.iowa.gov/docs/ico/chapter/422.33.pdf" Type="http://schemas.openxmlformats.org/officeDocument/2006/relationships/hyperlink" Id="rId54"/>
    <Relationship TargetMode="External" Target="https://www.legis.iowa.gov/docs/ico/chapter/422.33.pdf" Type="http://schemas.openxmlformats.org/officeDocument/2006/relationships/hyperlink" Id="rId55"/>
    <Relationship TargetMode="External" Target="https://www.legis.iowa.gov/docs/ico/chapter/452A.pdf" Type="http://schemas.openxmlformats.org/officeDocument/2006/relationships/hyperlink" Id="rId56"/>
    <Relationship TargetMode="External" Target="https://www.legis.iowa.gov/docs/ico/chapter/452A.pdf" Type="http://schemas.openxmlformats.org/officeDocument/2006/relationships/hyperlink" Id="rId57"/>
    <Relationship TargetMode="External" Target="https://www.legis.iowa.gov/docs/ico/chapter/422.110.pdf" Type="http://schemas.openxmlformats.org/officeDocument/2006/relationships/hyperlink" Id="rId58"/>
    <Relationship TargetMode="External" Target="https://www.legis.iowa.gov/docs/iac/rule/701.220.2.pdf" Type="http://schemas.openxmlformats.org/officeDocument/2006/relationships/hyperlink" Id="rId59"/>
    <Relationship TargetMode="External" Target="https://www.legis.iowa.gov/docs/ico/chapter/422.33.pdf" Type="http://schemas.openxmlformats.org/officeDocument/2006/relationships/hyperlink" Id="rId60"/>
    <Relationship TargetMode="External" Target="https://www.legis.iowa.gov/docs/ico/chapter/422.33.pdf" Type="http://schemas.openxmlformats.org/officeDocument/2006/relationships/hyperlink" Id="rId61"/>
    <Relationship TargetMode="External" Target="https://www.legis.iowa.gov/docs/ico/chapter/542.pdf" Type="http://schemas.openxmlformats.org/officeDocument/2006/relationships/hyperlink" Id="rId62"/>
    <Relationship TargetMode="External" Target="https://www.legis.iowa.gov/docs/ico/chapter/542.3.pdf" Type="http://schemas.openxmlformats.org/officeDocument/2006/relationships/hyperlink" Id="rId63"/>
    <Relationship TargetMode="External" Target="https://www.legis.iowa.gov/docs/ico/chapter/544A.pdf" Type="http://schemas.openxmlformats.org/officeDocument/2006/relationships/hyperlink" Id="rId64"/>
    <Relationship TargetMode="External" Target="https://www.legis.iowa.gov/docs/ico/chapter/537.7101-7103.pdf" Type="http://schemas.openxmlformats.org/officeDocument/2006/relationships/hyperlink" Id="rId65"/>
    <Relationship TargetMode="External" Target="https://www.legis.iowa.gov/docs/ico/chapter/524.pdf" Type="http://schemas.openxmlformats.org/officeDocument/2006/relationships/hyperlink" Id="rId66"/>
    <Relationship TargetMode="External" Target="https://www.legis.iowa.gov/docs/ico/chapter/533.pdf" Type="http://schemas.openxmlformats.org/officeDocument/2006/relationships/hyperlink" Id="rId67"/>
    <Relationship TargetMode="External" Target="https://www.legis.iowa.gov/docs/ico/chapter/533D.pdf" Type="http://schemas.openxmlformats.org/officeDocument/2006/relationships/hyperlink" Id="rId68"/>
    <Relationship TargetMode="External" Target="https://www.legis.iowa.gov/docs/ico/chapter/543B.pdf" Type="http://schemas.openxmlformats.org/officeDocument/2006/relationships/hyperlink" Id="rId69"/>
    <Relationship TargetMode="External" Target="https://www.legis.iowa.gov/docs/ico/chapter/543B.6.pdf" Type="http://schemas.openxmlformats.org/officeDocument/2006/relationships/hyperlink" Id="rId70"/>
    <Relationship TargetMode="External" Target="https://www.legis.iowa.gov/docs/ico/chapter/422.33.pdf" Type="http://schemas.openxmlformats.org/officeDocument/2006/relationships/hyperlink" Id="rId71"/>
    <Relationship TargetMode="External" Target="https://www.legis.iowa.gov/docs/ico/chapter/422.33.pdf" Type="http://schemas.openxmlformats.org/officeDocument/2006/relationships/hyperlink" Id="rId72"/>
    <Relationship TargetMode="External" Target="https://www.legis.iowa.gov/docs/ico/chapter/15.335.pdf" Type="http://schemas.openxmlformats.org/officeDocument/2006/relationships/hyperlink" Id="rId73"/>
    <Relationship TargetMode="External" Target="https://www.legis.iowa.gov/docs/ico/chapter/15.335.pdf" Type="http://schemas.openxmlformats.org/officeDocument/2006/relationships/hyperlink" Id="rId74"/>
    <Relationship TargetMode="External" Target="https://www.legis.iowa.gov/docs/ico/chapter/422.33.pdf" Type="http://schemas.openxmlformats.org/officeDocument/2006/relationships/hyperlink" Id="rId75"/>
    <Relationship TargetMode="External" Target="https://www.legis.iowa.gov/docs/ico/chapter/260E.pdf" Type="http://schemas.openxmlformats.org/officeDocument/2006/relationships/hyperlink" Id="rId76"/>
    <Relationship TargetMode="External" Target="https://www.legis.iowa.gov/docs/ico/chapter/260E.pdf" Type="http://schemas.openxmlformats.org/officeDocument/2006/relationships/hyperlink" Id="rId77"/>
    <Relationship TargetMode="External" Target="https://www.legis.iowa.gov/docs/ico/chapter/260E.pdf" Type="http://schemas.openxmlformats.org/officeDocument/2006/relationships/hyperlink" Id="rId78"/>
    <Relationship TargetMode="External" Target="https://www.legis.iowa.gov/docs/ico/chapter/260E.pdf" Type="http://schemas.openxmlformats.org/officeDocument/2006/relationships/hyperlink" Id="rId79"/>
    <Relationship TargetMode="External" Target="https://www.legis.iowa.gov/docs/ico/chapter/96.1.pdf" Type="http://schemas.openxmlformats.org/officeDocument/2006/relationships/hyperlink" Id="rId80"/>
    <Relationship TargetMode="External" Target="https://www.legis.iowa.gov/docs/ico/chapter/260E.pdf" Type="http://schemas.openxmlformats.org/officeDocument/2006/relationships/hyperlink" Id="rId81"/>
    <Relationship TargetMode="External" Target="https://www.legis.iowa.gov/docs/ico/chapter/260E.pdf" Type="http://schemas.openxmlformats.org/officeDocument/2006/relationships/hyperlink" Id="rId82"/>
    <Relationship TargetMode="External" Target="https://www.legis.iowa.gov/docs/ico/chapter/260E.pdf" Type="http://schemas.openxmlformats.org/officeDocument/2006/relationships/hyperlink" Id="rId83"/>
    <Relationship TargetMode="External" Target="https://www.legis.iowa.gov/docs/ico/chapter/260E.pdf" Type="http://schemas.openxmlformats.org/officeDocument/2006/relationships/hyperlink" Id="rId84"/>
    <Relationship TargetMode="External" Target="https://www.legis.iowa.gov/docs/ico/chapter/260E.pdf" Type="http://schemas.openxmlformats.org/officeDocument/2006/relationships/hyperlink" Id="rId85"/>
    <Relationship TargetMode="External" Target="https://www.legis.iowa.gov/docs/ico/chapter/422.33.pdf" Type="http://schemas.openxmlformats.org/officeDocument/2006/relationships/hyperlink" Id="rId86"/>
    <Relationship TargetMode="External" Target="https://www.legis.iowa.gov/docs/ico/chapter/422.91.pdf" Type="http://schemas.openxmlformats.org/officeDocument/2006/relationships/hyperlink" Id="rId87"/>
    <Relationship TargetMode="External" Target="https://www.legis.iowa.gov/docs/ico/chapter/422.110.pdf" Type="http://schemas.openxmlformats.org/officeDocument/2006/relationships/hyperlink" Id="rId88"/>
    <Relationship TargetMode="External" Target="https://www.legis.iowa.gov/docs/ico/chapter/422.33.pdf" Type="http://schemas.openxmlformats.org/officeDocument/2006/relationships/hyperlink" Id="rId89"/>
    <Relationship TargetMode="External" Target="https://www.legis.iowa.gov/docs/ico/chapter/15.333.pdf" Type="http://schemas.openxmlformats.org/officeDocument/2006/relationships/hyperlink" Id="rId90"/>
    <Relationship TargetMode="External" Target="https://www.legis.iowa.gov/docs/ico/chapter/15.335.pdf" Type="http://schemas.openxmlformats.org/officeDocument/2006/relationships/hyperlink" Id="rId91"/>
    <Relationship TargetMode="External" Target="https://www.legis.iowa.gov/docs/iac/rule/701.501.28.pdf" Type="http://schemas.openxmlformats.org/officeDocument/2006/relationships/hyperlink" Id="rId92"/>
    <Relationship TargetMode="External" Target="https://www.legis.iowa.gov/docs/ico/chapter/15.329.pdf" Type="http://schemas.openxmlformats.org/officeDocument/2006/relationships/hyperlink" Id="rId93"/>
    <Relationship TargetMode="External" Target="https://www.legis.iowa.gov/docs/ico/chapter/427A.1.pdf" Type="http://schemas.openxmlformats.org/officeDocument/2006/relationships/hyperlink" Id="rId94"/>
    <Relationship TargetMode="External" Target="https://www.legis.iowa.gov/docs/ico/chapter/15.332.pdf" Type="http://schemas.openxmlformats.org/officeDocument/2006/relationships/hyperlink" Id="rId95"/>
    <Relationship TargetMode="External" Target="https://www.legis.iowa.gov/docs/ico/chapter/15.332.pdf" Type="http://schemas.openxmlformats.org/officeDocument/2006/relationships/hyperlink" Id="rId96"/>
    <Relationship TargetMode="External" Target="https://www.legis.iowa.gov/docs/ico/chapter/15.333.pdf" Type="http://schemas.openxmlformats.org/officeDocument/2006/relationships/hyperlink" Id="rId97"/>
    <Relationship TargetMode="External" Target="https://www.legis.iowa.gov/docs/iac/rule/261.187.5.pdf" Type="http://schemas.openxmlformats.org/officeDocument/2006/relationships/hyperlink" Id="rId98"/>
    <Relationship TargetMode="External" Target="https://www.legis.iowa.gov/docs/ico/chapter/422.33.pdf" Type="http://schemas.openxmlformats.org/officeDocument/2006/relationships/hyperlink" Id="rId99"/>
    <Relationship TargetMode="External" Target="https://www.legis.iowa.gov/docs/iac/rule/701.501.7.pdf" Type="http://schemas.openxmlformats.org/officeDocument/2006/relationships/hyperlink" Id="rId100"/>
    <Relationship TargetMode="External" Target="https://www.legis.iowa.gov/docs/iac/rule/701.501.7.pdf" Type="http://schemas.openxmlformats.org/officeDocument/2006/relationships/hyperlink" Id="rId101"/>
    <Relationship TargetMode="External" Target="https://www.legis.iowa.gov/docs/iac/rule/701.501.7.pdf" Type="http://schemas.openxmlformats.org/officeDocument/2006/relationships/hyperlink" Id="rId102"/>
    <Relationship TargetMode="External" Target="https://www.legis.iowa.gov/docs/ico/chapter/422.33.pdf" Type="http://schemas.openxmlformats.org/officeDocument/2006/relationships/hyperlink" Id="rId103"/>
    <Relationship TargetMode="External" Target="https://www.legis.iowa.gov/docs/ico/chapter/15.331C.pdf" Type="http://schemas.openxmlformats.org/officeDocument/2006/relationships/hyperlink" Id="rId104"/>
    <Relationship TargetMode="External" Target="https://www.legis.iowa.gov/docs/ico/chapter/15.333.pdf" Type="http://schemas.openxmlformats.org/officeDocument/2006/relationships/hyperlink" Id="rId105"/>
    <Relationship TargetMode="External" Target="https://www.legis.iowa.gov/docs/ico/chapter/15.335.pdf" Type="http://schemas.openxmlformats.org/officeDocument/2006/relationships/hyperlink" Id="rId106"/>
    <Relationship TargetMode="External" Target="https://www.legis.iowa.gov/docs/ico/chapter/422.25.pdf" Type="http://schemas.openxmlformats.org/officeDocument/2006/relationships/hyperlink" Id="rId107"/>
    <Relationship TargetMode="External" Target="https://www.legis.iowa.gov/docs/ico/chapter/422.33.pdf" Type="http://schemas.openxmlformats.org/officeDocument/2006/relationships/hyperlink" Id="rId108"/>
    <Relationship TargetMode="External" Target="https://www.legis.iowa.gov/docs/ico/chapter/422.110.pdf" Type="http://schemas.openxmlformats.org/officeDocument/2006/relationships/hyperlink" Id="rId109"/>
    <Relationship TargetMode="External" Target="https://www.legis.iowa.gov/docs/ico/chapter/404A.2.pdf" Type="http://schemas.openxmlformats.org/officeDocument/2006/relationships/hyperlink" Id="rId110"/>
    <Relationship TargetMode="External" Target="https://www.legis.iowa.gov/docs/ico/chapter/404A.2.pdf" Type="http://schemas.openxmlformats.org/officeDocument/2006/relationships/hyperlink" Id="rId111"/>
    <Relationship TargetMode="External" Target="https://www.legis.iowa.gov/docs/iac/rule/701.501.12.pdf" Type="http://schemas.openxmlformats.org/officeDocument/2006/relationships/hyperlink" Id="rId112"/>
    <Relationship TargetMode="External" Target="https://www.legis.iowa.gov/docs/ico/chapter/422.33.pdf" Type="http://schemas.openxmlformats.org/officeDocument/2006/relationships/hyperlink" Id="rId113"/>
    <Relationship TargetMode="External" Target="https://www.legis.iowa.gov/docs/ico/chapter/422.91.pdf" Type="http://schemas.openxmlformats.org/officeDocument/2006/relationships/hyperlink" Id="rId114"/>
    <Relationship TargetMode="External" Target="https://www.legis.iowa.gov/docs/ico/chapter/422.110.pdf" Type="http://schemas.openxmlformats.org/officeDocument/2006/relationships/hyperlink" Id="rId115"/>
    <Relationship TargetMode="External" Target="https://www.legis.iowa.gov/docs/iac/rule/701.305.8.pdf" Type="http://schemas.openxmlformats.org/officeDocument/2006/relationships/hyperlink" Id="rId116"/>
    <Relationship TargetMode="External" Target="https://www.legis.iowa.gov/docs/ico/chapter/15E.193.pdf" Type="http://schemas.openxmlformats.org/officeDocument/2006/relationships/hyperlink" Id="rId117"/>
    <Relationship TargetMode="External" Target="https://www.legis.iowa.gov/docs/iac/chapter/261.59.pdf" Type="http://schemas.openxmlformats.org/officeDocument/2006/relationships/hyperlink" Id="rId118"/>
    <Relationship TargetMode="External" Target="https://www.legis.iowa.gov/docs/iac/rule/701.46.9.pdf" Type="http://schemas.openxmlformats.org/officeDocument/2006/relationships/hyperlink" Id="rId119"/>
    <Relationship TargetMode="External" Target="https://www.legis.iowa.gov/docs/iac/rule/701.501.10.pdf" Type="http://schemas.openxmlformats.org/officeDocument/2006/relationships/hyperlink" Id="rId120"/>
    <Relationship TargetMode="External" Target="https://www.legis.iowa.gov/docs/iac/rule/701.52.10.pdf" Type="http://schemas.openxmlformats.org/officeDocument/2006/relationships/hyperlink" Id="rId121"/>
    <Relationship TargetMode="External" Target="https://www.legis.iowa.gov/docs/iac/rule/701.501.28.pdf" Type="http://schemas.openxmlformats.org/officeDocument/2006/relationships/hyperlink" Id="rId122"/>
    <Relationship TargetMode="External" Target="https://www.legis.iowa.gov/docs/iac/rule/701.501.10.pdf" Type="http://schemas.openxmlformats.org/officeDocument/2006/relationships/hyperlink" Id="rId123"/>
    <Relationship TargetMode="External" Target="https://www.legis.iowa.gov/docs/iac/rule/701.501.7.pdf" Type="http://schemas.openxmlformats.org/officeDocument/2006/relationships/hyperlink" Id="rId124"/>
    <Relationship TargetMode="External" Target="https://www.legis.iowa.gov/docs/iac/rule/701.501.7.pdf" Type="http://schemas.openxmlformats.org/officeDocument/2006/relationships/hyperlink" Id="rId125"/>
    <Relationship TargetMode="External" Target="https://www.legis.iowa.gov/docs/iac/rule/701.501.28.pdf" Type="http://schemas.openxmlformats.org/officeDocument/2006/relationships/hyperlink" Id="rId126"/>
    <Relationship TargetMode="External" Target="https://www.legis.iowa.gov/docs/iac/rule/701.501.7.pdf" Type="http://schemas.openxmlformats.org/officeDocument/2006/relationships/hyperlink" Id="rId127"/>
    <Relationship TargetMode="External" Target="https://www.legis.iowa.gov/docs/iac/rule/701.501.28.pdf" Type="http://schemas.openxmlformats.org/officeDocument/2006/relationships/hyperlink" Id="rId128"/>
    <Relationship TargetMode="External" Target="https://www.legis.iowa.gov/docs/iac/rule/701.501.7.pdf" Type="http://schemas.openxmlformats.org/officeDocument/2006/relationships/hyperlink" Id="rId129"/>
    <Relationship TargetMode="External" Target="https://www.legis.iowa.gov/docs/iac/rule/701.501.28.pdf" Type="http://schemas.openxmlformats.org/officeDocument/2006/relationships/hyperlink" Id="rId130"/>
    <Relationship TargetMode="External" Target="https://www.legis.iowa.gov/docs/iac/rule/701.501.7.pdf" Type="http://schemas.openxmlformats.org/officeDocument/2006/relationships/hyperlink" Id="rId131"/>
    <Relationship TargetMode="External" Target="https://www.legis.iowa.gov/docs/iac/rule/701.501.40.pdf" Type="http://schemas.openxmlformats.org/officeDocument/2006/relationships/hyperlink" Id="rId132"/>
    <Relationship TargetMode="External" Target="https://www.legis.iowa.gov/docs/iac/rule/701.501.7.pdf" Type="http://schemas.openxmlformats.org/officeDocument/2006/relationships/hyperlink" Id="rId133"/>
    <Relationship TargetMode="External" Target="https://www.legis.iowa.gov/docs/iac/rule/261.187.5.pdf" Type="http://schemas.openxmlformats.org/officeDocument/2006/relationships/hyperlink" Id="rId134"/>
    <Relationship TargetMode="External" Target="https://www.legis.iowa.gov/docs/ico/chapter/15E.193.pdf" Type="http://schemas.openxmlformats.org/officeDocument/2006/relationships/hyperlink" Id="rId135"/>
    <Relationship TargetMode="External" Target="https://www.legis.iowa.gov/docs/ico/chapter/15E.196.pdf" Type="http://schemas.openxmlformats.org/officeDocument/2006/relationships/hyperlink" Id="rId136"/>
    <Relationship TargetMode="External" Target="https://www.legis.iowa.gov/docs/iac/rule/701.501.46.pdf" Type="http://schemas.openxmlformats.org/officeDocument/2006/relationships/hyperlink" Id="rId137"/>
    <Relationship TargetMode="External" Target="https://www.legis.iowa.gov/docs/ico/chapter/15E.193B.pdf" Type="http://schemas.openxmlformats.org/officeDocument/2006/relationships/hyperlink" Id="rId138"/>
    <Relationship TargetMode="External" Target="https://www.legis.iowa.gov/docs/ico/chapter/15E.193B.pdf" Type="http://schemas.openxmlformats.org/officeDocument/2006/relationships/hyperlink" Id="rId139"/>
    <Relationship TargetMode="External" Target="https://www.legis.iowa.gov/docs/ico/chapter/15E.193B.pdf" Type="http://schemas.openxmlformats.org/officeDocument/2006/relationships/hyperlink" Id="rId140"/>
    <Relationship TargetMode="External" Target="https://www.legis.iowa.gov/docs/iac/rule/261.187.5.pdf" Type="http://schemas.openxmlformats.org/officeDocument/2006/relationships/hyperlink" Id="rId141"/>
    <Relationship TargetMode="External" Target="https://www.legis.iowa.gov/docs/iac/rule/701.501.15.pdf" Type="http://schemas.openxmlformats.org/officeDocument/2006/relationships/hyperlink" Id="rId142"/>
    <Relationship TargetMode="External" Target="https://www.legis.iowa.gov/docs/iac/chapter/261.59.pdf" Type="http://schemas.openxmlformats.org/officeDocument/2006/relationships/hyperlink" Id="rId143"/>
    <Relationship TargetMode="External" Target="https://www.legis.iowa.gov/docs/ico/chapter/15.291.pdf" Type="http://schemas.openxmlformats.org/officeDocument/2006/relationships/hyperlink" Id="rId144"/>
    <Relationship TargetMode="External" Target="https://www.legis.iowa.gov/docs/ico/chapter/403.17.pdf" Type="http://schemas.openxmlformats.org/officeDocument/2006/relationships/hyperlink" Id="rId145"/>
    <Relationship TargetMode="External" Target="https://www.legis.iowa.gov/docs/ico/chapter/15E.193B.pdf" Type="http://schemas.openxmlformats.org/officeDocument/2006/relationships/hyperlink" Id="rId146"/>
    <Relationship TargetMode="External" Target="https://www.legis.iowa.gov/docs/ico/chapter/422.33.pdf" Type="http://schemas.openxmlformats.org/officeDocument/2006/relationships/hyperlink" Id="rId147"/>
    <Relationship TargetMode="External" Target="https://www.legis.iowa.gov/docs/ico/chapter/422.33.pdf" Type="http://schemas.openxmlformats.org/officeDocument/2006/relationships/hyperlink" Id="rId148"/>
    <Relationship TargetMode="External" Target="https://www.legis.iowa.gov/docs/ico/chapter/422.33.pdf" Type="http://schemas.openxmlformats.org/officeDocument/2006/relationships/hyperlink" Id="rId149"/>
    <Relationship TargetMode="External" Target="https://www.legis.iowa.gov/docs/ico/chapter/422.33.pdf" Type="http://schemas.openxmlformats.org/officeDocument/2006/relationships/hyperlink" Id="rId150"/>
    <Relationship TargetMode="External" Target="https://www.legis.iowa.gov/docs/iac/rule/701.602.33.pdf" Type="http://schemas.openxmlformats.org/officeDocument/2006/relationships/hyperlink" Id="rId151"/>
    <Relationship TargetMode="External" Target="https://www.legis.iowa.gov/docs/iac/rule/701.304.16.pdf" Type="http://schemas.openxmlformats.org/officeDocument/2006/relationships/hyperlink" Id="rId152"/>
    <Relationship TargetMode="External" Target="https://www.legis.iowa.gov/docs/iac/rule/701.602.33.pdf" Type="http://schemas.openxmlformats.org/officeDocument/2006/relationships/hyperlink" Id="rId153"/>
    <Relationship TargetMode="External" Target="https://www.legis.iowa.gov/docs/ico/chapter/422.33.pdf" Type="http://schemas.openxmlformats.org/officeDocument/2006/relationships/hyperlink" Id="rId154"/>
    <Relationship TargetMode="External" Target="https://www.legis.iowa.gov/docs/ico/chapter/15.102.pdf" Type="http://schemas.openxmlformats.org/officeDocument/2006/relationships/hyperlink" Id="rId155"/>
    <Relationship TargetMode="External" Target="https://www.legis.iowa.gov/docs/ico/chapter/422.33.pdf" Type="http://schemas.openxmlformats.org/officeDocument/2006/relationships/hyperlink" Id="rId156"/>
    <Relationship TargetMode="External" Target="https://www.legis.iowa.gov/docs/ico/chapter/404A.pdf" Type="http://schemas.openxmlformats.org/officeDocument/2006/relationships/hyperlink" Id="rId157"/>
    <Relationship TargetMode="External" Target="https://www.legis.iowa.gov/docs/iac/rule/701.501.47.pdf" Type="http://schemas.openxmlformats.org/officeDocument/2006/relationships/hyperlink" Id="rId158"/>
    <Relationship TargetMode="External" Target="https://www.legis.iowa.gov/docs/iac/chapter/223.48.pdf" Type="http://schemas.openxmlformats.org/officeDocument/2006/relationships/hyperlink" Id="rId159"/>
    <Relationship TargetMode="External" Target="https://www.legis.iowa.gov/docs/iac/chapter/223.48.pdf" Type="http://schemas.openxmlformats.org/officeDocument/2006/relationships/hyperlink" Id="rId160"/>
    <Relationship TargetMode="External" Target="https://www.legis.iowa.gov/docs/iac/chapter/223.48.pdf" Type="http://schemas.openxmlformats.org/officeDocument/2006/relationships/hyperlink" Id="rId161"/>
    <Relationship TargetMode="External" Target="https://www.legis.iowa.gov/docs/ico/chapter/404A.pdf" Type="http://schemas.openxmlformats.org/officeDocument/2006/relationships/hyperlink" Id="rId162"/>
    <Relationship TargetMode="External" Target="https://www.legis.iowa.gov/docs/ico/chapter/404A.pdf" Type="http://schemas.openxmlformats.org/officeDocument/2006/relationships/hyperlink" Id="rId163"/>
    <Relationship TargetMode="External" Target="https://www.legis.iowa.gov/docs/iac/chapter/223.48.pdf" Type="http://schemas.openxmlformats.org/officeDocument/2006/relationships/hyperlink" Id="rId164"/>
    <Relationship TargetMode="External" Target="https://www.legis.iowa.gov/docs/iac/rule/701.501.18.pdf" Type="http://schemas.openxmlformats.org/officeDocument/2006/relationships/hyperlink" Id="rId165"/>
    <Relationship TargetMode="External" Target="https://www.legis.iowa.gov/docs/iac/chapter/223.48.pdf" Type="http://schemas.openxmlformats.org/officeDocument/2006/relationships/hyperlink" Id="rId166"/>
    <Relationship TargetMode="External" Target="https://www.legis.iowa.gov/docs/iac/rule/701.501.47.pdf" Type="http://schemas.openxmlformats.org/officeDocument/2006/relationships/hyperlink" Id="rId167"/>
    <Relationship TargetMode="External" Target="https://www.legis.iowa.gov/docs/iac/rule/701.501.18.pdf" Type="http://schemas.openxmlformats.org/officeDocument/2006/relationships/hyperlink" Id="rId168"/>
    <Relationship TargetMode="External" Target="https://www.legis.iowa.gov/docs/ico/chapter/404A.pdf" Type="http://schemas.openxmlformats.org/officeDocument/2006/relationships/hyperlink" Id="rId169"/>
    <Relationship TargetMode="External" Target="https://www.legis.iowa.gov/docs/ico/chapter/422.33.pdf" Type="http://schemas.openxmlformats.org/officeDocument/2006/relationships/hyperlink" Id="rId170"/>
    <Relationship TargetMode="External" Target="https://www.legis.iowa.gov/docs/iac/rule/701.504.3.pdf" Type="http://schemas.openxmlformats.org/officeDocument/2006/relationships/hyperlink" Id="rId171"/>
    <Relationship TargetMode="External" Target="https://www.legis.iowa.gov/docs/iac/rule/701.501.30.pdf" Type="http://schemas.openxmlformats.org/officeDocument/2006/relationships/hyperlink" Id="rId172"/>
    <Relationship TargetMode="External" Target="https://www.legis.iowa.gov/docs/ico/chapter/214A.1.pdf" Type="http://schemas.openxmlformats.org/officeDocument/2006/relationships/hyperlink" Id="rId173"/>
    <Relationship TargetMode="External" Target="https://www.legis.iowa.gov/docs/ico/chapter/214A.2.pdf" Type="http://schemas.openxmlformats.org/officeDocument/2006/relationships/hyperlink" Id="rId174"/>
    <Relationship TargetMode="External" Target="https://www.legis.iowa.gov/docs/iac/rule/701.501.36.pdf" Type="http://schemas.openxmlformats.org/officeDocument/2006/relationships/hyperlink" Id="rId175"/>
    <Relationship TargetMode="External" Target="https://www.legis.iowa.gov/docs/ico/chapter/422.33.pdf" Type="http://schemas.openxmlformats.org/officeDocument/2006/relationships/hyperlink" Id="rId176"/>
    <Relationship TargetMode="External" Target="https://www.legis.iowa.gov/docs/ico/chapter/15E.193C.pdf" Type="http://schemas.openxmlformats.org/officeDocument/2006/relationships/hyperlink" Id="rId177"/>
    <Relationship TargetMode="External" Target="https://www.legis.iowa.gov/docs/ico/chapter/15E.193C.pdf" Type="http://schemas.openxmlformats.org/officeDocument/2006/relationships/hyperlink" Id="rId178"/>
    <Relationship TargetMode="External" Target="https://www.legis.iowa.gov/docs/iac/rule/123.2.1.pdf" Type="http://schemas.openxmlformats.org/officeDocument/2006/relationships/hyperlink" Id="rId179"/>
    <Relationship TargetMode="External" Target="https://www.legis.iowa.gov/docs/iac/chapter/261.115.pdf" Type="http://schemas.openxmlformats.org/officeDocument/2006/relationships/hyperlink" Id="rId180"/>
    <Relationship TargetMode="External" Target="https://www.legis.iowa.gov/docs/iac/chapter/261.115.pdf" Type="http://schemas.openxmlformats.org/officeDocument/2006/relationships/hyperlink" Id="rId181"/>
    <Relationship TargetMode="External" Target="https://www.legis.iowa.gov/docs/iac/rule/701.304.22.pdf" Type="http://schemas.openxmlformats.org/officeDocument/2006/relationships/hyperlink" Id="rId182"/>
    <Relationship TargetMode="External" Target="https://www.legis.iowa.gov/docs/ico/chapter/422.pdf" Type="http://schemas.openxmlformats.org/officeDocument/2006/relationships/hyperlink" Id="rId183"/>
    <Relationship TargetMode="External" Target="https://www.legis.iowa.gov/docs/iac/rule/123.3.1.pdf" Type="http://schemas.openxmlformats.org/officeDocument/2006/relationships/hyperlink" Id="rId184"/>
    <Relationship TargetMode="External" Target="https://www.legis.iowa.gov/docs/iac/rule/123.4.1.pdf" Type="http://schemas.openxmlformats.org/officeDocument/2006/relationships/hyperlink" Id="rId185"/>
    <Relationship TargetMode="External" Target="https://www.legis.iowa.gov/docs/iac/chapter/261.116.pdf" Type="http://schemas.openxmlformats.org/officeDocument/2006/relationships/hyperlink" Id="rId186"/>
    <Relationship TargetMode="External" Target="https://www.legis.iowa.gov/docs/ico/chapter/15E.42.pdf" Type="http://schemas.openxmlformats.org/officeDocument/2006/relationships/hyperlink" Id="rId187"/>
    <Relationship TargetMode="External" Target="https://www.legis.iowa.gov/docs/ico/chapter/15E.52.pdf" Type="http://schemas.openxmlformats.org/officeDocument/2006/relationships/hyperlink" Id="rId188"/>
    <Relationship TargetMode="External" Target="https://www.legis.iowa.gov/docs/ico/chapter/15E.66.pdf" Type="http://schemas.openxmlformats.org/officeDocument/2006/relationships/hyperlink" Id="rId189"/>
    <Relationship TargetMode="External" Target="https://www.legis.iowa.gov/docs/ico/chapter/422.33.pdf" Type="http://schemas.openxmlformats.org/officeDocument/2006/relationships/hyperlink" Id="rId190"/>
    <Relationship TargetMode="External" Target="https://www.legis.iowa.gov/docs/ico/chapter/15E.43.pdf" Type="http://schemas.openxmlformats.org/officeDocument/2006/relationships/hyperlink" Id="rId191"/>
    <Relationship TargetMode="External" Target="https://www.legis.iowa.gov/docs/iac/rule/701.501.28.pdf" Type="http://schemas.openxmlformats.org/officeDocument/2006/relationships/hyperlink" Id="rId192"/>
    <Relationship TargetMode="External" Target="https://www.legis.iowa.gov/docs/iac/rule/701.501.7.pdf" Type="http://schemas.openxmlformats.org/officeDocument/2006/relationships/hyperlink" Id="rId193"/>
    <Relationship TargetMode="External" Target="https://www.legis.iowa.gov/docs/iac/rule/701.501.7.pdf" Type="http://schemas.openxmlformats.org/officeDocument/2006/relationships/hyperlink" Id="rId194"/>
    <Relationship TargetMode="External" Target="https://www.legis.iowa.gov/docs/ico/chapter/427A.1.pdf" Type="http://schemas.openxmlformats.org/officeDocument/2006/relationships/hyperlink" Id="rId195"/>
    <Relationship TargetMode="External" Target="https://www.legis.iowa.gov/docs/ico/chapter/501.pdf" Type="http://schemas.openxmlformats.org/officeDocument/2006/relationships/hyperlink" Id="rId196"/>
    <Relationship TargetMode="External" Target="https://www.legis.iowa.gov/docs/ico/chapter/501.pdf" Type="http://schemas.openxmlformats.org/officeDocument/2006/relationships/hyperlink" Id="rId197"/>
    <Relationship TargetMode="External" Target="https://www.legis.iowa.gov/docs/iac/rule/701.501.10.pdf" Type="http://schemas.openxmlformats.org/officeDocument/2006/relationships/hyperlink" Id="rId198"/>
    <Relationship TargetMode="External" Target="https://www.legis.iowa.gov/docs/iac/rule/701.501.10.pdf" Type="http://schemas.openxmlformats.org/officeDocument/2006/relationships/hyperlink" Id="rId199"/>
    <Relationship TargetMode="External" Target="https://www.legis.iowa.gov/docs/iac/rule/261.187.5.pdf" Type="http://schemas.openxmlformats.org/officeDocument/2006/relationships/hyperlink" Id="rId200"/>
    <Relationship TargetMode="External" Target="https://www.legis.iowa.gov/docs/ico/chapter/15.331C.pdf" Type="http://schemas.openxmlformats.org/officeDocument/2006/relationships/hyperlink" Id="rId201"/>
    <Relationship TargetMode="External" Target="https://www.legis.iowa.gov/docs/ico/chapter/15.333.pdf" Type="http://schemas.openxmlformats.org/officeDocument/2006/relationships/hyperlink" Id="rId202"/>
    <Relationship TargetMode="External" Target="https://www.legis.iowa.gov/docs/ico/chapter/15.381-387.pdf" Type="http://schemas.openxmlformats.org/officeDocument/2006/relationships/hyperlink" Id="rId203"/>
    <Relationship TargetMode="External" Target="https://www.legis.iowa.gov/docs/iac/chapter/261.47.pdf" Type="http://schemas.openxmlformats.org/officeDocument/2006/relationships/hyperlink" Id="rId204"/>
    <Relationship TargetMode="External" Target="https://www.legis.iowa.gov/docs/ico/chapter/99F.11.pdf" Type="http://schemas.openxmlformats.org/officeDocument/2006/relationships/hyperlink" Id="rId205"/>
    <Relationship TargetMode="External" Target="https://www.legis.iowa.gov/docs/ico/chapter/99F.11.pdf" Type="http://schemas.openxmlformats.org/officeDocument/2006/relationships/hyperlink" Id="rId206"/>
    <Relationship TargetMode="External" Target="https://www.legis.iowa.gov/docs/ico/chapter/99F.11.pdf" Type="http://schemas.openxmlformats.org/officeDocument/2006/relationships/hyperlink" Id="rId207"/>
    <Relationship TargetMode="External" Target="https://www.legis.iowa.gov/docs/ico/chapter/15E.305.pdf" Type="http://schemas.openxmlformats.org/officeDocument/2006/relationships/hyperlink" Id="rId208"/>
    <Relationship TargetMode="External" Target="https://www.legis.iowa.gov/docs/ico/chapter/422.33.pdf" Type="http://schemas.openxmlformats.org/officeDocument/2006/relationships/hyperlink" Id="rId209"/>
    <Relationship TargetMode="External" Target="https://www.legis.iowa.gov/docs/ico/chapter/428.20.pdf" Type="http://schemas.openxmlformats.org/officeDocument/2006/relationships/hyperlink" Id="rId210"/>
    <Relationship TargetMode="External" Target="https://www.legis.iowa.gov/docs/ico/chapter/422.33.pdf" Type="http://schemas.openxmlformats.org/officeDocument/2006/relationships/hyperlink" Id="rId211"/>
    <Relationship TargetMode="External" Target="https://www.legis.iowa.gov/docs/ico/chapter/15G.108.pdf" Type="http://schemas.openxmlformats.org/officeDocument/2006/relationships/hyperlink" Id="rId212"/>
    <Relationship TargetMode="External" Target="https://www.legis.iowa.gov/docs/iac/rule/701.501.25.pdf" Type="http://schemas.openxmlformats.org/officeDocument/2006/relationships/hyperlink" Id="rId213"/>
    <Relationship TargetMode="External" Target="https://www.legis.iowa.gov/docs/iac/rule/261.68.3.pdf" Type="http://schemas.openxmlformats.org/officeDocument/2006/relationships/hyperlink" Id="rId214"/>
    <Relationship TargetMode="External" Target="https://www.legis.iowa.gov/docs/ico/chapter/15.pdf" Type="http://schemas.openxmlformats.org/officeDocument/2006/relationships/hyperlink" Id="rId215"/>
    <Relationship TargetMode="External" Target="https://www.legis.iowa.gov/docs/iac/rule/701.501.25.pdf" Type="http://schemas.openxmlformats.org/officeDocument/2006/relationships/hyperlink" Id="rId216"/>
    <Relationship TargetMode="External" Target="https://www.legis.iowa.gov/docs/ico/chapter/15I.pdf" Type="http://schemas.openxmlformats.org/officeDocument/2006/relationships/hyperlink" Id="rId217"/>
    <Relationship TargetMode="External" Target="https://www.legis.iowa.gov/docs/ico/chapter/422.33.pdf" Type="http://schemas.openxmlformats.org/officeDocument/2006/relationships/hyperlink" Id="rId218"/>
    <Relationship TargetMode="External" Target="https://www.legis.iowa.gov/docs/iac/rule/199.15.18.pdf" Type="http://schemas.openxmlformats.org/officeDocument/2006/relationships/hyperlink" Id="rId219"/>
    <Relationship TargetMode="External" Target="https://www.legis.iowa.gov/docs/ico/chapter/249J.3.pdf" Type="http://schemas.openxmlformats.org/officeDocument/2006/relationships/hyperlink" Id="rId220"/>
    <Relationship TargetMode="External" Target="https://www.legis.iowa.gov/docs/iac/rule/199.15.20.pdf" Type="http://schemas.openxmlformats.org/officeDocument/2006/relationships/hyperlink" Id="rId221"/>
    <Relationship TargetMode="External" Target="https://www.legis.iowa.gov/docs/iac/rule/701.501.26.pdf" Type="http://schemas.openxmlformats.org/officeDocument/2006/relationships/hyperlink" Id="rId222"/>
    <Relationship TargetMode="External" Target="https://www.legis.iowa.gov/docs/iac/rule/701.7.9.pdf" Type="http://schemas.openxmlformats.org/officeDocument/2006/relationships/hyperlink" Id="rId223"/>
    <Relationship TargetMode="External" Target="https://www.legis.iowa.gov/docs/iac/rule/701.501.26.pdf" Type="http://schemas.openxmlformats.org/officeDocument/2006/relationships/hyperlink" Id="rId224"/>
    <Relationship TargetMode="External" Target="https://www.legis.iowa.gov/docs/ico/chapter/422.33.pdf" Type="http://schemas.openxmlformats.org/officeDocument/2006/relationships/hyperlink" Id="rId225"/>
    <Relationship TargetMode="External" Target="https://www.legis.iowa.gov/docs/ico/chapter/476B.pdf" Type="http://schemas.openxmlformats.org/officeDocument/2006/relationships/hyperlink" Id="rId226"/>
    <Relationship TargetMode="External" Target="https://www.legis.iowa.gov/docs/iac/rule/199.15.19.pdf" Type="http://schemas.openxmlformats.org/officeDocument/2006/relationships/hyperlink" Id="rId227"/>
    <Relationship TargetMode="External" Target="https://www.legis.iowa.gov/docs/ico/chapter/476C.1.pdf" Type="http://schemas.openxmlformats.org/officeDocument/2006/relationships/hyperlink" Id="rId228"/>
    <Relationship TargetMode="External" Target="https://www.legis.iowa.gov/docs/ico/chapter/476C.3.pdf" Type="http://schemas.openxmlformats.org/officeDocument/2006/relationships/hyperlink" Id="rId229"/>
    <Relationship TargetMode="External" Target="https://www.legis.iowa.gov/docs/iac/rule/199.15.21.pdf" Type="http://schemas.openxmlformats.org/officeDocument/2006/relationships/hyperlink" Id="rId230"/>
    <Relationship TargetMode="External" Target="https://www.legis.iowa.gov/docs/iac/rule/701.501.27.pdf" Type="http://schemas.openxmlformats.org/officeDocument/2006/relationships/hyperlink" Id="rId231"/>
    <Relationship TargetMode="External" Target="https://www.legis.iowa.gov/docs/iac/rule/701.501.27.pdf" Type="http://schemas.openxmlformats.org/officeDocument/2006/relationships/hyperlink" Id="rId232"/>
    <Relationship TargetMode="External" Target="https://www.legis.iowa.gov/docs/iac/rule/701.501.27.pdf" Type="http://schemas.openxmlformats.org/officeDocument/2006/relationships/hyperlink" Id="rId233"/>
    <Relationship TargetMode="External" Target="https://www.legis.iowa.gov/docs/ico/chapter/476C.pdf" Type="http://schemas.openxmlformats.org/officeDocument/2006/relationships/hyperlink" Id="rId234"/>
    <Relationship TargetMode="External" Target="https://www.legis.iowa.gov/docs/ico/chapter/476C.3.pdf" Type="http://schemas.openxmlformats.org/officeDocument/2006/relationships/hyperlink" Id="rId235"/>
    <Relationship TargetMode="External" Target="https://www.legis.iowa.gov/docs/iac/rule/701.501.27.pdf" Type="http://schemas.openxmlformats.org/officeDocument/2006/relationships/hyperlink" Id="rId236"/>
    <Relationship TargetMode="External" Target="https://www.legis.iowa.gov/docs/ico/chapter/476B.pdf" Type="http://schemas.openxmlformats.org/officeDocument/2006/relationships/hyperlink" Id="rId237"/>
    <Relationship TargetMode="External" Target="https://www.legis.iowa.gov/docs/ico/chapter/476B.pdf" Type="http://schemas.openxmlformats.org/officeDocument/2006/relationships/hyperlink" Id="rId238"/>
    <Relationship TargetMode="External" Target="https://www.legis.iowa.gov/docs/iac/rule/199.15.22.pdf" Type="http://schemas.openxmlformats.org/officeDocument/2006/relationships/hyperlink" Id="rId239"/>
    <Relationship TargetMode="External" Target="https://www.legis.iowa.gov/docs/iac/rule/701.7.9.pdf" Type="http://schemas.openxmlformats.org/officeDocument/2006/relationships/hyperlink" Id="rId240"/>
    <Relationship TargetMode="External" Target="https://www.legis.iowa.gov/docs/ico/chapter/422.33.pdf" Type="http://schemas.openxmlformats.org/officeDocument/2006/relationships/hyperlink" Id="rId241"/>
    <Relationship TargetMode="External" Target="https://www.legis.iowa.gov/docs/ico/chapter/476C.pdf" Type="http://schemas.openxmlformats.org/officeDocument/2006/relationships/hyperlink" Id="rId242"/>
    <Relationship TargetMode="External" Target="https://www.legis.iowa.gov/docs/ico/chapter/15.329.pdf" Type="http://schemas.openxmlformats.org/officeDocument/2006/relationships/hyperlink" Id="rId243"/>
    <Relationship TargetMode="External" Target="https://www.legis.iowa.gov/docs/iac/chapter/261.68.pdf" Type="http://schemas.openxmlformats.org/officeDocument/2006/relationships/hyperlink" Id="rId244"/>
    <Relationship TargetMode="External" Target="https://www.legis.iowa.gov/docs/iac/rule/701.501.40.pdf" Type="http://schemas.openxmlformats.org/officeDocument/2006/relationships/hyperlink" Id="rId245"/>
    <Relationship TargetMode="External" Target="https://www.legis.iowa.gov/docs/iac/rule/701.501.7.pdf" Type="http://schemas.openxmlformats.org/officeDocument/2006/relationships/hyperlink" Id="rId246"/>
    <Relationship TargetMode="External" Target="https://www.legis.iowa.gov/docs/iac/rule/701.501.7.pdf" Type="http://schemas.openxmlformats.org/officeDocument/2006/relationships/hyperlink" Id="rId247"/>
    <Relationship TargetMode="External" Target="https://www.legis.iowa.gov/docs/iac/rule/261.68.4.pdf" Type="http://schemas.openxmlformats.org/officeDocument/2006/relationships/hyperlink" Id="rId248"/>
    <Relationship TargetMode="External" Target="https://www.legis.iowa.gov/docs/iac/rule/261.68.4.pdf" Type="http://schemas.openxmlformats.org/officeDocument/2006/relationships/hyperlink" Id="rId249"/>
    <Relationship TargetMode="External" Target="https://www.legis.iowa.gov/docs/ico/chapter/427A.1.pdf" Type="http://schemas.openxmlformats.org/officeDocument/2006/relationships/hyperlink" Id="rId250"/>
    <Relationship TargetMode="External" Target="https://www.legis.iowa.gov/docs/ico/chapter/501.pdf" Type="http://schemas.openxmlformats.org/officeDocument/2006/relationships/hyperlink" Id="rId251"/>
    <Relationship TargetMode="External" Target="https://www.legis.iowa.gov/docs/ico/chapter/501.pdf" Type="http://schemas.openxmlformats.org/officeDocument/2006/relationships/hyperlink" Id="rId252"/>
    <Relationship TargetMode="External" Target="https://www.legis.iowa.gov/docs/iac/rule/701.501.14.pdf" Type="http://schemas.openxmlformats.org/officeDocument/2006/relationships/hyperlink" Id="rId253"/>
    <Relationship TargetMode="External" Target="https://www.legis.iowa.gov/docs/iac/rule/701.501.10.pdf" Type="http://schemas.openxmlformats.org/officeDocument/2006/relationships/hyperlink" Id="rId254"/>
    <Relationship TargetMode="External" Target="https://www.legis.iowa.gov/docs/iac/rule/261.187.5.pdf" Type="http://schemas.openxmlformats.org/officeDocument/2006/relationships/hyperlink" Id="rId255"/>
    <Relationship TargetMode="External" Target="https://www.legis.iowa.gov/docs/iac/rule/261.68.4.pdf" Type="http://schemas.openxmlformats.org/officeDocument/2006/relationships/hyperlink" Id="rId256"/>
    <Relationship TargetMode="External" Target="https://www.legis.iowa.gov/docs/iac/rule/261.68.4.pdf" Type="http://schemas.openxmlformats.org/officeDocument/2006/relationships/hyperlink" Id="rId257"/>
    <Relationship TargetMode="External" Target="https://www.legis.iowa.gov/docs/iac/rule/701.501.25.pdf" Type="http://schemas.openxmlformats.org/officeDocument/2006/relationships/hyperlink" Id="rId258"/>
    <Relationship TargetMode="External" Target="https://www.legis.iowa.gov/docs/ico/chapter/15.pdf" Type="http://schemas.openxmlformats.org/officeDocument/2006/relationships/hyperlink" Id="rId259"/>
    <Relationship TargetMode="External" Target="https://www.legis.iowa.gov/docs/iac/chapter/261.32.pdf" Type="http://schemas.openxmlformats.org/officeDocument/2006/relationships/hyperlink" Id="rId260"/>
    <Relationship TargetMode="External" Target="https://www.legis.iowa.gov/docs/ico/chapter/15E.232.pdf" Type="http://schemas.openxmlformats.org/officeDocument/2006/relationships/hyperlink" Id="rId261"/>
    <Relationship TargetMode="External" Target="https://www.legis.iowa.gov/docs/ico/chapter/422.33.pdf" Type="http://schemas.openxmlformats.org/officeDocument/2006/relationships/hyperlink" Id="rId262"/>
    <Relationship TargetMode="External" Target="https://www.legis.iowa.gov/docs/ico/chapter/214A.2.pdf" Type="http://schemas.openxmlformats.org/officeDocument/2006/relationships/hyperlink" Id="rId263"/>
    <Relationship TargetMode="External" Target="https://www.legis.iowa.gov/docs/iac/rule/701.501.19.pdf" Type="http://schemas.openxmlformats.org/officeDocument/2006/relationships/hyperlink" Id="rId264"/>
    <Relationship TargetMode="External" Target="https://www.legis.iowa.gov/docs/iac/rule/701.501.36.pdf" Type="http://schemas.openxmlformats.org/officeDocument/2006/relationships/hyperlink" Id="rId265"/>
    <Relationship TargetMode="External" Target="https://www.legis.iowa.gov/docs/ico/chapter/422.33.pdf" Type="http://schemas.openxmlformats.org/officeDocument/2006/relationships/hyperlink" Id="rId266"/>
    <Relationship TargetMode="External" Target="https://www.legis.iowa.gov/docs/ico/chapter/214A.2.pdf" Type="http://schemas.openxmlformats.org/officeDocument/2006/relationships/hyperlink" Id="rId267"/>
    <Relationship TargetMode="External" Target="https://www.legis.iowa.gov/docs/iac/rule/701.501.31.pdf" Type="http://schemas.openxmlformats.org/officeDocument/2006/relationships/hyperlink" Id="rId268"/>
    <Relationship TargetMode="External" Target="https://www.legis.iowa.gov/docs/iac/rule/701.501.31.pdf" Type="http://schemas.openxmlformats.org/officeDocument/2006/relationships/hyperlink" Id="rId269"/>
    <Relationship TargetMode="External" Target="https://www.legis.iowa.gov/docs/iac/rule/701.501.31.pdf" Type="http://schemas.openxmlformats.org/officeDocument/2006/relationships/hyperlink" Id="rId270"/>
    <Relationship TargetMode="External" Target="https://www.legis.iowa.gov/docs/ico/chapter/422.33.pdf" Type="http://schemas.openxmlformats.org/officeDocument/2006/relationships/hyperlink" Id="rId271"/>
    <Relationship TargetMode="External" Target="https://www.legis.iowa.gov/docs/iac/rule/701.7.9.pdf" Type="http://schemas.openxmlformats.org/officeDocument/2006/relationships/hyperlink" Id="rId272"/>
    <Relationship TargetMode="External" Target="https://www.legis.iowa.gov/docs/ico/chapter/422.33.pdf" Type="http://schemas.openxmlformats.org/officeDocument/2006/relationships/hyperlink" Id="rId273"/>
    <Relationship TargetMode="External" Target="https://www.legis.iowa.gov/docs/iac/chapter/265.44.pdf" Type="http://schemas.openxmlformats.org/officeDocument/2006/relationships/hyperlink" Id="rId274"/>
    <Relationship TargetMode="External" Target="https://www.legis.iowa.gov/docs/ico/chapter/16.75.pdf" Type="http://schemas.openxmlformats.org/officeDocument/2006/relationships/hyperlink" Id="rId275"/>
    <Relationship TargetMode="External" Target="https://www.legis.iowa.gov/docs/iac/chapter/265.44.pdf" Type="http://schemas.openxmlformats.org/officeDocument/2006/relationships/hyperlink" Id="rId276"/>
    <Relationship TargetMode="External" Target="https://www.legis.iowa.gov/docs/ico/chapter/16.75.pdf" Type="http://schemas.openxmlformats.org/officeDocument/2006/relationships/hyperlink" Id="rId277"/>
    <Relationship TargetMode="External" Target="https://www.legis.iowa.gov/docs/ico/chapter/422.33.pdf" Type="http://schemas.openxmlformats.org/officeDocument/2006/relationships/hyperlink" Id="rId278"/>
    <Relationship TargetMode="External" Target="https://www.legis.iowa.gov/docs/iac/chapter/261.36.pdf" Type="http://schemas.openxmlformats.org/officeDocument/2006/relationships/hyperlink" Id="rId279"/>
    <Relationship TargetMode="External" Target="https://www.legis.iowa.gov/docs/iac/rule/261.36.7.pdf" Type="http://schemas.openxmlformats.org/officeDocument/2006/relationships/hyperlink" Id="rId280"/>
    <Relationship TargetMode="External" Target="https://www.legis.iowa.gov/docs/ico/chapter/422.33.pdf" Type="http://schemas.openxmlformats.org/officeDocument/2006/relationships/hyperlink" Id="rId281"/>
    <Relationship TargetMode="External" Target="https://www.legis.iowa.gov/docs/iac/chapter/261.36.pdf" Type="http://schemas.openxmlformats.org/officeDocument/2006/relationships/hyperlink" Id="rId282"/>
    <Relationship TargetMode="External" Target="https://www.legis.iowa.gov/docs/iac/rule/701.501.34.pdf" Type="http://schemas.openxmlformats.org/officeDocument/2006/relationships/hyperlink" Id="rId283"/>
    <Relationship TargetMode="External" Target="https://www.legis.iowa.gov/docs/iac/rule/701.501.34.pdf" Type="http://schemas.openxmlformats.org/officeDocument/2006/relationships/hyperlink" Id="rId284"/>
    <Relationship TargetMode="External" Target="https://www.legis.iowa.gov/docs/ico/chapter/422.33.pdf" Type="http://schemas.openxmlformats.org/officeDocument/2006/relationships/hyperlink" Id="rId285"/>
    <Relationship TargetMode="External" Target="https://www.legis.iowa.gov/docs/iac/rule/701.501.30.pdf" Type="http://schemas.openxmlformats.org/officeDocument/2006/relationships/hyperlink" Id="rId286"/>
    <Relationship TargetMode="External" Target="https://www.legis.iowa.gov/docs/iac/rule/701.501.43.pdf" Type="http://schemas.openxmlformats.org/officeDocument/2006/relationships/hyperlink" Id="rId287"/>
    <Relationship TargetMode="External" Target="https://www.legis.iowa.gov/docs/iac/rule/701.501.36.pdf" Type="http://schemas.openxmlformats.org/officeDocument/2006/relationships/hyperlink" Id="rId288"/>
    <Relationship TargetMode="External" Target="https://www.legis.iowa.gov/docs/iac/rule/701.501.36.pdf" Type="http://schemas.openxmlformats.org/officeDocument/2006/relationships/hyperlink" Id="rId289"/>
    <Relationship TargetMode="External" Target="https://www.legis.iowa.gov/docs/ico/chapter/422.33.pdf" Type="http://schemas.openxmlformats.org/officeDocument/2006/relationships/hyperlink" Id="rId290"/>
    <Relationship TargetMode="External" Target="https://www.legis.iowa.gov/docs/ico/chapter/422.33.pdf" Type="http://schemas.openxmlformats.org/officeDocument/2006/relationships/hyperlink" Id="rId291"/>
    <Relationship TargetMode="External" Target="https://www.legis.iowa.gov/docs/iac/rule/701.304.32.pdf" Type="http://schemas.openxmlformats.org/officeDocument/2006/relationships/hyperlink" Id="rId292"/>
    <Relationship TargetMode="External" Target="https://www.legis.iowa.gov/docs/ico/chapter/422.33.pdf" Type="http://schemas.openxmlformats.org/officeDocument/2006/relationships/hyperlink" Id="rId293"/>
    <Relationship TargetMode="External" Target="https://www.legis.iowa.gov/docs/iac/rule/261.65.11.pdf" Type="http://schemas.openxmlformats.org/officeDocument/2006/relationships/hyperlink" Id="rId294"/>
    <Relationship TargetMode="External" Target="https://www.legis.iowa.gov/docs/iac/rule/261.65.12.pdf" Type="http://schemas.openxmlformats.org/officeDocument/2006/relationships/hyperlink" Id="rId295"/>
    <Relationship TargetMode="External" Target="https://www.legis.iowa.gov/docs/iac/chapter/261.65.pdf" Type="http://schemas.openxmlformats.org/officeDocument/2006/relationships/hyperlink" Id="rId296"/>
    <Relationship TargetMode="External" Target="https://www.legis.iowa.gov/docs/ico/chapter/15.119.pdf" Type="http://schemas.openxmlformats.org/officeDocument/2006/relationships/hyperlink" Id="rId297"/>
    <Relationship TargetMode="External" Target="https://www.legis.iowa.gov/docs/iac/rule/701.501.39.pdf" Type="http://schemas.openxmlformats.org/officeDocument/2006/relationships/hyperlink" Id="rId298"/>
    <Relationship TargetMode="External" Target="https://www.legis.iowa.gov/docs/iac/rule/261.65.2.pdf" Type="http://schemas.openxmlformats.org/officeDocument/2006/relationships/hyperlink" Id="rId299"/>
    <Relationship TargetMode="External" Target="https://www.legis.iowa.gov/docs/iac/rule/261.65.2.pdf" Type="http://schemas.openxmlformats.org/officeDocument/2006/relationships/hyperlink" Id="rId300"/>
    <Relationship TargetMode="External" Target="https://www.legis.iowa.gov/docs/iac/rule/701.501.39.pdf" Type="http://schemas.openxmlformats.org/officeDocument/2006/relationships/hyperlink" Id="rId301"/>
    <Relationship TargetMode="External" Target="https://www.legis.iowa.gov/docs/iac/rule/701.501.39.pdf" Type="http://schemas.openxmlformats.org/officeDocument/2006/relationships/hyperlink" Id="rId302"/>
    <Relationship TargetMode="External" Target="https://www.legis.iowa.gov/docs/iac/rule/261.65.11.pdf" Type="http://schemas.openxmlformats.org/officeDocument/2006/relationships/hyperlink" Id="rId303"/>
    <Relationship TargetMode="External" Target="https://www.legis.iowa.gov/docs/iac/rule/261.65.11.pdf" Type="http://schemas.openxmlformats.org/officeDocument/2006/relationships/hyperlink" Id="rId304"/>
    <Relationship TargetMode="External" Target="https://www.legis.iowa.gov/docs/ico/chapter/15.293A.pdf" Type="http://schemas.openxmlformats.org/officeDocument/2006/relationships/hyperlink" Id="rId305"/>
    <Relationship TargetMode="External" Target="https://www.legis.iowa.gov/docs/ico/chapter/422.33.pdf" Type="http://schemas.openxmlformats.org/officeDocument/2006/relationships/hyperlink" Id="rId306"/>
    <Relationship TargetMode="External" Target="https://www.legis.iowa.gov/docs/ico/chapter/15.119.pdf" Type="http://schemas.openxmlformats.org/officeDocument/2006/relationships/hyperlink" Id="rId307"/>
    <Relationship TargetMode="External" Target="https://www.legis.iowa.gov/docs/ico/chapter/15.329.pdf" Type="http://schemas.openxmlformats.org/officeDocument/2006/relationships/hyperlink" Id="rId308"/>
    <Relationship TargetMode="External" Target="https://www.legis.iowa.gov/docs/iac/chapter/261.68.pdf" Type="http://schemas.openxmlformats.org/officeDocument/2006/relationships/hyperlink" Id="rId309"/>
    <Relationship TargetMode="External" Target="https://www.legis.iowa.gov/docs/iac/rule/701.501.7.pdf" Type="http://schemas.openxmlformats.org/officeDocument/2006/relationships/hyperlink" Id="rId310"/>
    <Relationship TargetMode="External" Target="https://www.legis.iowa.gov/docs/iac/rule/701.501.7.pdf" Type="http://schemas.openxmlformats.org/officeDocument/2006/relationships/hyperlink" Id="rId311"/>
    <Relationship TargetMode="External" Target="https://www.legis.iowa.gov/docs/iac/rule/701.501.7.pdf" Type="http://schemas.openxmlformats.org/officeDocument/2006/relationships/hyperlink" Id="rId312"/>
    <Relationship TargetMode="External" Target="https://www.legis.iowa.gov/docs/iac/rule/701.501.7.pdf" Type="http://schemas.openxmlformats.org/officeDocument/2006/relationships/hyperlink" Id="rId313"/>
    <Relationship TargetMode="External" Target="https://www.legis.iowa.gov/docs/iac/rule/261.68.4.pdf" Type="http://schemas.openxmlformats.org/officeDocument/2006/relationships/hyperlink" Id="rId314"/>
    <Relationship TargetMode="External" Target="https://www.legis.iowa.gov/docs/iac/rule/701.501.28.pdf" Type="http://schemas.openxmlformats.org/officeDocument/2006/relationships/hyperlink" Id="rId315"/>
    <Relationship TargetMode="External" Target="https://www.legis.iowa.gov/docs/iac/rule/261.187.5.pdf" Type="http://schemas.openxmlformats.org/officeDocument/2006/relationships/hyperlink" Id="rId316"/>
    <Relationship TargetMode="External" Target="https://www.legis.iowa.gov/docs/ico/chapter/15.pdf" Type="http://schemas.openxmlformats.org/officeDocument/2006/relationships/hyperlink" Id="rId317"/>
    <Relationship TargetMode="External" Target="https://www.legis.iowa.gov/docs/iac/chapter/261.76.pdf" Type="http://schemas.openxmlformats.org/officeDocument/2006/relationships/hyperlink" Id="rId318"/>
    <Relationship TargetMode="External" Target="https://www.legis.iowa.gov/docs/ico/chapter/15.119.pdf" Type="http://schemas.openxmlformats.org/officeDocument/2006/relationships/hyperlink" Id="rId319"/>
    <Relationship TargetMode="External" Target="https://www.legis.iowa.gov/docs/iac/chapter/265.34.pdf" Type="http://schemas.openxmlformats.org/officeDocument/2006/relationships/hyperlink" Id="rId320"/>
    <Relationship TargetMode="External" Target="https://www.legis.iowa.gov/docs/ico/chapter/16.211.pdf" Type="http://schemas.openxmlformats.org/officeDocument/2006/relationships/hyperlink" Id="rId321"/>
    <Relationship TargetMode="External" Target="https://www.legis.iowa.gov/docs/ico/chapter/16.212.pdf" Type="http://schemas.openxmlformats.org/officeDocument/2006/relationships/hyperlink" Id="rId322"/>
    <Relationship TargetMode="External" Target="https://www.legis.iowa.gov/docs/ico/chapter/422.33.pdf" Type="http://schemas.openxmlformats.org/officeDocument/2006/relationships/hyperlink" Id="rId323"/>
    <Relationship TargetMode="External" Target="https://www.legis.iowa.gov/docs/ico/chapter/214A.2.pdf" Type="http://schemas.openxmlformats.org/officeDocument/2006/relationships/hyperlink" Id="rId324"/>
    <Relationship TargetMode="External" Target="https://www.legis.iowa.gov/docs/iac/rule/701.52.36.pdf" Type="http://schemas.openxmlformats.org/officeDocument/2006/relationships/hyperlink" Id="rId325"/>
    <Relationship TargetMode="External" Target="https://www.legis.iowa.gov/docs/ico/chapter/422.11Y.pdf" Type="http://schemas.openxmlformats.org/officeDocument/2006/relationships/hyperlink" Id="rId326"/>
    <Relationship TargetMode="External" Target="https://www.legis.iowa.gov/docs/ico/chapter/422.33.pdf" Type="http://schemas.openxmlformats.org/officeDocument/2006/relationships/hyperlink" Id="rId327"/>
    <Relationship TargetMode="External" Target="https://www.legis.iowa.gov/docs/iac/rule/701.304.48.pdf" Type="http://schemas.openxmlformats.org/officeDocument/2006/relationships/hyperlink" Id="rId328"/>
    <Relationship TargetMode="External" Target="https://www.legis.iowa.gov/docs/ico/chapter/422.33.pdf" Type="http://schemas.openxmlformats.org/officeDocument/2006/relationships/hyperlink" Id="rId329"/>
    <Relationship TargetMode="External" Target="https://www.legis.iowa.gov/docs/iac/rule/701.304.51.pdf" Type="http://schemas.openxmlformats.org/officeDocument/2006/relationships/hyperlink" Id="rId330"/>
    <Relationship TargetMode="External" Target="https://www.legis.iowa.gov/docs/ico/chapter/190B.pdf" Type="http://schemas.openxmlformats.org/officeDocument/2006/relationships/hyperlink" Id="rId331"/>
    <Relationship TargetMode="External" Target="https://www.legis.iowa.gov/docs/ico/chapter/422.33.pdf" Type="http://schemas.openxmlformats.org/officeDocument/2006/relationships/hyperlink" Id="rId332"/>
    <Relationship TargetMode="External" Target="https://www.legis.iowa.gov/docs/iac/chapter/261.48.pdf" Type="http://schemas.openxmlformats.org/officeDocument/2006/relationships/hyperlink" Id="rId333"/>
    <Relationship TargetMode="External" Target="https://www.legis.iowa.gov/docs/ico/chapter/15.351-356.pdf" Type="http://schemas.openxmlformats.org/officeDocument/2006/relationships/hyperlink" Id="rId334"/>
    <Relationship TargetMode="External" Target="https://www.legis.iowa.gov/docs/iac/rule/261.48.3.pdf" Type="http://schemas.openxmlformats.org/officeDocument/2006/relationships/hyperlink" Id="rId335"/>
    <Relationship TargetMode="External" Target="https://www.legis.iowa.gov/docs/iac/rule/261.48.3.pdf" Type="http://schemas.openxmlformats.org/officeDocument/2006/relationships/hyperlink" Id="rId336"/>
    <Relationship TargetMode="External" Target="https://www.legis.iowa.gov/docs/ico/chapter/15.352.pdf" Type="http://schemas.openxmlformats.org/officeDocument/2006/relationships/hyperlink" Id="rId337"/>
    <Relationship TargetMode="External" Target="https://www.legis.iowa.gov/docs/iac/rule/701.278.1.pdf" Type="http://schemas.openxmlformats.org/officeDocument/2006/relationships/hyperlink" Id="rId338"/>
    <Relationship TargetMode="External" Target="https://www.legis.iowa.gov/docs/iac/rule/701.501.46.pdf" Type="http://schemas.openxmlformats.org/officeDocument/2006/relationships/hyperlink" Id="rId339"/>
    <Relationship TargetMode="External" Target="https://www.legis.iowa.gov/docs/iac/rule/701.501.46.pdf" Type="http://schemas.openxmlformats.org/officeDocument/2006/relationships/hyperlink" Id="rId340"/>
    <Relationship TargetMode="External" Target="https://www.legis.iowa.gov/docs/iac/rule/701.501.46.pdf" Type="http://schemas.openxmlformats.org/officeDocument/2006/relationships/hyperlink" Id="rId341"/>
    <Relationship TargetMode="External" Target="https://www.legis.iowa.gov/docs/ico/chapter/15.353.pdf" Type="http://schemas.openxmlformats.org/officeDocument/2006/relationships/hyperlink" Id="rId342"/>
    <Relationship TargetMode="External" Target="https://www.legis.iowa.gov/docs/ico/chapter/15.353.pdf" Type="http://schemas.openxmlformats.org/officeDocument/2006/relationships/hyperlink" Id="rId343"/>
    <Relationship TargetMode="External" Target="https://www.legis.iowa.gov/docs/iac/rule/261.187.5.pdf" Type="http://schemas.openxmlformats.org/officeDocument/2006/relationships/hyperlink" Id="rId344"/>
    <Relationship TargetMode="External" Target="https://www.legis.iowa.gov/docs/ico/chapter/15.354.pdf" Type="http://schemas.openxmlformats.org/officeDocument/2006/relationships/hyperlink" Id="rId345"/>
    <Relationship TargetMode="External" Target="https://www.legis.iowa.gov/docs/ico/chapter/15.355.pdf" Type="http://schemas.openxmlformats.org/officeDocument/2006/relationships/hyperlink" Id="rId346"/>
    <Relationship TargetMode="External" Target="https://www.legis.iowa.gov/docs/ico/chapter/404A.pdf" Type="http://schemas.openxmlformats.org/officeDocument/2006/relationships/hyperlink" Id="rId347"/>
    <Relationship TargetMode="External" Target="https://www.legis.iowa.gov/docs/ico/chapter/404A.pdf" Type="http://schemas.openxmlformats.org/officeDocument/2006/relationships/hyperlink" Id="rId348"/>
    <Relationship TargetMode="External" Target="https://www.legis.iowa.gov/docs/iac/rule/701.501.18.pdf" Type="http://schemas.openxmlformats.org/officeDocument/2006/relationships/hyperlink" Id="rId349"/>
    <Relationship TargetMode="External" Target="https://www.legis.iowa.gov/docs/iac/chapter/223.48.pdf" Type="http://schemas.openxmlformats.org/officeDocument/2006/relationships/hyperlink" Id="rId350"/>
    <Relationship TargetMode="External" Target="https://www.legis.iowa.gov/docs/iac/rule/701.501.48.pdf" Type="http://schemas.openxmlformats.org/officeDocument/2006/relationships/hyperlink" Id="rId351"/>
    <Relationship TargetMode="External" Target="https://www.legis.iowa.gov/docs/iac/chapter/261.49.pdf" Type="http://schemas.openxmlformats.org/officeDocument/2006/relationships/hyperlink" Id="rId352"/>
    <Relationship TargetMode="External" Target="https://www.legis.iowa.gov/docs/iac/chapter/223.48.pdf" Type="http://schemas.openxmlformats.org/officeDocument/2006/relationships/hyperlink" Id="rId353"/>
    <Relationship TargetMode="External" Target="https://www.legis.iowa.gov/docs/ico/chapter/404A.pdf" Type="http://schemas.openxmlformats.org/officeDocument/2006/relationships/hyperlink" Id="rId354"/>
    <Relationship TargetMode="External" Target="https://www.legis.iowa.gov/docs/ico/chapter/404A.pdf" Type="http://schemas.openxmlformats.org/officeDocument/2006/relationships/hyperlink" Id="rId355"/>
    <Relationship TargetMode="External" Target="https://www.legis.iowa.gov/docs/iac/chapter/223.48.pdf" Type="http://schemas.openxmlformats.org/officeDocument/2006/relationships/hyperlink" Id="rId356"/>
    <Relationship TargetMode="External" Target="https://www.legis.iowa.gov/docs/iac/rule/701.501.18.pdf" Type="http://schemas.openxmlformats.org/officeDocument/2006/relationships/hyperlink" Id="rId357"/>
    <Relationship TargetMode="External" Target="https://www.legis.iowa.gov/docs/iac/chapter/223.48.pdf" Type="http://schemas.openxmlformats.org/officeDocument/2006/relationships/hyperlink" Id="rId358"/>
    <Relationship TargetMode="External" Target="https://www.legis.iowa.gov/docs/ico/chapter/404A.pdf" Type="http://schemas.openxmlformats.org/officeDocument/2006/relationships/hyperlink" Id="rId359"/>
    <Relationship TargetMode="External" Target="https://www.legis.iowa.gov/docs/iac/chapter/261.49.pdf" Type="http://schemas.openxmlformats.org/officeDocument/2006/relationships/hyperlink" Id="rId360"/>
    <Relationship TargetMode="External" Target="https://www.legis.iowa.gov/docs/iac/rule/701.501.48.pdf" Type="http://schemas.openxmlformats.org/officeDocument/2006/relationships/hyperlink" Id="rId361"/>
    <Relationship TargetMode="External" Target="https://www.legis.iowa.gov/docs/iac/rule/223.48.22.pdf" Type="http://schemas.openxmlformats.org/officeDocument/2006/relationships/hyperlink" Id="rId362"/>
    <Relationship TargetMode="External" Target="https://www.legis.iowa.gov/docs/ico/chapter/404A.1.pdf" Type="http://schemas.openxmlformats.org/officeDocument/2006/relationships/hyperlink" Id="rId363"/>
    <Relationship TargetMode="External" Target="https://www.legis.iowa.gov/docs/ico/chapter/404A.1.pdf" Type="http://schemas.openxmlformats.org/officeDocument/2006/relationships/hyperlink" Id="rId364"/>
    <Relationship TargetMode="External" Target="https://www.legis.iowa.gov/docs/ico/chapter/404A.1.pdf" Type="http://schemas.openxmlformats.org/officeDocument/2006/relationships/hyperlink" Id="rId365"/>
    <Relationship TargetMode="External" Target="https://www.legis.iowa.gov/docs/iac/rule/223.48.22.pdf" Type="http://schemas.openxmlformats.org/officeDocument/2006/relationships/hyperlink" Id="rId366"/>
    <Relationship TargetMode="External" Target="https://www.legis.iowa.gov/docs/iac/rule/701.501.47.pdf" Type="http://schemas.openxmlformats.org/officeDocument/2006/relationships/hyperlink" Id="rId367"/>
    <Relationship TargetMode="External" Target="https://www.legis.iowa.gov/docs/iac/rule/701.501.47.pdf" Type="http://schemas.openxmlformats.org/officeDocument/2006/relationships/hyperlink" Id="rId368"/>
    <Relationship TargetMode="External" Target="https://www.legis.iowa.gov/docs/iac/rule/701.501.47.pdf" Type="http://schemas.openxmlformats.org/officeDocument/2006/relationships/hyperlink" Id="rId369"/>
    <Relationship TargetMode="External" Target="https://www.legis.iowa.gov/docs/ico/chapter/422.25.pdf" Type="http://schemas.openxmlformats.org/officeDocument/2006/relationships/hyperlink" Id="rId370"/>
    <Relationship TargetMode="External" Target="https://www.legis.iowa.gov/docs/iac/chapter/223.48.pdf" Type="http://schemas.openxmlformats.org/officeDocument/2006/relationships/hyperlink" Id="rId371"/>
    <Relationship TargetMode="External" Target="https://www.legis.iowa.gov/docs/iac/rule/701.501.47.pdf" Type="http://schemas.openxmlformats.org/officeDocument/2006/relationships/hyperlink" Id="rId372"/>
    <Relationship TargetMode="External" Target="https://www.legis.iowa.gov/docs/iac/rule/701.501.47.pdf" Type="http://schemas.openxmlformats.org/officeDocument/2006/relationships/hyperlink" Id="rId373"/>
    <Relationship TargetMode="External" Target="https://www.legis.iowa.gov/docs/iac/rule/701.501.47.pdf" Type="http://schemas.openxmlformats.org/officeDocument/2006/relationships/hyperlink" Id="rId374"/>
    <Relationship TargetMode="External" Target="https://www.legis.iowa.gov/docs/ico/chapter/422.pdf" Type="http://schemas.openxmlformats.org/officeDocument/2006/relationships/hyperlink" Id="rId375"/>
    <Relationship TargetMode="External" Target="https://www.legis.iowa.gov/docs/ico/chapter/432.pdf" Type="http://schemas.openxmlformats.org/officeDocument/2006/relationships/hyperlink" Id="rId376"/>
    <Relationship TargetMode="External" Target="https://www.legis.iowa.gov/docs/iac/rule/701.501.47.pdf" Type="http://schemas.openxmlformats.org/officeDocument/2006/relationships/hyperlink" Id="rId377"/>
    <Relationship TargetMode="External" Target="https://www.legis.iowa.gov/docs/iac/chapter/701.7.pdf" Type="http://schemas.openxmlformats.org/officeDocument/2006/relationships/hyperlink" Id="rId378"/>
    <Relationship TargetMode="External" Target="https://www.legis.iowa.gov/docs/ico/chapter/404A.pdf" Type="http://schemas.openxmlformats.org/officeDocument/2006/relationships/hyperlink" Id="rId379"/>
    <Relationship TargetMode="External" Target="https://www.legis.iowa.gov/docs/ico/chapter/422.11D.pdf" Type="http://schemas.openxmlformats.org/officeDocument/2006/relationships/hyperlink" Id="rId380"/>
    <Relationship TargetMode="External" Target="https://www.legis.iowa.gov/docs/ico/chapter/404A.pdf" Type="http://schemas.openxmlformats.org/officeDocument/2006/relationships/hyperlink" Id="rId381"/>
    <Relationship TargetMode="External" Target="https://www.legis.iowa.gov/docs/ico/chapter/404A.pdf" Type="http://schemas.openxmlformats.org/officeDocument/2006/relationships/hyperlink" Id="rId382"/>
    <Relationship TargetMode="External" Target="https://www.legis.iowa.gov/docs/iac/chapter/261.49.pdf" Type="http://schemas.openxmlformats.org/officeDocument/2006/relationships/hyperlink" Id="rId383"/>
    <Relationship TargetMode="External" Target="https://www.legis.iowa.gov/docs/iac/chapter/223.48.pdf" Type="http://schemas.openxmlformats.org/officeDocument/2006/relationships/hyperlink" Id="rId384"/>
    <Relationship TargetMode="External" Target="https://www.legis.iowa.gov/docs/iac/rule/701.501.18.pdf" Type="http://schemas.openxmlformats.org/officeDocument/2006/relationships/hyperlink" Id="rId385"/>
    <Relationship TargetMode="External" Target="https://www.legis.iowa.gov/docs/iac/rule/701.501.47.pdf" Type="http://schemas.openxmlformats.org/officeDocument/2006/relationships/hyperlink" Id="rId386"/>
    <Relationship TargetMode="External" Target="https://www.legis.iowa.gov/docs/iac/chapter/261.49.pdf" Type="http://schemas.openxmlformats.org/officeDocument/2006/relationships/hyperlink" Id="rId387"/>
    <Relationship TargetMode="External" Target="https://www.legis.iowa.gov/docs/iac/chapter/261.49.pdf" Type="http://schemas.openxmlformats.org/officeDocument/2006/relationships/hyperlink" Id="rId388"/>
    <Relationship TargetMode="External" Target="https://www.legis.iowa.gov/docs/ico/chapter/404A.1.pdf" Type="http://schemas.openxmlformats.org/officeDocument/2006/relationships/hyperlink" Id="rId389"/>
    <Relationship TargetMode="External" Target="https://www.legis.iowa.gov/docs/iac/rule/261.49.5.pdf" Type="http://schemas.openxmlformats.org/officeDocument/2006/relationships/hyperlink" Id="rId390"/>
    <Relationship TargetMode="External" Target="https://www.legis.iowa.gov/docs/iac/chapter/261.49.pdf" Type="http://schemas.openxmlformats.org/officeDocument/2006/relationships/hyperlink" Id="rId391"/>
    <Relationship TargetMode="External" Target="https://www.legis.iowa.gov/docs/iac/rule/701.501.48.pdf" Type="http://schemas.openxmlformats.org/officeDocument/2006/relationships/hyperlink" Id="rId392"/>
    <Relationship TargetMode="External" Target="https://www.legis.iowa.gov/docs/iac/rule/701.501.48.pdf" Type="http://schemas.openxmlformats.org/officeDocument/2006/relationships/hyperlink" Id="rId393"/>
    <Relationship TargetMode="External" Target="https://www.legis.iowa.gov/docs/iac/rule/701.501.48.pdf" Type="http://schemas.openxmlformats.org/officeDocument/2006/relationships/hyperlink" Id="rId394"/>
    <Relationship TargetMode="External" Target="https://www.legis.iowa.gov/docs/ico/chapter/422.25.pdf" Type="http://schemas.openxmlformats.org/officeDocument/2006/relationships/hyperlink" Id="rId395"/>
    <Relationship TargetMode="External" Target="https://www.legis.iowa.gov/docs/iac/rule/261.49.15.pdf" Type="http://schemas.openxmlformats.org/officeDocument/2006/relationships/hyperlink" Id="rId396"/>
    <Relationship TargetMode="External" Target="https://www.legis.iowa.gov/docs/iac/rule/701.501.48.pdf" Type="http://schemas.openxmlformats.org/officeDocument/2006/relationships/hyperlink" Id="rId397"/>
    <Relationship TargetMode="External" Target="https://www.legis.iowa.gov/docs/iac/rule/701.501.48.pdf" Type="http://schemas.openxmlformats.org/officeDocument/2006/relationships/hyperlink" Id="rId398"/>
    <Relationship TargetMode="External" Target="https://www.legis.iowa.gov/docs/iac/rule/701.501.48.pdf" Type="http://schemas.openxmlformats.org/officeDocument/2006/relationships/hyperlink" Id="rId399"/>
    <Relationship TargetMode="External" Target="https://www.legis.iowa.gov/docs/ico/chapter/422.pdf" Type="http://schemas.openxmlformats.org/officeDocument/2006/relationships/hyperlink" Id="rId400"/>
    <Relationship TargetMode="External" Target="https://www.legis.iowa.gov/docs/ico/chapter/432.pdf" Type="http://schemas.openxmlformats.org/officeDocument/2006/relationships/hyperlink" Id="rId401"/>
    <Relationship TargetMode="External" Target="https://www.legis.iowa.gov/docs/iac/rule/701.501.48.pdf" Type="http://schemas.openxmlformats.org/officeDocument/2006/relationships/hyperlink" Id="rId402"/>
    <Relationship TargetMode="External" Target="https://www.legis.iowa.gov/docs/iac/chapter/701.7.pdf" Type="http://schemas.openxmlformats.org/officeDocument/2006/relationships/hyperlink" Id="rId403"/>
    <Relationship TargetMode="External" Target="https://www.legis.iowa.gov/docs/ico/chapter/404A.pdf" Type="http://schemas.openxmlformats.org/officeDocument/2006/relationships/hyperlink" Id="rId404"/>
    <Relationship TargetMode="External" Target="https://www.legis.iowa.gov/docs/ico/chapter/422.33.pdf" Type="http://schemas.openxmlformats.org/officeDocument/2006/relationships/hyperlink" Id="rId405"/>
    <Relationship TargetMode="External" Target="https://www.legis.iowa.gov/docs/ico/chapter/15.315-322.pdf" Type="http://schemas.openxmlformats.org/officeDocument/2006/relationships/hyperlink" Id="rId406"/>
    <Relationship TargetMode="External" Target="https://www.legis.iowa.gov/docs/iac/chapter/261.81.pdf" Type="http://schemas.openxmlformats.org/officeDocument/2006/relationships/hyperlink" Id="rId407"/>
    <Relationship TargetMode="External" Target="https://www.legis.iowa.gov/docs/iac/chapter/261.81.pdf" Type="http://schemas.openxmlformats.org/officeDocument/2006/relationships/hyperlink" Id="rId408"/>
    <Relationship TargetMode="External" Target="https://www.legis.iowa.gov/docs/iac/chapter/261.81.pdf" Type="http://schemas.openxmlformats.org/officeDocument/2006/relationships/hyperlink" Id="rId409"/>
    <Relationship TargetMode="External" Target="https://www.legis.iowa.gov/docs/iac/chapter/261.81.pdf" Type="http://schemas.openxmlformats.org/officeDocument/2006/relationships/hyperlink" Id="rId410"/>
    <Relationship TargetMode="External" Target="https://www.legis.iowa.gov/docs/ico/chapter/501.pdf" Type="http://schemas.openxmlformats.org/officeDocument/2006/relationships/hyperlink" Id="rId411"/>
    <Relationship TargetMode="External" Target="https://www.legis.iowa.gov/docs/ico/chapter/15.330.pdf" Type="http://schemas.openxmlformats.org/officeDocument/2006/relationships/hyperlink" Id="rId412"/>
    <Relationship TargetMode="External" Target="https://www.legis.iowa.gov/docs/ico/chapter/422.33.pdf" Type="http://schemas.openxmlformats.org/officeDocument/2006/relationships/hyperlink" Id="rId413"/>
    <Relationship TargetMode="External" Target="https://www.legis.iowa.gov/docs/iac/rule/701.403.57.pdf" Type="http://schemas.openxmlformats.org/officeDocument/2006/relationships/hyperlink" Id="rId414"/>
    <Relationship TargetMode="External" Target="https://www.legis.iowa.gov/docs/iac/chapter/261.43.pdf" Type="http://schemas.openxmlformats.org/officeDocument/2006/relationships/hyperlink" Id="rId415"/>
    <Relationship TargetMode="External" Target="https://www.legis.iowa.gov/docs/ico/chapter/422.33.pdf" Type="http://schemas.openxmlformats.org/officeDocument/2006/relationships/hyperlink" Id="rId416"/>
    <Relationship TargetMode="External" Target="https://www.legis.iowa.gov/docs/iac/rule/701.304.58.pdf" Type="http://schemas.openxmlformats.org/officeDocument/2006/relationships/hyperlink" Id="rId417"/>
    <Relationship TargetMode="External" Target="https://www.legis.iowa.gov/docs/iac/chapter/261.57.pdf" Type="http://schemas.openxmlformats.org/officeDocument/2006/relationships/hyperlink" Id="rId418"/>
    <Relationship TargetMode="External" Target="https://www.legis.iowa.gov/docs/ico/chapter/237A.31.pdf" Type="http://schemas.openxmlformats.org/officeDocument/2006/relationships/hyperlink" Id="rId419"/>
    <Relationship Target="footer.xml" Type="http://schemas.openxmlformats.org/officeDocument/2006/relationships/footer" Id="rId42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