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FILING RETURN AND PAYMENT OF TAX</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39]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701—301.1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color w:val="000000"/>
          <w:sz w:val="22"/>
        </w:rPr>
        <w:t xml:space="preserve">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Residents under 65 years of age. </w:t>
      </w:r>
      <w:r>
        <w:rPr>
          <w:rFonts w:ascii="Times New Roman" w:hAnsi="Times New Roman"/>
          <w:b w:val="false"/>
          <w:i w:val="false"/>
          <w:color w:val="000000"/>
          <w:sz w:val="22"/>
        </w:rPr>
        <w:t xml:space="preserve">For each taxable year, every resident of Iowa, except any resident claimed as a dependent on another person’s return, whose net income is greater than $13,500 in the case of married persons, heads of household, and surviving spouses or greater than $9,000 in the case of single persons or married persons filing separately must make, sign, and file a return. In the case of married persons filing separately, if the combined net income of both spouses exceeds $13,500, both spouses must make, sign, and file a return even if one of the spouse’s net income is $9,000 or less. Each resident who is claimed as a dependent on another person’s return and whose net income is $5,000 or more must make, sign, and file a return. For purposes of this subrule, the portion of a lump-sum distribution subject to separate federal tax, the federal standard deduction or itemized deductions to the extent it does not exceed federal adjusted gross income, the personal exemption allowed for federal purposes, the qualified business income deduction allowed for federal purposes, and any net operating loss carryover are included in net income to determine if a person must file a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Residents 65 years of age or older. </w:t>
      </w:r>
      <w:r>
        <w:rPr>
          <w:rFonts w:ascii="Times New Roman" w:hAnsi="Times New Roman"/>
          <w:b w:val="false"/>
          <w:i w:val="false"/>
          <w:color w:val="000000"/>
          <w:sz w:val="22"/>
        </w:rPr>
        <w:t>For each taxable year, every resident of Iowa, except any resident claimed as a dependent on another person’s return, who is at least 65 years of age or older on December 31 of the tax year, whose net income is greater than $32,000 in the case of married persons, heads of household, and surviving spouses or greater than $24,000 in the case of single persons or married persons filing separately must make, sign, and file a return. In the case of married persons filing separately, if the combined net income of both spouses exceeds $32,000, both spouses must make, sign, and file a return even if one of the spouse’s net income is $24,000 or less. For married persons, for purposes of this paragraph, only one spouse is required to be at least 65 years of age or older on December 31 of the tax year. Each resident who is claimed as a dependent on another person’s return and whose net income is $5,000 or more must make, sign, and file a return.</w:t>
      </w:r>
    </w:p>
    <w:p>
      <w:pPr>
        <w:spacing w:before="0" w:after="0"/>
        <w:ind w:left="120"/>
        <w:jc w:val="both"/>
      </w:pPr>
      <w:r>
        <w:rPr>
          <w:rFonts w:ascii="Times New Roman" w:hAnsi="Times New Roman"/>
          <w:b w:val="false"/>
          <w:i w:val="false"/>
          <w:color w:val="000000"/>
          <w:sz w:val="22"/>
        </w:rPr>
        <w:t>For purposes of this subrule, the portion of a lump-sum distribution subject to separate federal tax, the federal standard deduction or itemized deductions to the extent it does not exceed federal adjusted gross income, the personal exemption allowed for federal purposes, the qualified business income deduction allowed for federal purposes, and any net operating loss carryover taken for federal purposes are included in net income to determine if a person must file 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color w:val="000000"/>
          <w:sz w:val="22"/>
        </w:rPr>
        <w:t xml:space="preserve">Nonresidents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Nonresidents under 65 years of age. </w:t>
      </w:r>
      <w:r>
        <w:rPr>
          <w:rFonts w:ascii="Times New Roman" w:hAnsi="Times New Roman"/>
          <w:b w:val="false"/>
          <w:i w:val="false"/>
          <w:color w:val="000000"/>
          <w:sz w:val="22"/>
        </w:rPr>
        <w:t xml:space="preserve">For each taxable year, every nonresident of Iowa must make, sign, and file an Iowa return if the nonresident has a net income of $1,000 or more from Iowa sources and meets one or more of the following conditions: (1) has a net income from all sources that is greater than $13,500 in the case of married persons, heads of household, and surviving spouses, (2) has a net income from all sources greater than $9,000 in the case of single persons, (3) has a net income from all sources greater than $9,000 in the case of married persons filing separately; however, if the combined net income of both spouses exceeds $13,500, both spouses must make, sign, and file a return even if one of the spouse’s net income is $9,000 or less, or (4) is claimed as a dependent on another person’s return and has a net income from all sources of at least $5,000. For purposes of this paragraph, the portion of a lump-sum distribution subject to separate federal tax that is allocable to Iowa is included in net income to determine if the nonresident has sufficient net income from Iowa sources to make and file a return. In determining net income from all sources, the portion of a lump-sum distribution subject to separate federal tax, the federal standard deduction or itemized deductions to the extent it does not exceed federal adjusted gross income, the personal exemption allowed for federal purposes, the qualified business income deduction allowed for federal purposes, and any net operating loss carryover are included in net income to determine if a person must file a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Nonresidents 65 years of age or older. </w:t>
      </w:r>
      <w:r>
        <w:rPr>
          <w:rFonts w:ascii="Times New Roman" w:hAnsi="Times New Roman"/>
          <w:b w:val="false"/>
          <w:i w:val="false"/>
          <w:color w:val="000000"/>
          <w:sz w:val="22"/>
        </w:rPr>
        <w:t>For these taxable years, every nonresident of Iowa must make, sign, and file an Iowa return if the nonresident has a net income of $1,000 or more from Iowa sources and meets one or more of the following conditions: (1) has a net income from all sources that is greater than $32,000 in the case of married persons, heads of household, and surviving spouses, (2) has a net income from all sources greater than $24,000 in the case of single persons, (3) has a net income from all sources greater than $24,000 in the case of married persons filing separately; however, if the combined net income of both spouses exceeds $32,000, both spouses must make, sign, and file a return even if one of the spouse’s net income is $24,000 or less, or (4) is claimed as a dependent on another person’s return and has a net income from all sources of at least $5,000. For married persons, for the purposes of this paragraph, only one spouse is required to be 65 years of age or older on December 31 of the tax year. For purposes of this subrule, the portion of a lump-sum distribution subject to separate federal tax that is allocable to Iowa is included in net income to determine if the nonresident has sufficient net income from Iowa sources to make and file a return. In determining net income from all sources, the portion of a lump-sum distribution subject to separate federal tax, the federal standard deduction or itemized deductions to the extent it does not exceed federal adjusted gross income, the personal exemption allowed for federal purposes, the qualified business income deduction allowed for federal purposes, and any net operating loss carryover are included in net income to determine if a person must file 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301.1(3)</w:t>
      </w:r>
      <w:r>
        <w:rPr>
          <w:rFonts w:ascii="Times New Roman" w:hAnsi="Times New Roman"/>
          <w:b w:val="false"/>
          <w:i w:val="false"/>
          <w:color w:val="000000"/>
          <w:sz w:val="22"/>
        </w:rPr>
        <w:t> </w:t>
      </w:r>
      <w:r>
        <w:rPr>
          <w:rFonts w:ascii="Times New Roman" w:hAnsi="Times New Roman"/>
          <w:b w:val="false"/>
          <w:i/>
          <w:color w:val="000000"/>
          <w:sz w:val="22"/>
        </w:rPr>
        <w:t xml:space="preserve">Part-year 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Part-year residents under 65 years of age. </w:t>
      </w:r>
      <w:r>
        <w:rPr>
          <w:rFonts w:ascii="Times New Roman" w:hAnsi="Times New Roman"/>
          <w:b w:val="false"/>
          <w:i w:val="false"/>
          <w:color w:val="000000"/>
          <w:sz w:val="22"/>
        </w:rPr>
        <w:t xml:space="preserve">For each taxable year, every part-year resident of Iowa must make, sign, and file a return if the individual has a net income of $1,000 or more from Iowa sources and meets one or more of the following conditions: (1) has a net income from all sources that is greater than $13,500 in the case of married persons, heads of household, and surviving spouses, (2) has a net income from all sources that is greater than $9,000 in the case of a single person, (3) has a net income from all sources greater than $9,000 in the case of married persons filing separately; however, if the combined net income of both spouses exceeds $13,500, both spouses must make, sign, and file a return even if one of the spouse’s net income is $9,000 or less, or (4) is claimed as a dependent on another person’s return and had a net income from all sources of $5,000 or more. For purposes of this paragraph, the portion of a lump-sum distribution that is allocable to Iowa is included in net income to determine if the person has sufficient net income from Iowa sources to make and file a return. In determining net income from all sources, the portion of a lump-sum distribution subject to separate federal tax, the federal standard deduction or itemized deductions to the extent it does not exceed federal adjusted gross income, the personal exemption allowed for federal purposes, the qualified business income deduction allowed for federal purposes, and any net operating loss carryover are included in net income to determine if a person must file a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Part-year residents 65 years of age or older. </w:t>
      </w:r>
      <w:r>
        <w:rPr>
          <w:rFonts w:ascii="Times New Roman" w:hAnsi="Times New Roman"/>
          <w:b w:val="false"/>
          <w:i w:val="false"/>
          <w:color w:val="000000"/>
          <w:sz w:val="22"/>
        </w:rPr>
        <w:t>For these taxable years, every part-year resident of Iowa must make, sign, and file an Iowa return if the part-year resident has a net income of $1,000 or more from Iowa sources and meets one or more of the following conditions: (1) has a net income from all sources that is greater than $32,000 in the case of married persons, heads of household, and surviving spouses, (2) has a net income from all sources greater than $24,000 in the case of single persons, (3) has a net income from all sources greater than $24,000 in the case of married persons filing separately; however, if the combined net income of both spouses exceeds $32,000, both spouses must make, sign, and file a return even if one of the spouse’s net income is $24,000 or less, or (4) is claimed as a dependent on another person’s return and has a net income from all sources of at least $5,000. For married persons, for the purposes of this paragraph, only one spouse is required to be 65 years of age or older on December 31 of the tax year. For purposes of this subrule, the portion of a lump-sum distribution subject to separate federal tax that is allocable to Iowa is included in net income to determine if the part-year resident has sufficient net income from Iowa sources to make and file a return. In determining net income from all sources, the portion of a lump-sum distribution subject to separate federal tax, the federal standard deduction or itemized deductions to the extent it does not exceed federal adjusted gross income, the personal exemption allowed for federal purposes, the qualified business income deduction allowed for federal purposes, and any net operating loss carryover are included in net income to determine if a person must file 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301.1(4)</w:t>
      </w:r>
      <w:r>
        <w:rPr>
          <w:rFonts w:ascii="Times New Roman" w:hAnsi="Times New Roman"/>
          <w:b w:val="false"/>
          <w:i w:val="false"/>
          <w:color w:val="000000"/>
          <w:sz w:val="22"/>
        </w:rPr>
        <w:t> </w:t>
      </w:r>
      <w:r>
        <w:rPr>
          <w:rFonts w:ascii="Times New Roman" w:hAnsi="Times New Roman"/>
          <w:b w:val="false"/>
          <w:i/>
          <w:color w:val="000000"/>
          <w:sz w:val="22"/>
        </w:rPr>
        <w:t xml:space="preserve"> Incapacity to file a return. </w:t>
      </w:r>
      <w:r>
        <w:rPr>
          <w:rFonts w:ascii="Times New Roman" w:hAnsi="Times New Roman"/>
          <w:b w:val="false"/>
          <w:i w:val="false"/>
          <w:color w:val="000000"/>
          <w:sz w:val="22"/>
        </w:rPr>
        <w:t>If a taxpayer is physically or mentally unable to make a return, the return shall be made by a duly authorized agent, guardian or other person charged with the care of the person or property of such taxpayer. A power of attorney must accompany a return made by an agent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301.1(5)</w:t>
      </w:r>
      <w:r>
        <w:rPr>
          <w:rFonts w:ascii="Times New Roman" w:hAnsi="Times New Roman"/>
          <w:b w:val="false"/>
          <w:i w:val="false"/>
          <w:color w:val="000000"/>
          <w:sz w:val="22"/>
        </w:rPr>
        <w:t> </w:t>
      </w:r>
      <w:r>
        <w:rPr>
          <w:rFonts w:ascii="Times New Roman" w:hAnsi="Times New Roman"/>
          <w:b w:val="false"/>
          <w:i/>
          <w:color w:val="000000"/>
          <w:sz w:val="22"/>
        </w:rPr>
        <w:t xml:space="preserve">Minimum income requirement. </w:t>
      </w:r>
      <w:r>
        <w:rPr>
          <w:rFonts w:ascii="Times New Roman" w:hAnsi="Times New Roman"/>
          <w:b w:val="false"/>
          <w:i w:val="false"/>
          <w:color w:val="000000"/>
          <w:sz w:val="22"/>
        </w:rPr>
        <w:t xml:space="preserve">See rules </w:t>
      </w:r>
      <w:hyperlink r:id="rId5">
        <w:r>
          <w:rPr>
            <w:rStyle w:val="Hyperlink"/>
            <w:rFonts w:ascii="Times New Roman" w:hAnsi="Times New Roman"/>
            <w:b w:val="false"/>
            <w:i w:val="false"/>
            <w:color w:val="000000"/>
            <w:sz w:val="22"/>
          </w:rPr>
          <w:t>701—302.1</w:t>
        </w:r>
      </w:hyperlink>
      <w:r>
        <w:rPr>
          <w:rFonts w:ascii="Times New Roman" w:hAnsi="Times New Roman"/>
          <w:b w:val="false"/>
          <w:i w:val="false"/>
          <w:color w:val="000000"/>
          <w:sz w:val="22"/>
        </w:rPr>
        <w:t xml:space="preserve">(422) to </w:t>
      </w:r>
      <w:hyperlink r:id="rId6">
        <w:r>
          <w:rPr>
            <w:rStyle w:val="Hyperlink"/>
            <w:rFonts w:ascii="Times New Roman" w:hAnsi="Times New Roman"/>
            <w:b w:val="false"/>
            <w:i w:val="false"/>
            <w:color w:val="000000"/>
            <w:sz w:val="22"/>
          </w:rPr>
          <w:t>701—302.52</w:t>
        </w:r>
      </w:hyperlink>
      <w:r>
        <w:rPr>
          <w:rFonts w:ascii="Times New Roman" w:hAnsi="Times New Roman"/>
          <w:b w:val="false"/>
          <w:i w:val="false"/>
          <w:color w:val="000000"/>
          <w:sz w:val="22"/>
        </w:rPr>
        <w:t xml:space="preserve">(422) and any subsequent rules in </w:t>
      </w:r>
      <w:hyperlink r:id="rId7">
        <w:r>
          <w:rPr>
            <w:rStyle w:val="Hyperlink"/>
            <w:rFonts w:ascii="Times New Roman" w:hAnsi="Times New Roman"/>
            <w:b w:val="false"/>
            <w:i w:val="false"/>
            <w:color w:val="000000"/>
            <w:sz w:val="22"/>
          </w:rPr>
          <w:t>701—Chapter 302</w:t>
        </w:r>
      </w:hyperlink>
      <w:r>
        <w:rPr>
          <w:rFonts w:ascii="Times New Roman" w:hAnsi="Times New Roman"/>
          <w:b w:val="false"/>
          <w:i w:val="false"/>
          <w:color w:val="000000"/>
          <w:sz w:val="22"/>
        </w:rPr>
        <w:t xml:space="preserve"> for the computation of net income to determine if a taxpayer meets the minimum filing requirements described in subrules </w:t>
      </w:r>
      <w:hyperlink r:id="rId8">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301.1(2)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301.1(6)</w:t>
      </w:r>
      <w:r>
        <w:rPr>
          <w:rFonts w:ascii="Times New Roman" w:hAnsi="Times New Roman"/>
          <w:b w:val="false"/>
          <w:i w:val="false"/>
          <w:color w:val="000000"/>
          <w:sz w:val="22"/>
        </w:rPr>
        <w:t> </w:t>
      </w:r>
      <w:r>
        <w:rPr>
          <w:rFonts w:ascii="Times New Roman" w:hAnsi="Times New Roman"/>
          <w:b w:val="false"/>
          <w:i/>
          <w:color w:val="000000"/>
          <w:sz w:val="22"/>
        </w:rPr>
        <w:t xml:space="preserve">Final return. </w:t>
      </w:r>
      <w:r>
        <w:rPr>
          <w:rFonts w:ascii="Times New Roman" w:hAnsi="Times New Roman"/>
          <w:b w:val="false"/>
          <w:i w:val="false"/>
          <w:color w:val="000000"/>
          <w:sz w:val="22"/>
        </w:rPr>
        <w:t xml:space="preserve">If a taxpayer has died during the year, see paragraph </w:t>
      </w:r>
      <w:hyperlink r:id="rId11">
        <w:r>
          <w:rPr>
            <w:rStyle w:val="Hyperlink"/>
            <w:rFonts w:ascii="Times New Roman" w:hAnsi="Times New Roman"/>
            <w:b w:val="false"/>
            <w:i w:val="false"/>
            <w:color w:val="000000"/>
            <w:sz w:val="22"/>
          </w:rPr>
          <w:t>301.4(2)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301.1(7)</w:t>
      </w:r>
      <w:r>
        <w:rPr>
          <w:rFonts w:ascii="Times New Roman" w:hAnsi="Times New Roman"/>
          <w:b w:val="false"/>
          <w:i w:val="false"/>
          <w:color w:val="000000"/>
          <w:sz w:val="22"/>
        </w:rPr>
        <w:t> </w:t>
      </w:r>
      <w:r>
        <w:rPr>
          <w:rFonts w:ascii="Times New Roman" w:hAnsi="Times New Roman"/>
          <w:b w:val="false"/>
          <w:i/>
          <w:color w:val="000000"/>
          <w:sz w:val="22"/>
        </w:rPr>
        <w:t xml:space="preserve">Returns filed for refund. </w:t>
      </w:r>
      <w:r>
        <w:rPr>
          <w:rFonts w:ascii="Times New Roman" w:hAnsi="Times New Roman"/>
          <w:b w:val="false"/>
          <w:i w:val="false"/>
          <w:color w:val="000000"/>
          <w:sz w:val="22"/>
        </w:rPr>
        <w:t xml:space="preserve">A taxpayer whose Iowa source net income or all source net income is less than the amount for which the filing of an Iowa individual income tax return is required must file a return to receive a refund of Iowa income tax withheld or Iowa estimated tax paid in the tax year or to receive a refund from an Iowa refundable tax credit.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7502C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and place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301.2(1)</w:t>
      </w:r>
      <w:r>
        <w:rPr>
          <w:rFonts w:ascii="Times New Roman" w:hAnsi="Times New Roman"/>
          <w:b w:val="false"/>
          <w:i w:val="false"/>
          <w:color w:val="000000"/>
          <w:sz w:val="22"/>
        </w:rPr>
        <w:t> </w:t>
      </w:r>
      <w:r>
        <w:rPr>
          <w:rFonts w:ascii="Times New Roman" w:hAnsi="Times New Roman"/>
          <w:b w:val="false"/>
          <w:i/>
          <w:color w:val="000000"/>
          <w:sz w:val="22"/>
        </w:rPr>
        <w:t xml:space="preserve">Returns of individuals. </w:t>
      </w:r>
      <w:r>
        <w:rPr>
          <w:rFonts w:ascii="Times New Roman" w:hAnsi="Times New Roman"/>
          <w:b w:val="false"/>
          <w:i w:val="false"/>
          <w:color w:val="000000"/>
          <w:sz w:val="22"/>
        </w:rPr>
        <w:t>A return of income must be filed on or before the due date. The due date is the last day of the fourth month following the close of the taxpayer’s taxable year, whether the return be made on the basis of the calendar year or for a fiscal year, or the last day of the period covered by an extension of time granted by the department. When the due date falls on Saturday, Sunday, or a holiday, the return will be due the following day that is not a Saturday, Sunday, or holiday. Iowa Code section 421.9A contains additional information on due dates that fall on a Saturday, Sunday, or holiday. If a return is placed in the mail, properly addressed and postage paid, in ample time to reach the department on or before the due date for filing, no penalty will attach should the return not be received until after that date. Mailed returns should be addressed to Income Tax Return Processing, Department of Revenue, Hoover State Office Building, Des Moines, Iowa 50319.</w:t>
      </w:r>
    </w:p>
    <w:p>
      <w:pPr>
        <w:spacing w:before="0" w:after="0"/>
        <w:ind w:left="120"/>
        <w:jc w:val="both"/>
      </w:pPr>
      <w:r>
        <w:rPr>
          <w:rFonts w:ascii="Times New Roman" w:hAnsi="Times New Roman"/>
          <w:b w:val="false"/>
          <w:i w:val="false"/>
          <w:color w:val="000000"/>
          <w:sz w:val="22"/>
        </w:rPr>
        <w:t>Farmers and fishermen have the same filing due date as other individual taxpayers; however, those farmers and fishermen who have elected not to file a declaration of estimated tax shall file their returns and pay the tax due, on or before March 1, to avoid penalty for underpayment of estimated tax.</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301.2(2)</w:t>
      </w:r>
      <w:r>
        <w:rPr>
          <w:rFonts w:ascii="Times New Roman" w:hAnsi="Times New Roman"/>
          <w:b w:val="false"/>
          <w:i w:val="false"/>
          <w:color w:val="000000"/>
          <w:sz w:val="22"/>
        </w:rPr>
        <w:t xml:space="preserve"> and </w:t>
      </w:r>
      <w:r>
        <w:rPr>
          <w:rFonts w:ascii="Times New Roman" w:hAnsi="Times New Roman"/>
          <w:b/>
          <w:i w:val="false"/>
          <w:color w:val="000000"/>
          <w:sz w:val="22"/>
        </w:rPr>
        <w:t>301.2(3)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returns for tax years beginning on or after January 1, 1991. </w:t>
      </w:r>
      <w:r>
        <w:rPr>
          <w:rFonts w:ascii="Times New Roman" w:hAnsi="Times New Roman"/>
          <w:b w:val="false"/>
          <w:i w:val="false"/>
          <w:color w:val="000000"/>
          <w:sz w:val="22"/>
        </w:rPr>
        <w:t>The taxpayer is required to file the taxpayer’s individual income tax return on or before the due date of the return with payment in full of the amount required to be shown due with the return. However, in any instance where the taxpayer is unable to file the return by the due date because of illness or death in the taxpayer’s immediate family, unavoidable absence of the taxpayer, or other legitimate reason, the director may grant a six-month extension of time to file the return.</w:t>
      </w:r>
    </w:p>
    <w:p>
      <w:pPr>
        <w:spacing w:before="0" w:after="0"/>
        <w:ind w:left="120"/>
        <w:jc w:val="both"/>
      </w:pPr>
      <w:r>
        <w:rPr>
          <w:rFonts w:ascii="Times New Roman" w:hAnsi="Times New Roman"/>
          <w:b w:val="false"/>
          <w:i w:val="false"/>
          <w:color w:val="000000"/>
          <w:sz w:val="22"/>
        </w:rPr>
        <w:t>If the taxpayer has paid at least 90 percent of the tax required to be shown due by the due date and has not filed a return by the due date, the director will consider that the taxpayer has requested an extension of time to file the return and will automatically grant an extension of up to six months to file the return. The taxpayer does not have to file an application for extension form with the department to get the automatic extension to file the return within the six-month period after the due date and not be subject to penalty. However, if the taxpayer wants to make a tax payment to ensure that at least 90 percent of the tax has been paid on or before the due date, the payment should be made with the Iowa tax voucher form. This form can be requested from the Taxpayer Services Section, P.O. Box 10457, Des Moines, Iowa 50306, or by telephone at (515)281-3114.</w:t>
      </w:r>
    </w:p>
    <w:p>
      <w:pPr>
        <w:spacing w:before="0" w:after="0"/>
        <w:ind w:left="120"/>
        <w:jc w:val="both"/>
      </w:pPr>
      <w:r>
        <w:rPr>
          <w:rFonts w:ascii="Times New Roman" w:hAnsi="Times New Roman"/>
          <w:b w:val="false"/>
          <w:i w:val="false"/>
          <w:color w:val="000000"/>
          <w:sz w:val="22"/>
        </w:rPr>
        <w:t xml:space="preserve">To determine whether or not at least 90 percent of the tax was “paid” on or before the due date, the aggregate amount of tax credits applicable on the return plus the tax payments made on or before the due date are divided by the tax required to be shown due on the return. The tax required to be shown on the return is the sum of the income tax, lump-sum tax, minimum tax, school district income surtax, and the emergency medical services income surtax. The tax credits applicable are the credits set out in Iowa Code chapter </w:t>
      </w:r>
      <w:hyperlink r:id="rId14">
        <w:r>
          <w:rPr>
            <w:rStyle w:val="Hyperlink"/>
            <w:rFonts w:ascii="Times New Roman" w:hAnsi="Times New Roman"/>
            <w:b w:val="false"/>
            <w:i w:val="false"/>
            <w:color w:val="000000"/>
            <w:sz w:val="22"/>
          </w:rPr>
          <w:t>422, division II</w:t>
        </w:r>
      </w:hyperlink>
      <w:r>
        <w:rPr>
          <w:rFonts w:ascii="Times New Roman" w:hAnsi="Times New Roman"/>
          <w:b w:val="false"/>
          <w:i w:val="false"/>
          <w:color w:val="000000"/>
          <w:sz w:val="22"/>
        </w:rPr>
        <w:t xml:space="preserve">, and section </w:t>
      </w:r>
      <w:hyperlink r:id="rId15">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 The tax payments to be considered for purposes of determining if 90 percent of the tax was paid are the withholding tax payments, estimate payments, and the payments made with the Iowa income tax voucher form to ensure that 90 percent of the tax was paid timely.</w:t>
      </w:r>
    </w:p>
    <w:p>
      <w:pPr>
        <w:spacing w:before="0" w:after="0"/>
        <w:ind w:left="120"/>
        <w:jc w:val="both"/>
      </w:pPr>
      <w:r>
        <w:rPr>
          <w:rFonts w:ascii="Times New Roman" w:hAnsi="Times New Roman"/>
          <w:b w:val="false"/>
          <w:i w:val="false"/>
          <w:color w:val="000000"/>
          <w:sz w:val="22"/>
        </w:rPr>
        <w:t>If the aggregate of the tax credits and the tax payments are equal to or greater than 90 percent of the tax required to be shown due, the taxpayer will have met the “90 percent” test and no penalty will be assessed. However, the taxpayer will still be subject to statutory interest on any tax due when the return is filed.</w:t>
      </w:r>
    </w:p>
    <w:p>
      <w:pPr>
        <w:spacing w:before="0" w:after="0"/>
        <w:ind w:left="120"/>
        <w:jc w:val="both"/>
      </w:pPr>
      <w:r>
        <w:rPr>
          <w:rFonts w:ascii="Times New Roman" w:hAnsi="Times New Roman"/>
          <w:b w:val="false"/>
          <w:i w:val="false"/>
          <w:color w:val="000000"/>
          <w:sz w:val="22"/>
        </w:rPr>
        <w:t>Any tax elections, such as the election to carry forward a net operating loss occurring in the tax year, will be considered to be valid in instances when the return is filed within the six-month extended period after the due date. The fact that the taxpayer has paid less than 90 percent of the tax required to be shown due will not invalidate any tax elections made on the return, if the return is filed within the six-month extended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Extensions for taxpayers with tax homes outside the United States and Puerto Rico. Taxpayers with tax homes outside the United States and Puerto Rico may, in some situations, be granted additional time to file their federal income tax returns beyond the six-month period after the federal due date. In some cases, this additional time is needed to meet residency time requirements in a foreign country so the taxpayer will be eligible for the foreign income exclusion which is also applicable to filing Iowa income tax returns. In cases where the taxpayer’s tax home is outside the United States and the taxpayer has been granted additional time to file the federal income tax return which is greater than six months from the due date, the taxpayer will be deemed to have the same additional time to file the Iowa return and not be subject to penalty for late filing if 90 percent of the tax required to be shown due on the return was paid by the due date. Taxpayers with tax elections filing returns under these circumstances will be considered to have made these elections timely. However, the taxpayers should attach to their Iowa return documentation showing they were granted additional time after the six-month period from the due date to file their federal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interest on refunds from income tax returns filed in the six-month period after the due date. The following information applies only to Iowa individual income tax returns that are filed for tax years beginning on or after January 1, 1999. In the case of Iowa returns that have overpayments of income tax that are filed in the six-month period after the due date and where at least 90 percent of the tax shown due was paid by the due date, interest at the statutory rate will be paid on the overpayments determined on the returns, starting on the first day of the second month after the end of the six-month extended period and ending in the month in which the refund is issued.</w:t>
      </w:r>
    </w:p>
    <w:p>
      <w:pPr>
        <w:spacing w:before="0" w:after="0"/>
        <w:ind w:left="120"/>
        <w:jc w:val="both"/>
      </w:pPr>
      <w:r>
        <w:rPr>
          <w:rFonts w:ascii="Times New Roman" w:hAnsi="Times New Roman"/>
          <w:b w:val="false"/>
          <w:i w:val="false"/>
          <w:color w:val="000000"/>
          <w:sz w:val="22"/>
        </w:rPr>
        <w:t>For taxpayers filing Iowa individual income tax returns for calendar-year tax years, the six-month extended period starts May 1 of the year following the end of the tax year and ends on October 31 of the year following the end of the tax year. However, if April 30 falls on a Sunday as it does in the year 2000 for 1999 Iowa individual returns filed in that year, the due date is moved to Monday, May 1. The extended period in this instance starts on Tuesday, May 2, 2000, and ends on October 31, 2000.</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husband and wife file their 1999 Iowa return on September 15, 2000. This return has an overpayment of tax of $200. Because the return is filed in the six-month period after the May 1, 2000, due date, and because the refund is issued in January 2001, interest accrues on the overpayment for the months of December 2000 and January 2001.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701—301.3</w:t>
      </w:r>
      <w:r>
        <w:rPr>
          <w:rFonts w:ascii="Times New Roman" w:hAnsi="Times New Roman"/>
          <w:b/>
          <w:i w:val="false"/>
          <w:color w:val="000000"/>
          <w:sz w:val="22"/>
        </w:rPr>
        <w:t xml:space="preserve">(422) </w:t>
      </w:r>
      <w:r>
        <w:rPr>
          <w:rFonts w:ascii="Times New Roman" w:hAnsi="Times New Roman"/>
          <w:b/>
          <w:i w:val="false"/>
          <w:color w:val="000000"/>
          <w:sz w:val="22"/>
        </w:rPr>
        <w:t xml:space="preserve">Form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color w:val="000000"/>
          <w:sz w:val="22"/>
        </w:rPr>
        <w:t xml:space="preserve">Use of and completeness of prescribed forms. </w:t>
      </w:r>
      <w:r>
        <w:rPr>
          <w:rFonts w:ascii="Times New Roman" w:hAnsi="Times New Roman"/>
          <w:b w:val="false"/>
          <w:i w:val="false"/>
          <w:color w:val="000000"/>
          <w:sz w:val="22"/>
        </w:rPr>
        <w:t>Returns shall, in all cases, be made by residents and nonresidents on forms supplied by the department of revenue. Taxpayers not supplied with the proper forms shall make application for the forms to the department, in ample time to have their returns made, verified and filed on or before the due date. Each taxpayer shall carefully prepare a return so as to fully and clearly set forth the data required. For lack of a prescribed form, a statement made by a taxpayer disclosing gross income and the deductions from gross income may be accepted as a tentative return, and if verified and filed within the prescribed time, will relieve the taxpayer from liability to penalties, provided that without unnecessary delay a tentative return is replaced by a return made on the proper form. Each question shall be answered and each direction complied with in the same manner as if the forms and instructions were embodied in these regulations. Individual resident taxpayers shall enter the name of the school district of residence on the return. If the school district is not supplied, the return shall be deemed incomplete.</w:t>
      </w:r>
    </w:p>
    <w:p>
      <w:pPr>
        <w:spacing w:before="0" w:after="0"/>
        <w:ind w:left="120"/>
        <w:jc w:val="both"/>
      </w:pPr>
      <w:r>
        <w:rPr>
          <w:rFonts w:ascii="Times New Roman" w:hAnsi="Times New Roman"/>
          <w:b w:val="false"/>
          <w:i w:val="false"/>
          <w:color w:val="000000"/>
          <w:sz w:val="22"/>
        </w:rPr>
        <w:t>A return not signed by the taxpayer or the taxpayer’s agent or guardian, shall not be deemed completely executed and filed as required by law.</w:t>
      </w:r>
    </w:p>
    <w:p>
      <w:pPr>
        <w:spacing w:before="0" w:after="0"/>
        <w:ind w:left="120"/>
        <w:jc w:val="both"/>
      </w:pPr>
      <w:r>
        <w:rPr>
          <w:rFonts w:ascii="Times New Roman" w:hAnsi="Times New Roman"/>
          <w:b w:val="false"/>
          <w:i w:val="false"/>
          <w:color w:val="000000"/>
          <w:sz w:val="22"/>
        </w:rPr>
        <w:t>Failure to receive the proper form does not relieve the taxpayer from the obligation of making any return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color w:val="000000"/>
          <w:sz w:val="22"/>
        </w:rPr>
        <w:t xml:space="preserve">Optional method of filing. </w:t>
      </w:r>
      <w:r>
        <w:rPr>
          <w:rFonts w:ascii="Times New Roman" w:hAnsi="Times New Roman"/>
          <w:b w:val="false"/>
          <w:i w:val="false"/>
          <w:color w:val="000000"/>
          <w:sz w:val="22"/>
        </w:rPr>
        <w:t>The front and back page of the Iowa individual income tax return, if properly completed, may be filed as an optional return, if a complete facsimile or photocopy of the federal return and supporting schedules are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w:t>
      </w:r>
      <w:r>
        <w:rPr>
          <w:rFonts w:ascii="Times New Roman" w:hAnsi="Times New Roman"/>
          <w:b w:val="false"/>
          <w:i w:val="false"/>
          <w:color w:val="000000"/>
          <w:sz w:val="22"/>
        </w:rPr>
        <w:t> </w:t>
      </w:r>
      <w:r>
        <w:rPr>
          <w:rFonts w:ascii="Times New Roman" w:hAnsi="Times New Roman"/>
          <w:b w:val="false"/>
          <w:i/>
          <w:color w:val="000000"/>
          <w:sz w:val="22"/>
        </w:rPr>
        <w:t xml:space="preserve">Copy of federal income tax return to be filed by nonresident. </w:t>
      </w:r>
      <w:r>
        <w:rPr>
          <w:rFonts w:ascii="Times New Roman" w:hAnsi="Times New Roman"/>
          <w:b w:val="false"/>
          <w:i w:val="false"/>
          <w:color w:val="000000"/>
          <w:sz w:val="22"/>
        </w:rPr>
        <w:t>A nonresident taxpayer must file a copy of their federal income tax return for the current tax year with their Iowa income tax return. The copy shall include full and complete copies of all farm, business, capital gains and other schedules that were filed with the federal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If it becomes known to the taxpayer that the amount of income reported to be federal net income or Iowa taxable income was erroneously stated on the Iowa return, or changed by an Internal Revenue Service audit, or otherwise, the taxpayer shall file an amended Iowa return along with supporting schedules, to include the amended federal return if applicable. A copy of the federal revenue agent’s report and notification of final federal adjustments provided by the taxpayer will be acceptable in lieu of an amended return. The assessment or refund of tax shall be dependent on the statute of limitations as set forth in </w:t>
      </w:r>
      <w:hyperlink r:id="rId18">
        <w:r>
          <w:rPr>
            <w:rStyle w:val="Hyperlink"/>
            <w:rFonts w:ascii="Times New Roman" w:hAnsi="Times New Roman"/>
            <w:b w:val="false"/>
            <w:i w:val="false"/>
            <w:color w:val="000000"/>
            <w:sz w:val="22"/>
          </w:rPr>
          <w:t>701—subrule 300.2(1)</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701—305.3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w:t>
      </w:r>
      <w:r>
        <w:rPr>
          <w:rFonts w:ascii="Times New Roman" w:hAnsi="Times New Roman"/>
          <w:b w:val="false"/>
          <w:i w:val="false"/>
          <w:color w:val="000000"/>
          <w:sz w:val="22"/>
        </w:rPr>
        <w:t> </w:t>
      </w:r>
      <w:r>
        <w:rPr>
          <w:rFonts w:ascii="Times New Roman" w:hAnsi="Times New Roman"/>
          <w:b w:val="false"/>
          <w:i/>
          <w:color w:val="000000"/>
          <w:sz w:val="22"/>
        </w:rPr>
        <w:t xml:space="preserve">Voter’s registration forms in income tax booklets and income tax return instructions. </w:t>
      </w:r>
      <w:r>
        <w:rPr>
          <w:rFonts w:ascii="Times New Roman" w:hAnsi="Times New Roman"/>
          <w:b w:val="false"/>
          <w:i w:val="false"/>
          <w:color w:val="000000"/>
          <w:sz w:val="22"/>
        </w:rPr>
        <w:t>Effective for tax years beginning on or after January 1, 1989, income tax return booklets and income tax return instructions shall include two voter registration forms. The voter registration forms to be inserted into the income tax return instruction forms and booklets are to be designed by the voter registration commission. However, effective July 1, 1992, the voter registration forms are to be inserted in the income tax return booklets and income tax return instructions only for odd-numbered tax years. Thus, the voter registration forms will not be included in the income tax return booklets for the 1992 tax year but are to be included in the booklets for 1993.</w:t>
      </w:r>
    </w:p>
    <w:p>
      <w:pPr>
        <w:spacing w:before="0" w:after="0"/>
        <w:ind w:left="120"/>
        <w:jc w:val="both"/>
      </w:pPr>
      <w:r>
        <w:rPr>
          <w:rFonts w:ascii="Times New Roman" w:hAnsi="Times New Roman"/>
          <w:b w:val="false"/>
          <w:i w:val="false"/>
          <w:color w:val="000000"/>
          <w:sz w:val="22"/>
        </w:rPr>
        <w:t>Effective July 1, 2004, the requirement that voter registration forms be included in the income tax booklets and income tax instructions has been eliminated. The official website of the department includes the official electronic state of Iowa voter registration form and a link to the Iowa secretary of state’s official website.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422.22</w:t>
        </w:r>
      </w:hyperlink>
      <w:r>
        <w:rPr>
          <w:rFonts w:ascii="Times New Roman" w:hAnsi="Times New Roman"/>
          <w:b w:val="false"/>
          <w:i w:val="false"/>
          <w:color w:val="000000"/>
          <w:sz w:val="22"/>
        </w:rPr>
        <w:t xml:space="preserve"> and Iowa Code sections </w:t>
      </w:r>
      <w:hyperlink r:id="rId23">
        <w:r>
          <w:rPr>
            <w:rStyle w:val="Hyperlink"/>
            <w:rFonts w:ascii="Times New Roman" w:hAnsi="Times New Roman"/>
            <w:b w:val="false"/>
            <w:i w:val="false"/>
            <w:color w:val="000000"/>
            <w:sz w:val="22"/>
          </w:rPr>
          <w:t>48A.24</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Senate File 2296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701—301.4</w:t>
      </w:r>
      <w:r>
        <w:rPr>
          <w:rFonts w:ascii="Times New Roman" w:hAnsi="Times New Roman"/>
          <w:b/>
          <w:i w:val="false"/>
          <w:color w:val="000000"/>
          <w:sz w:val="22"/>
        </w:rPr>
        <w:t xml:space="preserve">(422) </w:t>
      </w:r>
      <w:r>
        <w:rPr>
          <w:rFonts w:ascii="Times New Roman" w:hAnsi="Times New Roman"/>
          <w:b/>
          <w:i w:val="false"/>
          <w:color w:val="000000"/>
          <w:sz w:val="22"/>
        </w:rPr>
        <w:t xml:space="preserve">Filing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w:t>
      </w:r>
      <w:r>
        <w:rPr>
          <w:rFonts w:ascii="Times New Roman" w:hAnsi="Times New Roman"/>
          <w:b w:val="false"/>
          <w:i w:val="false"/>
          <w:color w:val="000000"/>
          <w:sz w:val="22"/>
        </w:rPr>
        <w:t> </w:t>
      </w:r>
      <w:r>
        <w:rPr>
          <w:rFonts w:ascii="Times New Roman" w:hAnsi="Times New Roman"/>
          <w:b w:val="false"/>
          <w:i/>
          <w:color w:val="000000"/>
          <w:sz w:val="22"/>
        </w:rPr>
        <w:t xml:space="preserve">Single taxpayers. </w:t>
      </w:r>
      <w:r>
        <w:rPr>
          <w:rFonts w:ascii="Times New Roman" w:hAnsi="Times New Roman"/>
          <w:b w:val="false"/>
          <w:i w:val="false"/>
          <w:color w:val="000000"/>
          <w:sz w:val="22"/>
        </w:rPr>
        <w:t xml:space="preserve">The term “single person” includes, for income tax purposes, an unmarried person, a person legally separated under a decree of divorce or separate maintenance or any other person not properly classified under subrules </w:t>
      </w:r>
      <w:hyperlink r:id="rId25">
        <w:r>
          <w:rPr>
            <w:rStyle w:val="Hyperlink"/>
            <w:rFonts w:ascii="Times New Roman" w:hAnsi="Times New Roman"/>
            <w:b w:val="false"/>
            <w:i w:val="false"/>
            <w:color w:val="000000"/>
            <w:sz w:val="22"/>
          </w:rPr>
          <w:t>301.4(2)</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301.4(8)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w:t>
      </w:r>
      <w:r>
        <w:rPr>
          <w:rFonts w:ascii="Times New Roman" w:hAnsi="Times New Roman"/>
          <w:b w:val="false"/>
          <w:i w:val="false"/>
          <w:color w:val="000000"/>
          <w:sz w:val="22"/>
        </w:rPr>
        <w:t> </w:t>
      </w:r>
      <w:r>
        <w:rPr>
          <w:rFonts w:ascii="Times New Roman" w:hAnsi="Times New Roman"/>
          <w:b w:val="false"/>
          <w:i/>
          <w:color w:val="000000"/>
          <w:sz w:val="22"/>
        </w:rPr>
        <w:t xml:space="preserve">Married taxpayers. </w:t>
      </w:r>
      <w:r>
        <w:rPr>
          <w:rFonts w:ascii="Times New Roman" w:hAnsi="Times New Roman"/>
          <w:b w:val="false"/>
          <w:i w:val="false"/>
          <w:color w:val="000000"/>
          <w:sz w:val="22"/>
        </w:rPr>
        <w:t xml:space="preserve">A taxpayer is considered married for the entire year if on the last day of the tax year the taxpayer is </w:t>
      </w:r>
      <w:r>
        <w:rPr>
          <w:rFonts w:ascii="Times New Roman" w:hAnsi="Times New Roman"/>
          <w:b w:val="false"/>
          <w:i/>
          <w:color w:val="000000"/>
          <w:sz w:val="22"/>
        </w:rPr>
        <w:t>(a)</w:t>
      </w:r>
      <w:r>
        <w:rPr>
          <w:rFonts w:ascii="Times New Roman" w:hAnsi="Times New Roman"/>
          <w:b w:val="false"/>
          <w:i w:val="false"/>
          <w:color w:val="000000"/>
          <w:sz w:val="22"/>
        </w:rPr>
        <w:t xml:space="preserve"> married and living together with the taxpayer’s spouse, </w:t>
      </w:r>
      <w:r>
        <w:rPr>
          <w:rFonts w:ascii="Times New Roman" w:hAnsi="Times New Roman"/>
          <w:b w:val="false"/>
          <w:i/>
          <w:color w:val="000000"/>
          <w:sz w:val="22"/>
        </w:rPr>
        <w:t>(b)</w:t>
      </w:r>
      <w:r>
        <w:rPr>
          <w:rFonts w:ascii="Times New Roman" w:hAnsi="Times New Roman"/>
          <w:b w:val="false"/>
          <w:i w:val="false"/>
          <w:color w:val="000000"/>
          <w:sz w:val="22"/>
        </w:rPr>
        <w:t xml:space="preserve"> married and living apart from the spouse, but not legally separated under a decree of divorce or separate maintenance, </w:t>
      </w:r>
      <w:r>
        <w:rPr>
          <w:rFonts w:ascii="Times New Roman" w:hAnsi="Times New Roman"/>
          <w:b w:val="false"/>
          <w:i/>
          <w:color w:val="000000"/>
          <w:sz w:val="22"/>
        </w:rPr>
        <w:t>(c)</w:t>
      </w:r>
      <w:r>
        <w:rPr>
          <w:rFonts w:ascii="Times New Roman" w:hAnsi="Times New Roman"/>
          <w:b w:val="false"/>
          <w:i w:val="false"/>
          <w:color w:val="000000"/>
          <w:sz w:val="22"/>
        </w:rPr>
        <w:t xml:space="preserve"> living together with the spouse in a common law marriage that is recognized by the state where the common law marriage exists or </w:t>
      </w:r>
      <w:r>
        <w:rPr>
          <w:rFonts w:ascii="Times New Roman" w:hAnsi="Times New Roman"/>
          <w:b w:val="false"/>
          <w:i/>
          <w:color w:val="000000"/>
          <w:sz w:val="22"/>
        </w:rPr>
        <w:t>(d)</w:t>
      </w:r>
      <w:r>
        <w:rPr>
          <w:rFonts w:ascii="Times New Roman" w:hAnsi="Times New Roman"/>
          <w:b w:val="false"/>
          <w:i w:val="false"/>
          <w:color w:val="000000"/>
          <w:sz w:val="22"/>
        </w:rPr>
        <w:t xml:space="preserve"> widowed but the spouse died during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301.4(3)</w:t>
      </w:r>
      <w:r>
        <w:rPr>
          <w:rFonts w:ascii="Times New Roman" w:hAnsi="Times New Roman"/>
          <w:b w:val="false"/>
          <w:i w:val="false"/>
          <w:color w:val="000000"/>
          <w:sz w:val="22"/>
        </w:rPr>
        <w:t> </w:t>
      </w:r>
      <w:r>
        <w:rPr>
          <w:rFonts w:ascii="Times New Roman" w:hAnsi="Times New Roman"/>
          <w:b w:val="false"/>
          <w:i/>
          <w:color w:val="000000"/>
          <w:sz w:val="22"/>
        </w:rPr>
        <w:t xml:space="preserve">Common law marriage. </w:t>
      </w:r>
      <w:r>
        <w:rPr>
          <w:rFonts w:ascii="Times New Roman" w:hAnsi="Times New Roman"/>
          <w:b w:val="false"/>
          <w:i w:val="false"/>
          <w:color w:val="000000"/>
          <w:sz w:val="22"/>
        </w:rPr>
        <w:t xml:space="preserve">A common law marriage is a social relationship between a man and a woman that meets all the necessary requisites of a marriage except that it was not solemnized, performed or witnessed by an official authorized by law to perform marriages. The necessary elements of a common law marriage are: </w:t>
      </w:r>
      <w:r>
        <w:rPr>
          <w:rFonts w:ascii="Times New Roman" w:hAnsi="Times New Roman"/>
          <w:b w:val="false"/>
          <w:i/>
          <w:color w:val="000000"/>
          <w:sz w:val="22"/>
        </w:rPr>
        <w:t>(a)</w:t>
      </w:r>
      <w:r>
        <w:rPr>
          <w:rFonts w:ascii="Times New Roman" w:hAnsi="Times New Roman"/>
          <w:b w:val="false"/>
          <w:i w:val="false"/>
          <w:color w:val="000000"/>
          <w:sz w:val="22"/>
        </w:rPr>
        <w:t xml:space="preserve"> a present intent of both parties freely given to become married, </w:t>
      </w:r>
      <w:r>
        <w:rPr>
          <w:rFonts w:ascii="Times New Roman" w:hAnsi="Times New Roman"/>
          <w:b w:val="false"/>
          <w:i/>
          <w:color w:val="000000"/>
          <w:sz w:val="22"/>
        </w:rPr>
        <w:t>(b)</w:t>
      </w:r>
      <w:r>
        <w:rPr>
          <w:rFonts w:ascii="Times New Roman" w:hAnsi="Times New Roman"/>
          <w:b w:val="false"/>
          <w:i w:val="false"/>
          <w:color w:val="000000"/>
          <w:sz w:val="22"/>
        </w:rPr>
        <w:t xml:space="preserve"> a public declaration by the parties or a holding out to the public that they are husband and wife, </w:t>
      </w:r>
      <w:r>
        <w:rPr>
          <w:rFonts w:ascii="Times New Roman" w:hAnsi="Times New Roman"/>
          <w:b w:val="false"/>
          <w:i/>
          <w:color w:val="000000"/>
          <w:sz w:val="22"/>
        </w:rPr>
        <w:t>(c)</w:t>
      </w:r>
      <w:r>
        <w:rPr>
          <w:rFonts w:ascii="Times New Roman" w:hAnsi="Times New Roman"/>
          <w:b w:val="false"/>
          <w:i w:val="false"/>
          <w:color w:val="000000"/>
          <w:sz w:val="22"/>
        </w:rPr>
        <w:t xml:space="preserve"> continuous cohabitation together as husband and wife (this means consummation of the marriage), and </w:t>
      </w:r>
      <w:r>
        <w:rPr>
          <w:rFonts w:ascii="Times New Roman" w:hAnsi="Times New Roman"/>
          <w:b w:val="false"/>
          <w:i/>
          <w:color w:val="000000"/>
          <w:sz w:val="22"/>
        </w:rPr>
        <w:t>(d)</w:t>
      </w:r>
      <w:r>
        <w:rPr>
          <w:rFonts w:ascii="Times New Roman" w:hAnsi="Times New Roman"/>
          <w:b w:val="false"/>
          <w:i w:val="false"/>
          <w:color w:val="000000"/>
          <w:sz w:val="22"/>
        </w:rPr>
        <w:t xml:space="preserve"> both parties must be capable of entering into the marriage relationship. No special time limit is necessary to establish a common law marriage. Iowa recognizes, for income tax purposes, all valid common law marriages.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301.4(4)</w:t>
      </w:r>
      <w:r>
        <w:rPr>
          <w:rFonts w:ascii="Times New Roman" w:hAnsi="Times New Roman"/>
          <w:b w:val="false"/>
          <w:i w:val="false"/>
          <w:color w:val="000000"/>
          <w:sz w:val="22"/>
        </w:rPr>
        <w:t> </w:t>
      </w:r>
      <w:r>
        <w:rPr>
          <w:rFonts w:ascii="Times New Roman" w:hAnsi="Times New Roman"/>
          <w:b w:val="false"/>
          <w:i/>
          <w:color w:val="000000"/>
          <w:sz w:val="22"/>
        </w:rPr>
        <w:t xml:space="preserve">Married filing jointly. </w:t>
      </w:r>
      <w:r>
        <w:rPr>
          <w:rFonts w:ascii="Times New Roman" w:hAnsi="Times New Roman"/>
          <w:b w:val="false"/>
          <w:i w:val="false"/>
          <w:color w:val="000000"/>
          <w:sz w:val="22"/>
        </w:rPr>
        <w:t>Married taxpayers who file a joint return with the Internal Revenue Service may file a joint return with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301.4(5)</w:t>
      </w:r>
      <w:r>
        <w:rPr>
          <w:rFonts w:ascii="Times New Roman" w:hAnsi="Times New Roman"/>
          <w:b w:val="false"/>
          <w:i w:val="false"/>
          <w:color w:val="000000"/>
          <w:sz w:val="22"/>
        </w:rPr>
        <w:t> </w:t>
      </w:r>
      <w:r>
        <w:rPr>
          <w:rFonts w:ascii="Times New Roman" w:hAnsi="Times New Roman"/>
          <w:b w:val="false"/>
          <w:i/>
          <w:color w:val="000000"/>
          <w:sz w:val="22"/>
        </w:rPr>
        <w:t xml:space="preserve">Married filing separately on the same form. </w:t>
      </w:r>
      <w:r>
        <w:rPr>
          <w:rFonts w:ascii="Times New Roman" w:hAnsi="Times New Roman"/>
          <w:b w:val="false"/>
          <w:i w:val="false"/>
          <w:color w:val="000000"/>
          <w:sz w:val="22"/>
        </w:rPr>
        <w:t>Married taxpayers may file separately on the same form. This return is also known as the combined return. If a married taxpayer files a combined return with his or her spouse, any refund will be issued in both names.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301.4(6)</w:t>
      </w:r>
      <w:r>
        <w:rPr>
          <w:rFonts w:ascii="Times New Roman" w:hAnsi="Times New Roman"/>
          <w:b w:val="false"/>
          <w:i w:val="false"/>
          <w:color w:val="000000"/>
          <w:sz w:val="22"/>
        </w:rPr>
        <w:t> </w:t>
      </w:r>
      <w:r>
        <w:rPr>
          <w:rFonts w:ascii="Times New Roman" w:hAnsi="Times New Roman"/>
          <w:b w:val="false"/>
          <w:i/>
          <w:color w:val="000000"/>
          <w:sz w:val="22"/>
        </w:rPr>
        <w:t xml:space="preserve">Married filing separately. </w:t>
      </w:r>
      <w:r>
        <w:rPr>
          <w:rFonts w:ascii="Times New Roman" w:hAnsi="Times New Roman"/>
          <w:b w:val="false"/>
          <w:i w:val="false"/>
          <w:color w:val="000000"/>
          <w:sz w:val="22"/>
        </w:rPr>
        <w:t>Married taxpayers, each having income in his or her own right, may file separate returns if they do not wish to file separately on the same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301.4(7)</w:t>
      </w:r>
      <w:r>
        <w:rPr>
          <w:rFonts w:ascii="Times New Roman" w:hAnsi="Times New Roman"/>
          <w:b w:val="false"/>
          <w:i w:val="false"/>
          <w:color w:val="000000"/>
          <w:sz w:val="22"/>
        </w:rPr>
        <w:t> </w:t>
      </w:r>
      <w:r>
        <w:rPr>
          <w:rFonts w:ascii="Times New Roman" w:hAnsi="Times New Roman"/>
          <w:b w:val="false"/>
          <w:i/>
          <w:color w:val="000000"/>
          <w:sz w:val="22"/>
        </w:rPr>
        <w:t xml:space="preserve">Head of household. </w:t>
      </w:r>
      <w:r>
        <w:rPr>
          <w:rFonts w:ascii="Times New Roman" w:hAnsi="Times New Roman"/>
          <w:b w:val="false"/>
          <w:i w:val="false"/>
          <w:color w:val="000000"/>
          <w:sz w:val="22"/>
        </w:rPr>
        <w:t>The term “head of household” shall have the same meaning as defined in the Internal Revenue Code. An individual who is claiming “surviving spouse” status for federal income tax purposes may not claim “head of household” on the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301.4(8)</w:t>
      </w:r>
      <w:r>
        <w:rPr>
          <w:rFonts w:ascii="Times New Roman" w:hAnsi="Times New Roman"/>
          <w:b w:val="false"/>
          <w:i w:val="false"/>
          <w:color w:val="000000"/>
          <w:sz w:val="22"/>
        </w:rPr>
        <w:t> </w:t>
      </w:r>
      <w:r>
        <w:rPr>
          <w:rFonts w:ascii="Times New Roman" w:hAnsi="Times New Roman"/>
          <w:b w:val="false"/>
          <w:i/>
          <w:color w:val="000000"/>
          <w:sz w:val="22"/>
        </w:rPr>
        <w:t xml:space="preserve">Surviving spouse. </w:t>
      </w:r>
      <w:r>
        <w:rPr>
          <w:rFonts w:ascii="Times New Roman" w:hAnsi="Times New Roman"/>
          <w:b w:val="false"/>
          <w:i w:val="false"/>
          <w:color w:val="000000"/>
          <w:sz w:val="22"/>
        </w:rPr>
        <w:t>The term “surviving spouse” shall have the same meaning as defined in the Internal Revenue Code. Individuals who qualify and file as a qualifying widow(er) with a dependent child on the federal return may file using the same filing status on the Iowa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701—301.5</w:t>
      </w:r>
      <w:r>
        <w:rPr>
          <w:rFonts w:ascii="Times New Roman" w:hAnsi="Times New Roman"/>
          <w:b/>
          <w:i w:val="false"/>
          <w:color w:val="000000"/>
          <w:sz w:val="22"/>
        </w:rPr>
        <w:t xml:space="preserve">(422) </w:t>
      </w:r>
      <w:r>
        <w:rPr>
          <w:rFonts w:ascii="Times New Roman" w:hAnsi="Times New Roman"/>
          <w:b/>
          <w:i w:val="false"/>
          <w:color w:val="000000"/>
          <w:sz w:val="22"/>
        </w:rPr>
        <w:t xml:space="preserve">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301.5(1)</w:t>
      </w:r>
      <w:r>
        <w:rPr>
          <w:rFonts w:ascii="Times New Roman" w:hAnsi="Times New Roman"/>
          <w:b w:val="false"/>
          <w:i w:val="false"/>
          <w:color w:val="000000"/>
          <w:sz w:val="22"/>
        </w:rPr>
        <w:t> </w:t>
      </w:r>
      <w:r>
        <w:rPr>
          <w:rFonts w:ascii="Times New Roman" w:hAnsi="Times New Roman"/>
          <w:b w:val="false"/>
          <w:i/>
          <w:color w:val="000000"/>
          <w:sz w:val="22"/>
        </w:rPr>
        <w:t xml:space="preserve">Payment of tax for wage earners. </w:t>
      </w:r>
      <w:r>
        <w:rPr>
          <w:rFonts w:ascii="Times New Roman" w:hAnsi="Times New Roman"/>
          <w:b w:val="false"/>
          <w:i w:val="false"/>
          <w:color w:val="000000"/>
          <w:sz w:val="22"/>
        </w:rPr>
        <w:t xml:space="preserve">Withholding of tax on wage earners is required under Iowa Code section </w:t>
      </w:r>
      <w:hyperlink r:id="rId28">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See </w:t>
      </w:r>
      <w:hyperlink r:id="rId29">
        <w:r>
          <w:rPr>
            <w:rStyle w:val="Hyperlink"/>
            <w:rFonts w:ascii="Times New Roman" w:hAnsi="Times New Roman"/>
            <w:b w:val="false"/>
            <w:i w:val="false"/>
            <w:color w:val="000000"/>
            <w:sz w:val="22"/>
          </w:rPr>
          <w:t>701—Chapter 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301.5(2)</w:t>
      </w:r>
      <w:r>
        <w:rPr>
          <w:rFonts w:ascii="Times New Roman" w:hAnsi="Times New Roman"/>
          <w:b w:val="false"/>
          <w:i w:val="false"/>
          <w:color w:val="000000"/>
          <w:sz w:val="22"/>
        </w:rPr>
        <w:t> </w:t>
      </w:r>
      <w:r>
        <w:rPr>
          <w:rFonts w:ascii="Times New Roman" w:hAnsi="Times New Roman"/>
          <w:b w:val="false"/>
          <w:i/>
          <w:color w:val="000000"/>
          <w:sz w:val="22"/>
        </w:rPr>
        <w:t xml:space="preserve">Payment of tax on income not subject to withholding. </w:t>
      </w:r>
      <w:r>
        <w:rPr>
          <w:rFonts w:ascii="Times New Roman" w:hAnsi="Times New Roman"/>
          <w:b w:val="false"/>
          <w:i w:val="false"/>
          <w:color w:val="000000"/>
          <w:sz w:val="22"/>
        </w:rPr>
        <w:t xml:space="preserve">Those taxpayers with income not subject to withholding which will produce a tax liability of $200 or more shall file and pay a declaration of estimated tax. See </w:t>
      </w:r>
      <w:hyperlink r:id="rId30">
        <w:r>
          <w:rPr>
            <w:rStyle w:val="Hyperlink"/>
            <w:rFonts w:ascii="Times New Roman" w:hAnsi="Times New Roman"/>
            <w:b w:val="false"/>
            <w:i w:val="false"/>
            <w:color w:val="000000"/>
            <w:sz w:val="22"/>
          </w:rPr>
          <w:t>701—Chapter 308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301.5(3)</w:t>
      </w:r>
      <w:r>
        <w:rPr>
          <w:rFonts w:ascii="Times New Roman" w:hAnsi="Times New Roman"/>
          <w:b w:val="false"/>
          <w:i w:val="false"/>
          <w:color w:val="000000"/>
          <w:sz w:val="22"/>
        </w:rPr>
        <w:t> </w:t>
      </w:r>
      <w:r>
        <w:rPr>
          <w:rFonts w:ascii="Times New Roman" w:hAnsi="Times New Roman"/>
          <w:b w:val="false"/>
          <w:i/>
          <w:color w:val="000000"/>
          <w:sz w:val="22"/>
        </w:rPr>
        <w:t xml:space="preserve">Full estimated payment on original due date. </w:t>
      </w:r>
      <w:r>
        <w:rPr>
          <w:rFonts w:ascii="Times New Roman" w:hAnsi="Times New Roman"/>
          <w:b w:val="false"/>
          <w:i w:val="false"/>
          <w:color w:val="000000"/>
          <w:sz w:val="22"/>
        </w:rPr>
        <w:t xml:space="preserve">When an extension is requested as provided by Iowa Code section </w:t>
      </w:r>
      <w:hyperlink r:id="rId3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the total amount of estimated tax must be paid on or before the due date for filing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301.5(4)</w:t>
      </w:r>
      <w:r>
        <w:rPr>
          <w:rFonts w:ascii="Times New Roman" w:hAnsi="Times New Roman"/>
          <w:b w:val="false"/>
          <w:i w:val="false"/>
          <w:color w:val="000000"/>
          <w:sz w:val="22"/>
        </w:rPr>
        <w:t> </w:t>
      </w:r>
      <w:r>
        <w:rPr>
          <w:rFonts w:ascii="Times New Roman" w:hAnsi="Times New Roman"/>
          <w:b w:val="false"/>
          <w:i/>
          <w:color w:val="000000"/>
          <w:sz w:val="22"/>
        </w:rPr>
        <w:t xml:space="preserve">Balance of tax due. </w:t>
      </w:r>
      <w:r>
        <w:rPr>
          <w:rFonts w:ascii="Times New Roman" w:hAnsi="Times New Roman"/>
          <w:b w:val="false"/>
          <w:i w:val="false"/>
          <w:color w:val="000000"/>
          <w:sz w:val="22"/>
        </w:rPr>
        <w:t>If the computation on the tax return shows additional tax due, it shall be paid in full with the filing of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301.5(5)</w:t>
      </w:r>
      <w:r>
        <w:rPr>
          <w:rFonts w:ascii="Times New Roman" w:hAnsi="Times New Roman"/>
          <w:b w:val="false"/>
          <w:i w:val="false"/>
          <w:color w:val="000000"/>
          <w:sz w:val="22"/>
        </w:rPr>
        <w:t> </w:t>
      </w:r>
      <w:r>
        <w:rPr>
          <w:rFonts w:ascii="Times New Roman" w:hAnsi="Times New Roman"/>
          <w:b w:val="false"/>
          <w:i/>
          <w:color w:val="000000"/>
          <w:sz w:val="22"/>
        </w:rPr>
        <w:t xml:space="preserve">Payment of tax by uncertified checks. </w:t>
      </w:r>
      <w:r>
        <w:rPr>
          <w:rFonts w:ascii="Times New Roman" w:hAnsi="Times New Roman"/>
          <w:b w:val="false"/>
          <w:i w:val="false"/>
          <w:color w:val="000000"/>
          <w:sz w:val="22"/>
        </w:rPr>
        <w:t xml:space="preserve">The department will accept uncertified checks in payment of income taxes, provided the checks are collectible for their full amount without any deduction for exchange or other charges. The date on which the department receives the check will be considered the date of payment, so far as the taxpayer is concerned, unless the check is returned dishonored. If one check is remitted to cover two or more individuals’ taxes, the remittance must be accompanied by a letter of transmittal stating: </w:t>
      </w:r>
      <w:r>
        <w:rPr>
          <w:rFonts w:ascii="Times New Roman" w:hAnsi="Times New Roman"/>
          <w:b w:val="false"/>
          <w:i/>
          <w:color w:val="000000"/>
          <w:sz w:val="22"/>
        </w:rPr>
        <w:t>(a)</w:t>
      </w:r>
      <w:r>
        <w:rPr>
          <w:rFonts w:ascii="Times New Roman" w:hAnsi="Times New Roman"/>
          <w:b w:val="false"/>
          <w:i w:val="false"/>
          <w:color w:val="000000"/>
          <w:sz w:val="22"/>
        </w:rPr>
        <w:t xml:space="preserve"> the name of the drawer of the check; </w:t>
      </w:r>
      <w:r>
        <w:rPr>
          <w:rFonts w:ascii="Times New Roman" w:hAnsi="Times New Roman"/>
          <w:b w:val="false"/>
          <w:i/>
          <w:color w:val="000000"/>
          <w:sz w:val="22"/>
        </w:rPr>
        <w:t>(b)</w:t>
      </w:r>
      <w:r>
        <w:rPr>
          <w:rFonts w:ascii="Times New Roman" w:hAnsi="Times New Roman"/>
          <w:b w:val="false"/>
          <w:i w:val="false"/>
          <w:color w:val="000000"/>
          <w:sz w:val="22"/>
        </w:rPr>
        <w:t xml:space="preserve"> the amount of the check; </w:t>
      </w:r>
      <w:r>
        <w:rPr>
          <w:rFonts w:ascii="Times New Roman" w:hAnsi="Times New Roman"/>
          <w:b w:val="false"/>
          <w:i/>
          <w:color w:val="000000"/>
          <w:sz w:val="22"/>
        </w:rPr>
        <w:t>(c)</w:t>
      </w:r>
      <w:r>
        <w:rPr>
          <w:rFonts w:ascii="Times New Roman" w:hAnsi="Times New Roman"/>
          <w:b w:val="false"/>
          <w:i w:val="false"/>
          <w:color w:val="000000"/>
          <w:sz w:val="22"/>
        </w:rPr>
        <w:t xml:space="preserve"> the amount of any cash, money order or other instrument included in the same remittance; </w:t>
      </w:r>
      <w:r>
        <w:rPr>
          <w:rFonts w:ascii="Times New Roman" w:hAnsi="Times New Roman"/>
          <w:b w:val="false"/>
          <w:i/>
          <w:color w:val="000000"/>
          <w:sz w:val="22"/>
        </w:rPr>
        <w:t>(d)</w:t>
      </w:r>
      <w:r>
        <w:rPr>
          <w:rFonts w:ascii="Times New Roman" w:hAnsi="Times New Roman"/>
          <w:b w:val="false"/>
          <w:i w:val="false"/>
          <w:color w:val="000000"/>
          <w:sz w:val="22"/>
        </w:rPr>
        <w:t xml:space="preserve"> the name of each individual whose tax is to be paid by the remittance; and </w:t>
      </w:r>
      <w:r>
        <w:rPr>
          <w:rFonts w:ascii="Times New Roman" w:hAnsi="Times New Roman"/>
          <w:b w:val="false"/>
          <w:i/>
          <w:color w:val="000000"/>
          <w:sz w:val="22"/>
        </w:rPr>
        <w:t>(e)</w:t>
      </w:r>
      <w:r>
        <w:rPr>
          <w:rFonts w:ascii="Times New Roman" w:hAnsi="Times New Roman"/>
          <w:b w:val="false"/>
          <w:i w:val="false"/>
          <w:color w:val="000000"/>
          <w:sz w:val="22"/>
        </w:rPr>
        <w:t xml:space="preserve"> the amount of payment on account of each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301.5(6)</w:t>
      </w:r>
      <w:r>
        <w:rPr>
          <w:rFonts w:ascii="Times New Roman" w:hAnsi="Times New Roman"/>
          <w:b w:val="false"/>
          <w:i w:val="false"/>
          <w:color w:val="000000"/>
          <w:sz w:val="22"/>
        </w:rPr>
        <w:t> </w:t>
      </w:r>
      <w:r>
        <w:rPr>
          <w:rFonts w:ascii="Times New Roman" w:hAnsi="Times New Roman"/>
          <w:b w:val="false"/>
          <w:i/>
          <w:color w:val="000000"/>
          <w:sz w:val="22"/>
        </w:rPr>
        <w:t xml:space="preserve">Procedure with respect to dishonored checks. </w:t>
      </w:r>
      <w:r>
        <w:rPr>
          <w:rFonts w:ascii="Times New Roman" w:hAnsi="Times New Roman"/>
          <w:b w:val="false"/>
          <w:i w:val="false"/>
          <w:color w:val="000000"/>
          <w:sz w:val="22"/>
        </w:rPr>
        <w:t>If any check is returned unpaid, all expenses incidental to the collection thereof will be charged to the taxpayer. If any taxpayer whose check has been returned by the depository bank uncollected should fail at once to make that check good, the director will proceed to collect the tax as though no check has been given. A taxpayer who tenders a certified check in payment for taxes is not relieved from obligation until the check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301.5(7)</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w:t>
      </w:r>
      <w:r>
        <w:rPr>
          <w:rFonts w:ascii="Times New Roman" w:hAnsi="Times New Roman"/>
          <w:b w:val="false"/>
          <w:i w:val="false"/>
          <w:color w:val="000000"/>
          <w:sz w:val="22"/>
        </w:rPr>
        <w:t xml:space="preserve">In computing penalty and interest for failing to file a timely return or to pay the tax, refer to </w:t>
      </w:r>
      <w:hyperlink r:id="rId32">
        <w:r>
          <w:rPr>
            <w:rStyle w:val="Hyperlink"/>
            <w:rFonts w:ascii="Times New Roman" w:hAnsi="Times New Roman"/>
            <w:b w:val="false"/>
            <w:i w:val="false"/>
            <w:color w:val="000000"/>
            <w:sz w:val="22"/>
          </w:rPr>
          <w:t>701—Chapter 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301.5(8)</w:t>
      </w:r>
      <w:r>
        <w:rPr>
          <w:rFonts w:ascii="Times New Roman" w:hAnsi="Times New Roman"/>
          <w:b w:val="false"/>
          <w:i w:val="false"/>
          <w:color w:val="000000"/>
          <w:sz w:val="22"/>
        </w:rPr>
        <w:t xml:space="preserve"> and </w:t>
      </w:r>
      <w:r>
        <w:rPr>
          <w:rFonts w:ascii="Times New Roman" w:hAnsi="Times New Roman"/>
          <w:b/>
          <w:i w:val="false"/>
          <w:color w:val="000000"/>
          <w:sz w:val="22"/>
        </w:rPr>
        <w:t>301.5(9)</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301.5(10)</w:t>
      </w:r>
      <w:r>
        <w:rPr>
          <w:rFonts w:ascii="Times New Roman" w:hAnsi="Times New Roman"/>
          <w:b w:val="false"/>
          <w:i w:val="false"/>
          <w:color w:val="000000"/>
          <w:sz w:val="22"/>
        </w:rPr>
        <w:t> </w:t>
      </w:r>
      <w:r>
        <w:rPr>
          <w:rFonts w:ascii="Times New Roman" w:hAnsi="Times New Roman"/>
          <w:b w:val="false"/>
          <w:i/>
          <w:color w:val="000000"/>
          <w:sz w:val="22"/>
        </w:rPr>
        <w:t xml:space="preserve">Thirteen thousand five hundred dollar exemption. </w:t>
      </w:r>
      <w:r>
        <w:rPr>
          <w:rFonts w:ascii="Times New Roman" w:hAnsi="Times New Roman"/>
          <w:b w:val="false"/>
          <w:i w:val="false"/>
          <w:color w:val="000000"/>
          <w:sz w:val="22"/>
        </w:rPr>
        <w:t xml:space="preserve">All taxpayers, except single taxpayers or taxpayers filing married filing separately, whose net income as computed under Iowa Code section </w:t>
      </w:r>
      <w:hyperlink r:id="rId3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plus the amount of a lump-sum distribution for which the taxpayer has elected to be separately taxed for federal income tax purposes, the federal standard deduction or itemized deductions to the extent it does not exceed federal adjusted gross income, the personal exemption allowed for federal purposes, the qualified business income deduction allowed for federal purposes, and any net operating loss carryover is $13,500 or less are exempt from paying Iowa individual income tax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married taxpayers, the incomes of both spouses are considered in order to determine if the taxpayers qualify for exemption from tax. However, in the case of married taxpayers where one spouse has a net operating loss and the taxpayers file separate Iowa returns, the taxpayers cannot receive the benefit of the exemption from tax if the spouse with the loss elects to carry back or carry forward that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claimed as a dependent on another person’s return with an income of at least $5,000 but not more than $13,500 will be exempt from Iowa tax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is filing as a single individual and has a net income of $9,000 or less,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and the person’s spouse have a combined net income of $13,500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is filing as a head of household or as a surviving spouse and has a net income of $13,500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payment of tax would reduce the net income to less than $13,500, the tax shall be reduced to an amount which would allow the taxpayer to retain a net income of $13,500. Example: If a taxpayer’s net income was $13,600 and the computed tax after personal exemptions and other credits was $300, the payment of $300 would reduce the income below $13,500; therefore, the amount of tax is reduced to $100 so the taxpayer can retain a net income of $13,500.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301.5(11)</w:t>
      </w:r>
      <w:r>
        <w:rPr>
          <w:rFonts w:ascii="Times New Roman" w:hAnsi="Times New Roman"/>
          <w:b w:val="false"/>
          <w:i w:val="false"/>
          <w:color w:val="000000"/>
          <w:sz w:val="22"/>
        </w:rPr>
        <w:t> </w:t>
      </w:r>
      <w:r>
        <w:rPr>
          <w:rFonts w:ascii="Times New Roman" w:hAnsi="Times New Roman"/>
          <w:b w:val="false"/>
          <w:i/>
          <w:color w:val="000000"/>
          <w:sz w:val="22"/>
        </w:rPr>
        <w:t xml:space="preserve">Nine thousand dollar exemption. </w:t>
      </w:r>
      <w:r>
        <w:rPr>
          <w:rFonts w:ascii="Times New Roman" w:hAnsi="Times New Roman"/>
          <w:b w:val="false"/>
          <w:i w:val="false"/>
          <w:color w:val="000000"/>
          <w:sz w:val="22"/>
        </w:rPr>
        <w:t xml:space="preserve">Single taxpayers and taxpayers filing married filing separately whose net income as computed under Iowa Code section </w:t>
      </w:r>
      <w:hyperlink r:id="rId3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plus the amount of a lump-sum distribution for which the taxpayer has elected to be separately taxed for federal income tax purposes, the federal standard deduction or itemized deductions to the extent it does not exceed federal adjusted gross income, the personal exemption allowed for federal purposes, the qualified business income deduction allowed for federal purposes, and any net operating loss carryover is $9,000 or less are exempt from paying Iowa individual income tax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claimed as a dependent on another person’s return with an income of at least $5,000 but not more than $9,000 will be exempt from tax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has a net income of $9,000 or less,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and the person’s spouse have a combined net income of $13,500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is filing as a head of household or as a surviving spouse and has a net income of $13,500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payment of tax would reduce the net income to less than $9,000, the tax is reduced to an amount which will allow the taxpayer to retain a net income of $9,000.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taxpayers that file married filing separately, the combined net income of both spouses must be less than $13,500 for either of them to qualify for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301.5(13)</w:t>
      </w:r>
      <w:r>
        <w:rPr>
          <w:rFonts w:ascii="Times New Roman" w:hAnsi="Times New Roman"/>
          <w:b w:val="false"/>
          <w:i w:val="false"/>
          <w:color w:val="000000"/>
          <w:sz w:val="22"/>
        </w:rPr>
        <w:t> </w:t>
      </w:r>
      <w:r>
        <w:rPr>
          <w:rFonts w:ascii="Times New Roman" w:hAnsi="Times New Roman"/>
          <w:b w:val="false"/>
          <w:i/>
          <w:color w:val="000000"/>
          <w:sz w:val="22"/>
        </w:rPr>
        <w:t xml:space="preserve">Exemptions for taxpayers 65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taxpayers except single taxpayers or taxpayers filing married filing separately who are at least 65 years of age or older on December 31 of the tax year and whose net income as computed under Iowa Code section </w:t>
      </w:r>
      <w:hyperlink r:id="rId3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plus the amount of a lump-sum distribution for which the taxpayer has elected to be separately taxed for federal income tax purposes, the federal standard deduction or itemized deductions to the extent it does not exceed federal adjusted gross income, the personal exemption allowed for federal purposes, the qualified business income deduction allowed for federal purposes, and any net operating loss carryover is $32,000 or less are exempt from paying Iowa individual income tax subject to the conditions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married taxpayers, the incomes of both spouses are considered in order to determine if the taxpayers qualify for exemption from tax. For purposes of this subrule, only one spouse is required to be 65 years of age or older by December 31 of the tax year. However, in the case of married taxpayers when one spouse has a net operating loss and the taxpayers file separate Iowa returns, the taxpayers cannot receive the benefit of the exemption from tax if the spouse with the loss elects to carry back or carry forward that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claimed as a dependent on another person’s return with an income of at least $5,000, but not more than $32,000, will be exempt from Iowa tax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on whose return the dependent is claimed is filing as a single individual and has a net income of $9,000 or less ($24,000 or less if the person is 65 years of age or older);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on whose return the dependent is claimed and the person’s spouse have a combined net income of $13,500 or less ($32,000 or less of the combined income of the person and the person’s spouse if at least one spouse is 65 years of age or older);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on whose return the dependent is claimed is filing as a head of household or as a surviving spouse and has a net income of $13,500 or less ($32,000 or less if the person is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payment of tax would reduce the net income to less than $32,000, the tax shall be reduced to an amount which would allow the taxpayer to retain a net income of $32,000.</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If a taxpayer’s net income was $32,100 and the computed tax after personal exemptions and other credits was $300, the payment of $300 would reduce the income below $32,000; therefore, the amount of tax is reduced to $100 in order for the taxpayer to retain a net income of $32,000.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Single taxpayers or taxpayers filing married filing separately whose net income, as computed under Iowa Code section </w:t>
      </w:r>
      <w:hyperlink r:id="rId3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plus the amount of a lump-sum distribution for which the taxpayer has elected to be separately taxed for federal income tax purposes, the federal standard deduction or itemized deductions to the extent it does not exceed federal adjusted gross income, the personal exemption allowed for federal purposes, the qualified business income deduction allowed for federal purposes, and any net operating loss carryover is $24,000 or less are exempt from paying Iowa individual income tax subject to the conditions set forth in paragraphs </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claimed as a dependent on another person’s return with an income of at least $5,000, but not more than $24,000, will be exempt from tax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has a net income of $9,000 or less ($24,000 or less if the person is 65 years of age or 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and the person’s spouse have a combined net income of $13,500 or less ($32,000 or less of the combined income of the person and the person’s spouse if at least one spouse is 65 years of age or 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on whose return the dependent is claimed is filing as a head of household or as a surviving spouse and has a net income of $13,500 or less ($32,000 or less if the person is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payment of tax would reduce the net income to less than $24,000, the tax is reduced to an amount which will allow the taxpayer to retain a net income of $24,000.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taxpayers that file married filing separately, the combined net income of both spouses must be less than $32,000 for either of them to qualify for this exemption.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2408</w:t>
      </w:r>
      <w:r>
        <w:rPr>
          <w:rFonts w:ascii="Times New Roman" w:hAnsi="Times New Roman"/>
          <w:b w:val="false"/>
          <w:i w:val="false"/>
          <w:color w:val="000000"/>
          <w:sz w:val="22"/>
        </w:rPr>
        <w:t xml:space="preserve">, and sections </w:t>
      </w:r>
      <w:hyperlink r:id="rId38">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422.17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7502C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701—301.6</w:t>
      </w:r>
      <w:r>
        <w:rPr>
          <w:rFonts w:ascii="Times New Roman" w:hAnsi="Times New Roman"/>
          <w:b/>
          <w:i w:val="false"/>
          <w:color w:val="000000"/>
          <w:sz w:val="22"/>
        </w:rPr>
        <w:t xml:space="preserve">(422) </w:t>
      </w:r>
      <w:r>
        <w:rPr>
          <w:rFonts w:ascii="Times New Roman" w:hAnsi="Times New Roman"/>
          <w:b/>
          <w:i w:val="false"/>
          <w:color w:val="000000"/>
          <w:sz w:val="22"/>
        </w:rPr>
        <w:t xml:space="preserve">Minimum tax.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301.6(1)</w:t>
      </w:r>
      <w:r>
        <w:rPr>
          <w:rFonts w:ascii="Times New Roman" w:hAnsi="Times New Roman"/>
          <w:b w:val="false"/>
          <w:i w:val="false"/>
          <w:color w:val="000000"/>
          <w:sz w:val="22"/>
        </w:rPr>
        <w:t xml:space="preserve"> and </w:t>
      </w:r>
      <w:r>
        <w:rPr>
          <w:rFonts w:ascii="Times New Roman" w:hAnsi="Times New Roman"/>
          <w:b/>
          <w:i w:val="false"/>
          <w:color w:val="000000"/>
          <w:sz w:val="22"/>
        </w:rPr>
        <w:t>301.6(2)</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301.6(3)</w:t>
      </w:r>
      <w:r>
        <w:rPr>
          <w:rFonts w:ascii="Times New Roman" w:hAnsi="Times New Roman"/>
          <w:b w:val="false"/>
          <w:i w:val="false"/>
          <w:color w:val="000000"/>
          <w:sz w:val="22"/>
        </w:rPr>
        <w:t> </w:t>
      </w:r>
      <w:r>
        <w:rPr>
          <w:rFonts w:ascii="Times New Roman" w:hAnsi="Times New Roman"/>
          <w:b w:val="false"/>
          <w:i/>
          <w:color w:val="000000"/>
          <w:sz w:val="22"/>
        </w:rPr>
        <w:t xml:space="preserve">Minimum tax for tax years beginning on or after January 1, 1987.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for computation of the minimum tax. </w:t>
      </w:r>
      <w:r>
        <w:rPr>
          <w:rFonts w:ascii="Times New Roman" w:hAnsi="Times New Roman"/>
          <w:b w:val="false"/>
          <w:i w:val="false"/>
          <w:color w:val="000000"/>
          <w:sz w:val="22"/>
        </w:rPr>
        <w:t>For tax years beginning on or after January 1, 1987, the minimum tax is imposed only to the extent that the minimum tax exceeds the taxpayer’s regular income tax liability. The minimum tax rate is 75 percent of the maximum regular tax rate for individual income tax. For tax years beginning on or after January 1, 1987, through December 31, 1997, the tax rate is 7.5 percent of the taxpayer’s minimum taxable income. For tax years beginning on or after January 1, 1998, the tax rate is 6.7 percent of the taxpayer’s minimum taxable income. Minimum taxable income is computed as follows:</w:t>
      </w:r>
    </w:p>
    <w:p>
      <w:pPr>
        <w:spacing w:before="0" w:after="0"/>
        <w:ind w:left="120"/>
        <w:jc w:val="both"/>
      </w:pPr>
      <w:r>
        <w:rPr>
          <w:rFonts w:ascii="Times New Roman" w:hAnsi="Times New Roman"/>
          <w:b w:val="false"/>
          <w:i w:val="false"/>
          <w:color w:val="000000"/>
          <w:sz w:val="22"/>
        </w:rPr>
        <w:t xml:space="preserve"> Iowa Taxable Income</w:t>
      </w:r>
    </w:p>
    <w:p>
      <w:pPr>
        <w:spacing w:before="0" w:after="0"/>
        <w:ind w:left="120"/>
        <w:jc w:val="both"/>
      </w:pPr>
      <w:r>
        <w:rPr>
          <w:rFonts w:ascii="Times New Roman" w:hAnsi="Times New Roman"/>
          <w:b w:val="false"/>
          <w:i w:val="false"/>
          <w:color w:val="000000"/>
          <w:sz w:val="22"/>
        </w:rPr>
        <w:t>Plus:     </w:t>
      </w:r>
      <w:r>
        <w:rPr>
          <w:rFonts w:ascii="Times New Roman" w:hAnsi="Times New Roman"/>
          <w:b w:val="false"/>
          <w:i w:val="false"/>
          <w:color w:val="000000"/>
          <w:sz w:val="22"/>
          <w:u w:val="single"/>
        </w:rPr>
        <w:t>*Applicable Adjustments and **Tax Preference Items (from Form IA 6251)</w:t>
      </w:r>
    </w:p>
    <w:p>
      <w:pPr>
        <w:spacing w:before="0" w:after="0"/>
        <w:ind w:left="120"/>
        <w:jc w:val="both"/>
      </w:pPr>
      <w:r>
        <w:rPr>
          <w:rFonts w:ascii="Times New Roman" w:hAnsi="Times New Roman"/>
          <w:b w:val="false"/>
          <w:i w:val="false"/>
          <w:color w:val="000000"/>
          <w:sz w:val="22"/>
        </w:rPr>
        <w:t xml:space="preserve"> Subtotal</w:t>
      </w:r>
    </w:p>
    <w:p>
      <w:pPr>
        <w:spacing w:before="0" w:after="0"/>
        <w:ind w:left="120"/>
        <w:jc w:val="both"/>
      </w:pPr>
      <w:r>
        <w:rPr>
          <w:rFonts w:ascii="Times New Roman" w:hAnsi="Times New Roman"/>
          <w:b w:val="false"/>
          <w:i w:val="false"/>
          <w:color w:val="000000"/>
          <w:sz w:val="22"/>
        </w:rPr>
        <w:t>Less:     </w:t>
      </w:r>
      <w:r>
        <w:rPr>
          <w:rFonts w:ascii="Times New Roman" w:hAnsi="Times New Roman"/>
          <w:b w:val="false"/>
          <w:i w:val="false"/>
          <w:color w:val="000000"/>
          <w:sz w:val="22"/>
          <w:u w:val="single"/>
        </w:rPr>
        <w:t>***Applicable Exemption Amount</w:t>
      </w:r>
    </w:p>
    <w:p>
      <w:pPr>
        <w:spacing w:before="0" w:after="0"/>
        <w:ind w:left="120"/>
        <w:jc w:val="both"/>
      </w:pPr>
      <w:r>
        <w:rPr>
          <w:rFonts w:ascii="Times New Roman" w:hAnsi="Times New Roman"/>
          <w:b w:val="false"/>
          <w:i w:val="false"/>
          <w:color w:val="000000"/>
          <w:sz w:val="22"/>
        </w:rPr>
        <w:t xml:space="preserve"> Minimum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federal adjustments that are also applicable in computing state minimum taxable income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Depreciation of property placed in service after 1986.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Circulation and research and experimental expenditures paid or incurred after 1986.</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Mining, exploration, and development costs paid or incurred after 1986.</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Long-term contracts entered into after 2-28-86.</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Pollution control facilities placed in service after 1986.</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Installment sales of certain property.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Basis adjustment.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Certain loss limitations.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Tax shelter farm loss.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Passive activity loss.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Adjustments related to beneficiaries of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federal tax preference items which are also applicable in computing state minimum taxable income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Accelerated depreciation of real property placed in service before 1987.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Accelerated depreciation on leased personal property placed in service before 1987.</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Amortization of certified pollution control facilities placed in service before 1987.</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Appreciated property charitable deduction.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Incentive stock options.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Reserves for losses on bad debts of financial institutions.</w:t>
      </w:r>
    </w:p>
    <w:p>
      <w:pPr>
        <w:spacing w:before="0" w:after="0"/>
        <w:ind w:left="120"/>
        <w:jc w:val="both"/>
      </w:pPr>
      <w:r>
        <w:rPr>
          <w:rFonts w:ascii="Times New Roman" w:hAnsi="Times New Roman"/>
          <w:b w:val="false"/>
          <w:i w:val="false"/>
          <w:color w:val="000000"/>
          <w:sz w:val="22"/>
        </w:rPr>
        <w:t xml:space="preserve">For tax periods ending on or after September 10, 2001, any federal adjustments or tax preference items that are determined based on a percentage of taxpayer’s federal adjusted gross income may have to be adjusted for Iowa alternative minimum tax purposes. These adjustments and preferences for Iowa alternative minimum tax purposes are based on federal adjusted gross income as adjusted by the disallowance of the additional first-year depreciation allowance authorized in Section 168(k) of the Internal Revenue Code as described in rule </w:t>
      </w:r>
      <w:hyperlink r:id="rId43">
        <w:r>
          <w:rPr>
            <w:rStyle w:val="Hyperlink"/>
            <w:rFonts w:ascii="Times New Roman" w:hAnsi="Times New Roman"/>
            <w:b w:val="false"/>
            <w:i w:val="false"/>
            <w:color w:val="000000"/>
            <w:sz w:val="22"/>
          </w:rPr>
          <w:t>701—302.60</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***Exemption amounts are: $17,500 for a married person filing a separate return or separately on the combined return form or for an estate or trust; $26,000 for a single person or a head of household or qualifying widow(er); $35,000 for a married couple filing a joint return. However, the applicable exemption amounts will be reduced, but not below zero, by 25 percent of the amount by which the minimum taxable income of the taxpayer determined without the exemption amount exceeds the following amounts: $75,000 for a married taxpayer filing separate returns or separately on the combined return or for an estate or a trust; $112,500 for a single person, a head of household, or a surviving spouse (qualifying widow(er)); $150,000 for a married couple that files a joint state return.</w:t>
      </w:r>
    </w:p>
    <w:p>
      <w:pPr>
        <w:spacing w:before="0" w:after="0"/>
        <w:ind w:left="120"/>
        <w:jc w:val="both"/>
      </w:pPr>
      <w:r>
        <w:rPr>
          <w:rFonts w:ascii="Times New Roman" w:hAnsi="Times New Roman"/>
          <w:b w:val="false"/>
          <w:i w:val="false"/>
          <w:color w:val="000000"/>
          <w:sz w:val="22"/>
        </w:rPr>
        <w:t>The following two examples illustrate how the minimum tax is computed for tax years beginning on or after January 1, 1987:</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Taxpayers A had an Iowa income tax liability of $9,375 from a taxable income of $100,000 in 1987. The A’s were filing a joint return and had tax preferences of $60,000 from an appreciated property charitable deduction. The A’s minimum tax liability is shown below:</w:t>
      </w:r>
    </w:p>
    <w:tbl>
      <w:tblPr>
        <w:tblW w:w="5000" w:type="pct"/>
        <w:tblCellSpacing w:w="0" w:type="auto"/>
        <w:tblBorders>
          <w:top w:val="none"/>
          <w:left w:val="none"/>
          <w:bottom w:val="none"/>
          <w:right w:val="none"/>
          <w:insideH w:val="none"/>
          <w:insideV w:val="none"/>
        </w:tblBorders>
        <w:tblLayout w:type="fixed"/>
      </w:tblPr>
      <w:tblGrid>
        <w:gridCol w:w="1559"/>
        <w:gridCol w:w="7788"/>
        <w:gridCol w:w="1843"/>
      </w:tblGrid>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r>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Plus:</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 Items and Adjustments</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60,000</w:t>
            </w:r>
          </w:p>
        </w:tc>
      </w:tr>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160,000</w:t>
            </w:r>
          </w:p>
        </w:tc>
      </w:tr>
      <w:tr>
        <w:trPr>
          <w:trHeight w:val="30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Exemption Amount</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35,000</w:t>
            </w:r>
          </w:p>
        </w:tc>
      </w:tr>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Taxable Income</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r>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.075</w:t>
            </w:r>
          </w:p>
        </w:tc>
      </w:tr>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Computed Minimum Tax</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$ 9,375</w:t>
            </w:r>
          </w:p>
        </w:tc>
      </w:tr>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Regular Tax</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8,648</w:t>
            </w:r>
          </w:p>
        </w:tc>
      </w:tr>
      <w:tr>
        <w:trPr>
          <w:trHeight w:val="210" w:hRule="atLeast"/>
        </w:trPr>
        <w:tc>
          <w:tcPr>
            <w:tcW w:w="1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Tax Liability</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$ 727</w:t>
            </w:r>
          </w:p>
        </w:tc>
      </w:tr>
    </w:tbl>
    <w:p>
      <w:pPr>
        <w:spacing w:before="0" w:after="0"/>
        <w:ind w:left="120"/>
        <w:jc w:val="both"/>
      </w:pPr>
      <w:r>
        <w:rPr>
          <w:rFonts w:ascii="Times New Roman" w:hAnsi="Times New Roman"/>
          <w:b w:val="false"/>
          <w:i w:val="false"/>
          <w:color w:val="000000"/>
          <w:sz w:val="22"/>
        </w:rPr>
        <w:t>Since the A’s minimum tax liability exceeded their regular tax by $727, they had a minimum tax liability of $727 in 1987.</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 was a single taxpayer in 1987. She had a regular income tax liability of $9,375 on taxable income of $100,000. She had an adjustment of $50,000 from a passive activity loss.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B’s minimum tax liability is shown below:</w:t>
      </w:r>
    </w:p>
    <w:tbl>
      <w:tblPr>
        <w:tblW w:w="5000" w:type="pct"/>
        <w:tblCellSpacing w:w="0" w:type="auto"/>
        <w:tblBorders>
          <w:top w:val="none"/>
          <w:left w:val="none"/>
          <w:bottom w:val="none"/>
          <w:right w:val="none"/>
          <w:insideH w:val="none"/>
          <w:insideV w:val="none"/>
        </w:tblBorders>
        <w:tblLayout w:type="fixed"/>
      </w:tblPr>
      <w:tblGrid>
        <w:gridCol w:w="1496"/>
        <w:gridCol w:w="7819"/>
        <w:gridCol w:w="1875"/>
      </w:tblGrid>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Plus:</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 Items and Adjustments</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50,000</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$150,000</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Exemption Amount</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35,000</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$115,000</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Plus:</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in Exemption Amount</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9,375</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of $37,500)</w:t>
            </w:r>
          </w:p>
        </w:tc>
        <w:tc>
          <w:tcPr>
            <w:tcW w:w="18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Taxable Income</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$124,375</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.075</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Computed Minimum Tax</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$ 9,328</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Regular Tax</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8,648</w:t>
            </w:r>
          </w:p>
        </w:tc>
      </w:tr>
      <w:tr>
        <w:trPr>
          <w:trHeight w:val="210" w:hRule="atLeast"/>
        </w:trPr>
        <w:tc>
          <w:tcPr>
            <w:tcW w:w="14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Tax Liability</w:t>
            </w:r>
          </w:p>
        </w:tc>
        <w:tc>
          <w:tcPr>
            <w:tcW w:w="18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$ 680</w:t>
            </w:r>
          </w:p>
        </w:tc>
      </w:tr>
    </w:tbl>
    <w:p>
      <w:pPr>
        <w:spacing w:before="0" w:after="0"/>
        <w:ind w:left="120"/>
        <w:jc w:val="both"/>
      </w:pPr>
      <w:r>
        <w:rPr>
          <w:rFonts w:ascii="Times New Roman" w:hAnsi="Times New Roman"/>
          <w:b w:val="false"/>
          <w:i w:val="false"/>
          <w:color w:val="000000"/>
          <w:sz w:val="22"/>
        </w:rPr>
        <w:t>Ms. B had a minimum tax liability of $680 in 1987 because the minimum tax exceeded the regular tax for 1987 by $680.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Net operating loss computed for a year beginning after 1982 which is carried back or carried forward to the current taxable year. </w:t>
      </w:r>
      <w:r>
        <w:rPr>
          <w:rFonts w:ascii="Times New Roman" w:hAnsi="Times New Roman"/>
          <w:b w:val="false"/>
          <w:i w:val="false"/>
          <w:color w:val="000000"/>
          <w:sz w:val="22"/>
        </w:rPr>
        <w:t>In the case of a net operating loss computed for a tax year beginning after December 31, 1982, which is carried back or carried forward to the current tax year, the net operating loss shall be reduced by the amount of tax preferences and adjustments arising in the current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Net operating loss deduction for tax years beginning after December 31, 1986. </w:t>
      </w:r>
      <w:r>
        <w:rPr>
          <w:rFonts w:ascii="Times New Roman" w:hAnsi="Times New Roman"/>
          <w:b w:val="false"/>
          <w:i w:val="false"/>
          <w:color w:val="000000"/>
          <w:sz w:val="22"/>
        </w:rPr>
        <w:t xml:space="preserve">The deduction for a net operating loss for a tax year beginning after December 31, 1986, which is carried back or carried forward to another tax year shall not exceed 90 percent of the minimum taxable income computed for the tax year without the net operating loss. The computation of minimum taxable income is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Apportionment of minimum tax for nonresidents and part-year residents and nonresident and part-year resident estates or trusts. </w:t>
      </w:r>
      <w:r>
        <w:rPr>
          <w:rFonts w:ascii="Times New Roman" w:hAnsi="Times New Roman"/>
          <w:b w:val="false"/>
          <w:i w:val="false"/>
          <w:color w:val="000000"/>
          <w:sz w:val="22"/>
        </w:rPr>
        <w:t xml:space="preserve">In the case of resident taxpayers, including estates or trusts domiciled in Iowa for the entire tax year, the taxpayers are subject to 100 percent of the minimum tax computed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In the case of nonresidents of Iowa including nonresident estates and trusts and individuals, including estates and trusts domiciled in Iowa for less than the entire tax year, the minimum tax computed according to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less applicable credits against tax is allocated to Iowa as shown below:</w:t>
      </w:r>
    </w:p>
    <w:tbl>
      <w:tblPr>
        <w:tblW w:w="5000" w:type="pct"/>
        <w:tblCellSpacing w:w="0" w:type="auto"/>
        <w:tblBorders>
          <w:top w:val="none"/>
          <w:left w:val="none"/>
          <w:bottom w:val="none"/>
          <w:right w:val="none"/>
          <w:insideH w:val="none"/>
          <w:insideV w:val="none"/>
        </w:tblBorders>
        <w:tblLayout w:type="fixed"/>
      </w:tblPr>
      <w:tblGrid>
        <w:gridCol w:w="1816"/>
        <w:gridCol w:w="2622"/>
        <w:gridCol w:w="798"/>
        <w:gridCol w:w="4139"/>
        <w:gridCol w:w="1815"/>
      </w:tblGrid>
      <w:tr>
        <w:trPr>
          <w:trHeight w:val="570" w:hRule="atLeast"/>
        </w:trPr>
        <w:tc>
          <w:tcPr>
            <w:tcW w:w="1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State Minimum Tax Less Credits</w:t>
            </w:r>
          </w:p>
        </w:tc>
        <w:tc>
          <w:tcPr>
            <w:tcW w:w="798" w:type="dxa"/>
            <w:vMerge w:val="restart"/>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w:t>
            </w:r>
          </w:p>
        </w:tc>
        <w:tc>
          <w:tcPr>
            <w:tcW w:w="4139"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Iowa Source Net Income Plus Tax</w:t>
            </w:r>
          </w:p>
          <w:p>
            <w:pPr>
              <w:spacing w:before="0" w:after="0"/>
              <w:ind w:left="160"/>
              <w:jc w:val="center"/>
            </w:pPr>
            <w:r>
              <w:rPr>
                <w:rFonts w:ascii="Times New Roman" w:hAnsi="Times New Roman"/>
                <w:b w:val="false"/>
                <w:i w:val="false"/>
                <w:color w:val="000000"/>
                <w:sz w:val="16"/>
              </w:rPr>
              <w:t>Preferences, Adjustments and</w:t>
            </w:r>
          </w:p>
          <w:p>
            <w:pPr>
              <w:spacing w:before="0" w:after="0"/>
              <w:ind w:left="160"/>
              <w:jc w:val="center"/>
            </w:pPr>
            <w:r>
              <w:rPr>
                <w:rFonts w:ascii="Times New Roman" w:hAnsi="Times New Roman"/>
                <w:b w:val="false"/>
                <w:i w:val="false"/>
                <w:color w:val="000000"/>
                <w:sz w:val="16"/>
              </w:rPr>
              <w:t>Losses Attributable to Iowa</w:t>
            </w:r>
          </w:p>
        </w:tc>
        <w:tc>
          <w:tcPr>
            <w:tcW w:w="18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413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Total Net Income Plus All Tax</w:t>
            </w:r>
          </w:p>
          <w:p>
            <w:pPr>
              <w:spacing w:before="0" w:after="0"/>
              <w:ind w:left="160"/>
              <w:jc w:val="center"/>
            </w:pPr>
            <w:r>
              <w:rPr>
                <w:rFonts w:ascii="Times New Roman" w:hAnsi="Times New Roman"/>
                <w:b w:val="false"/>
                <w:i w:val="false"/>
                <w:color w:val="000000"/>
                <w:sz w:val="16"/>
              </w:rPr>
              <w:t>Preferences, Adjustments and Losses</w:t>
            </w:r>
          </w:p>
        </w:tc>
        <w:tc>
          <w:tcPr>
            <w:tcW w:w="18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For purposes of this computation, only those adjustments, tax preferences, and losses shown on Form IA 6251 are applicable for determining which items shall be included in the numerator and the denominator.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the state minimum tax between married couples filing separate returns or separately on the combined return form. </w:t>
      </w:r>
      <w:r>
        <w:rPr>
          <w:rFonts w:ascii="Times New Roman" w:hAnsi="Times New Roman"/>
          <w:b w:val="false"/>
          <w:i w:val="false"/>
          <w:color w:val="000000"/>
          <w:sz w:val="22"/>
        </w:rPr>
        <w:t>Married taxpayers electing to file separate returns or separately on the combined return form must allocate the minimum tax between them in the proportion that each spouse’s respective preference items, adjustments, and losses relate to the preference items, adjustments and losses of both spouses.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Senate File 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701—301.7</w:t>
      </w:r>
      <w:r>
        <w:rPr>
          <w:rFonts w:ascii="Times New Roman" w:hAnsi="Times New Roman"/>
          <w:b/>
          <w:i w:val="false"/>
          <w:color w:val="000000"/>
          <w:sz w:val="22"/>
        </w:rPr>
        <w:t xml:space="preserve">(422) </w:t>
      </w:r>
      <w:r>
        <w:rPr>
          <w:rFonts w:ascii="Times New Roman" w:hAnsi="Times New Roman"/>
          <w:b/>
          <w:i w:val="false"/>
          <w:color w:val="000000"/>
          <w:sz w:val="22"/>
        </w:rPr>
        <w:t xml:space="preserve">Tax on lump-sum distributions. </w:t>
      </w:r>
      <w:r>
        <w:rPr>
          <w:rFonts w:ascii="Times New Roman" w:hAnsi="Times New Roman"/>
          <w:b w:val="false"/>
          <w:i w:val="false"/>
          <w:color w:val="000000"/>
          <w:sz w:val="22"/>
        </w:rPr>
        <w:t xml:space="preserve">For tax years beginning on or after January 1, 1982, Iowa Code section </w:t>
      </w:r>
      <w:hyperlink r:id="rId45">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provides that in addition to the tax computed on the taxable income, a tax shall also be imposed on the amount of a lump-sum distribution for which the taxpayer has elected under Section 402(e) of the Internal Revenue Code to be separately taxed for federal income tax purposes for the tax year. The rate of this tax is 25 percent of the separate federal tax imposed on the amount of the lump-sum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w:t>
      </w:r>
      <w:r>
        <w:rPr>
          <w:rFonts w:ascii="Times New Roman" w:hAnsi="Times New Roman"/>
          <w:b w:val="false"/>
          <w:i w:val="false"/>
          <w:color w:val="000000"/>
          <w:sz w:val="22"/>
        </w:rPr>
        <w:t> </w:t>
      </w:r>
      <w:r>
        <w:rPr>
          <w:rFonts w:ascii="Times New Roman" w:hAnsi="Times New Roman"/>
          <w:b w:val="false"/>
          <w:i/>
          <w:color w:val="000000"/>
          <w:sz w:val="22"/>
        </w:rPr>
        <w:t xml:space="preserve">Exemption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 exemption of $9,000 for single taxpayers and an exemption of $13,500 for all other taxpayers. </w:t>
      </w:r>
      <w:r>
        <w:rPr>
          <w:rFonts w:ascii="Times New Roman" w:hAnsi="Times New Roman"/>
          <w:b w:val="false"/>
          <w:i w:val="false"/>
          <w:color w:val="000000"/>
          <w:sz w:val="22"/>
        </w:rPr>
        <w:t xml:space="preserve">To be eligible for the $9,000 or less exemption for single taxpayers and the $13,500 or less exemption for all other taxpayers as provided in Iowa Code section </w:t>
      </w:r>
      <w:hyperlink r:id="rId46">
        <w:r>
          <w:rPr>
            <w:rStyle w:val="Hyperlink"/>
            <w:rFonts w:ascii="Times New Roman" w:hAnsi="Times New Roman"/>
            <w:b w:val="false"/>
            <w:i w:val="false"/>
            <w:color w:val="000000"/>
            <w:sz w:val="22"/>
          </w:rPr>
          <w:t>422.5, subsection 3</w:t>
        </w:r>
      </w:hyperlink>
      <w:r>
        <w:rPr>
          <w:rFonts w:ascii="Times New Roman" w:hAnsi="Times New Roman"/>
          <w:b w:val="false"/>
          <w:i w:val="false"/>
          <w:color w:val="000000"/>
          <w:sz w:val="22"/>
        </w:rPr>
        <w:t>, the total amount of a lump-sum distribution subject to the separate federal tax must be included in the net income. If this net income (including the lump-sum distribution income) is less than $9,000 for single taxpayers and less than $13,500 for all other taxpayers, then no tax (other than Iowa minimum tax) is due. The Iowa tax on lump-sum distributions and the computed tax may be limited to the amount of income tax that exceeds $9,000 for single taxpayers and $13,500 for all other taxpayers (including the lump-sum distribution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If the net income of a single taxpayer including a lump-sum distribution was $9,030 and the computed tax and lump-sum tax was $50 after personal exemptions and out-of-state credit, the payment of $50 tax would reduce the income below $9,000; therefore, the amount of tax due is reduced to $30 in order for the taxpayer to retain a net income of $9,000.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 exemption of $18,000 for single taxpayers and an exemption of $24,000 for other taxpayers who are 65 years of age or older. </w:t>
      </w:r>
      <w:r>
        <w:rPr>
          <w:rFonts w:ascii="Times New Roman" w:hAnsi="Times New Roman"/>
          <w:b w:val="false"/>
          <w:i w:val="false"/>
          <w:color w:val="000000"/>
          <w:sz w:val="22"/>
        </w:rPr>
        <w:t xml:space="preserve">These exemption amounts apply for tax years beginning on or after January 1, 2007, but before January 1, 2009. To be eligible for the $18,000 or less exemption for single taxpayers and the $24,000 or less exemption for all other taxpayers as provided in 2007 Iowa Code section </w:t>
      </w:r>
      <w:hyperlink r:id="rId47">
        <w:r>
          <w:rPr>
            <w:rStyle w:val="Hyperlink"/>
            <w:rFonts w:ascii="Times New Roman" w:hAnsi="Times New Roman"/>
            <w:b w:val="false"/>
            <w:i w:val="false"/>
            <w:color w:val="000000"/>
            <w:sz w:val="22"/>
          </w:rPr>
          <w:t>422.5, subsection 3A</w:t>
        </w:r>
      </w:hyperlink>
      <w:r>
        <w:rPr>
          <w:rFonts w:ascii="Times New Roman" w:hAnsi="Times New Roman"/>
          <w:b w:val="false"/>
          <w:i w:val="false"/>
          <w:color w:val="000000"/>
          <w:sz w:val="22"/>
        </w:rPr>
        <w:t>, the total amount of a lump-sum distribution subject to the separate federal tax must be included in the net income. If this net income (including the lump-sum distribution income) is less than $18,000 for single taxpayers and less than $24,000 for all other taxpayers, then no tax (other than Iowa minimum tax) is due. The Iowa tax on lump-sum distributions and the computed tax may be limited to the amount of income tax that exceeds $18,000 for single taxpayers and $24,000 for all other taxpayers (including the lump-sum distribution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If the net income of a single taxpayer including a lump-sum distribution was $18,200 and the computed tax and lump-sum tax was $300 after personal exemptions and out-of-state credit, the payment of $300 tax would reduce the income below $18,000; therefore, the amount of tax due is reduced to $200 in order for the taxpayer to retain a net income of $18,000.</w:t>
      </w:r>
    </w:p>
    <w:p>
      <w:pPr>
        <w:spacing w:before="0" w:after="0"/>
        <w:ind w:left="120"/>
        <w:jc w:val="both"/>
      </w:pPr>
      <w:r>
        <w:rPr>
          <w:rFonts w:ascii="Times New Roman" w:hAnsi="Times New Roman"/>
          <w:b w:val="false"/>
          <w:i w:val="false"/>
          <w:color w:val="000000"/>
          <w:sz w:val="22"/>
        </w:rPr>
        <w:t>For married persons filing jointly, filing separately on a combined return or filing separate returns, only one spouse is required to be 65 years of age or older on December 31 of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 exemption of $24,000 for single taxpayers and an exemption of $32,000 for all other taxpayers who are 65 years of age or older. </w:t>
      </w:r>
      <w:r>
        <w:rPr>
          <w:rFonts w:ascii="Times New Roman" w:hAnsi="Times New Roman"/>
          <w:b w:val="false"/>
          <w:i w:val="false"/>
          <w:color w:val="000000"/>
          <w:sz w:val="22"/>
        </w:rPr>
        <w:t xml:space="preserve">These exemption amounts apply for tax years beginning on or after January 1, 2009. To be eligible for the $24,000 or less exemption for single taxpayers and the $32,000 or less exemption for all other taxpayers as provided in Iowa Code section </w:t>
      </w:r>
      <w:hyperlink r:id="rId48">
        <w:r>
          <w:rPr>
            <w:rStyle w:val="Hyperlink"/>
            <w:rFonts w:ascii="Times New Roman" w:hAnsi="Times New Roman"/>
            <w:b w:val="false"/>
            <w:i w:val="false"/>
            <w:color w:val="000000"/>
            <w:sz w:val="22"/>
          </w:rPr>
          <w:t>422.5, subsection 3B</w:t>
        </w:r>
      </w:hyperlink>
      <w:r>
        <w:rPr>
          <w:rFonts w:ascii="Times New Roman" w:hAnsi="Times New Roman"/>
          <w:b w:val="false"/>
          <w:i w:val="false"/>
          <w:color w:val="000000"/>
          <w:sz w:val="22"/>
        </w:rPr>
        <w:t>, the total amount of a lump-sum distribution subject to the separate federal tax must be included in the net income. If this net income (including the lump-sum distribution income) is less than $24,000 for single taxpayers and less than $32,000 for all other taxpayers, then no tax (other than Iowa minimum tax) is due. The Iowa tax on lump-sum distributions and the computed tax may be limited to the amount of income tax that exceeds $24,000 for single taxpayers and $32,000 for all other taxpayers (including the lump-sum distribution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If the net income of a single taxpayer including a lump-sum distribution was $24,300 and the computed tax and lump-sum tax was $500 after personal exemptions and out-of-state credit, the payment of $500 tax would reduce the income below $24,000; therefore, the amount of tax due is reduced to $300 in order for the taxpayer to retain a net income of $24,000.</w:t>
      </w:r>
    </w:p>
    <w:p>
      <w:pPr>
        <w:spacing w:before="0" w:after="0"/>
        <w:ind w:left="120"/>
        <w:jc w:val="both"/>
      </w:pPr>
      <w:r>
        <w:rPr>
          <w:rFonts w:ascii="Times New Roman" w:hAnsi="Times New Roman"/>
          <w:b w:val="false"/>
          <w:i w:val="false"/>
          <w:color w:val="000000"/>
          <w:sz w:val="22"/>
        </w:rPr>
        <w:t>For married persons filing jointly, filing separately on a combined return or filing separate returns, only one spouse is required to be 65 years of age or older on December 31 of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301.7(2)</w:t>
      </w:r>
      <w:r>
        <w:rPr>
          <w:rFonts w:ascii="Times New Roman" w:hAnsi="Times New Roman"/>
          <w:b w:val="false"/>
          <w:i w:val="false"/>
          <w:color w:val="000000"/>
          <w:sz w:val="22"/>
        </w:rPr>
        <w:t> </w:t>
      </w:r>
      <w:r>
        <w:rPr>
          <w:rFonts w:ascii="Times New Roman" w:hAnsi="Times New Roman"/>
          <w:b w:val="false"/>
          <w:i/>
          <w:color w:val="000000"/>
          <w:sz w:val="22"/>
        </w:rPr>
        <w:t xml:space="preserve">Nonresidents. </w:t>
      </w:r>
      <w:r>
        <w:rPr>
          <w:rFonts w:ascii="Times New Roman" w:hAnsi="Times New Roman"/>
          <w:b w:val="false"/>
          <w:i w:val="false"/>
          <w:color w:val="000000"/>
          <w:sz w:val="22"/>
        </w:rPr>
        <w:t>A nonresident is liable for tax on a lump-sum distribution or a portion of a lump-sum distribution attributable to services performed within Iowa. If a distribution to a nonresident is attributable to services performed both within and outside Iowa, the tax must be allocated in the ratio of the income from services performed within Iowa to the total income from all services performed relating to the lump-sum distribution unless it can be shown that another method of proration would result in a more equitable amount of tax on the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301.7(3)</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w:t>
      </w:r>
      <w:r>
        <w:rPr>
          <w:rFonts w:ascii="Times New Roman" w:hAnsi="Times New Roman"/>
          <w:b w:val="false"/>
          <w:i w:val="false"/>
          <w:color w:val="000000"/>
          <w:sz w:val="22"/>
        </w:rPr>
        <w:t xml:space="preserve">In computing penalty and interest for failing to file a timely return or to pay the lump-sum tax, refer to </w:t>
      </w:r>
      <w:hyperlink r:id="rId49">
        <w:r>
          <w:rPr>
            <w:rStyle w:val="Hyperlink"/>
            <w:rFonts w:ascii="Times New Roman" w:hAnsi="Times New Roman"/>
            <w:b w:val="false"/>
            <w:i w:val="false"/>
            <w:color w:val="000000"/>
            <w:sz w:val="22"/>
          </w:rPr>
          <w:t>701—Chapter 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301.7(4)</w:t>
      </w:r>
      <w:r>
        <w:rPr>
          <w:rFonts w:ascii="Times New Roman" w:hAnsi="Times New Roman"/>
          <w:b w:val="false"/>
          <w:i w:val="false"/>
          <w:color w:val="000000"/>
          <w:sz w:val="22"/>
        </w:rPr>
        <w:t> </w:t>
      </w:r>
      <w:r>
        <w:rPr>
          <w:rFonts w:ascii="Times New Roman" w:hAnsi="Times New Roman"/>
          <w:b w:val="false"/>
          <w:i/>
          <w:color w:val="000000"/>
          <w:sz w:val="22"/>
        </w:rPr>
        <w:t xml:space="preserve">Personal exemption credits. </w:t>
      </w:r>
      <w:r>
        <w:rPr>
          <w:rFonts w:ascii="Times New Roman" w:hAnsi="Times New Roman"/>
          <w:b w:val="false"/>
          <w:i w:val="false"/>
          <w:color w:val="000000"/>
          <w:sz w:val="22"/>
        </w:rPr>
        <w:t xml:space="preserve">Personal and dependent exemption credits may be applied against the separate lump-sum tax to the extent that the credits are not fully applied against the computed tax on income reported under Iowa Code section </w:t>
      </w:r>
      <w:hyperlink r:id="rId50">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301.7(5)</w:t>
      </w:r>
      <w:r>
        <w:rPr>
          <w:rFonts w:ascii="Times New Roman" w:hAnsi="Times New Roman"/>
          <w:b w:val="false"/>
          <w:i w:val="false"/>
          <w:color w:val="000000"/>
          <w:sz w:val="22"/>
        </w:rPr>
        <w:t> </w:t>
      </w:r>
      <w:r>
        <w:rPr>
          <w:rFonts w:ascii="Times New Roman" w:hAnsi="Times New Roman"/>
          <w:b w:val="false"/>
          <w:i/>
          <w:color w:val="000000"/>
          <w:sz w:val="22"/>
        </w:rPr>
        <w:t xml:space="preserve">Out-of-state tax credit. </w:t>
      </w:r>
      <w:r>
        <w:rPr>
          <w:rFonts w:ascii="Times New Roman" w:hAnsi="Times New Roman"/>
          <w:b w:val="false"/>
          <w:i w:val="false"/>
          <w:color w:val="000000"/>
          <w:sz w:val="22"/>
        </w:rPr>
        <w:t>When computing an out-of-state tax credit for a year in which tax on a lump-sum distribution has been computed separately, the amount of the lump-sum distribution on which the separate tax has been computed must be included on the Iowa gross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2408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701—301.8</w:t>
      </w:r>
      <w:r>
        <w:rPr>
          <w:rFonts w:ascii="Times New Roman" w:hAnsi="Times New Roman"/>
          <w:b/>
          <w:i w:val="false"/>
          <w:color w:val="000000"/>
          <w:sz w:val="22"/>
        </w:rPr>
        <w:t xml:space="preserve">(422) </w:t>
      </w:r>
      <w:r>
        <w:rPr>
          <w:rFonts w:ascii="Times New Roman" w:hAnsi="Times New Roman"/>
          <w:b/>
          <w:i w:val="false"/>
          <w:color w:val="000000"/>
          <w:sz w:val="22"/>
        </w:rPr>
        <w:t xml:space="preserve">State income tax limited to taxpayer’s net worth immediately before the distressed sale. </w:t>
      </w:r>
      <w:r>
        <w:rPr>
          <w:rFonts w:ascii="Times New Roman" w:hAnsi="Times New Roman"/>
          <w:b w:val="false"/>
          <w:i w:val="false"/>
          <w:color w:val="000000"/>
          <w:sz w:val="22"/>
        </w:rPr>
        <w:t>Taxpayers whose net incomes include gains or losses from distressed sales may limit their state income tax liabilities for the tax years in which the distress sales occurred to their net worths immediately before the distressed sales. The state income tax liability of a taxpayer is the aggregate of the taxpayer’s income tax plus the taxpayer’s minimum tax plus the taxpayer’s lump-sum tax. For purposes of this provision, a distressed sale is the forfeiture of an installment real estate contract, the transfer of real or personal property securing a debt to a creditor in cancellation of that debt, or from the sale or exchange of property as a result of actual notice of foreclosure. Proof of forfeiture of the installment real estate contract, proof of transfer of property to a creditor in cancellation of a debt, or a copy of the notice of foreclosure will constitute documentation of the distressed sale and must be made a part of the return. A copy of the balance sheet showing the taxpayer’s net worth immediately before the distressed sale must also be provided with the return.</w:t>
      </w:r>
    </w:p>
    <w:p>
      <w:pPr>
        <w:spacing w:before="0" w:after="0"/>
        <w:ind w:left="120"/>
        <w:jc w:val="both"/>
      </w:pPr>
      <w:r>
        <w:rPr>
          <w:rFonts w:ascii="Times New Roman" w:hAnsi="Times New Roman"/>
          <w:b w:val="false"/>
          <w:i w:val="false"/>
          <w:color w:val="000000"/>
          <w:sz w:val="22"/>
        </w:rPr>
        <w:t>The balance sheet supporting the taxpayer’s net worth must include the taxpayer’s personal assets and liabilities as well as the assets of the taxpayer’s farm or other business. In the case of married taxpayers, except in the case of a husband and wife who lived apart at all times during the tax year, the assets and liabilities of both spouses must be considered in determining the taxpayers’ net worth immediately before the distressed sale.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701—301.9</w:t>
      </w:r>
      <w:r>
        <w:rPr>
          <w:rFonts w:ascii="Times New Roman" w:hAnsi="Times New Roman"/>
          <w:b/>
          <w:i w:val="false"/>
          <w:color w:val="000000"/>
          <w:sz w:val="22"/>
        </w:rPr>
        <w:t xml:space="preserve">(422) </w:t>
      </w:r>
      <w:r>
        <w:rPr>
          <w:rFonts w:ascii="Times New Roman" w:hAnsi="Times New Roman"/>
          <w:b/>
          <w:i w:val="false"/>
          <w:color w:val="000000"/>
          <w:sz w:val="22"/>
        </w:rPr>
        <w:t xml:space="preserve">Special tax computation for all low-income taxpayers except single taxpayers. </w:t>
      </w:r>
      <w:r>
        <w:rPr>
          <w:rFonts w:ascii="Times New Roman" w:hAnsi="Times New Roman"/>
          <w:b w:val="false"/>
          <w:i w:val="false"/>
          <w:color w:val="000000"/>
          <w:sz w:val="22"/>
        </w:rPr>
        <w:t xml:space="preserve">For tax years beginning on or after January 1, 1987, a special tax computation is available for determining the state income tax liability for all low-income taxpayers except single taxpayers described in subrule </w:t>
      </w:r>
      <w:hyperlink r:id="rId53">
        <w:r>
          <w:rPr>
            <w:rStyle w:val="Hyperlink"/>
            <w:rFonts w:ascii="Times New Roman" w:hAnsi="Times New Roman"/>
            <w:b w:val="false"/>
            <w:i w:val="false"/>
            <w:color w:val="000000"/>
            <w:sz w:val="22"/>
          </w:rPr>
          <w:t>301.4(1)</w:t>
        </w:r>
      </w:hyperlink>
      <w:r>
        <w:rPr>
          <w:rFonts w:ascii="Times New Roman" w:hAnsi="Times New Roman"/>
          <w:b w:val="false"/>
          <w:i w:val="false"/>
          <w:color w:val="000000"/>
          <w:sz w:val="22"/>
        </w:rPr>
        <w:t xml:space="preserve">. Under this provision, the taxpayer multiplies the net income for the tax year in excess of $13,500 for tax years beginning on or after January 1, 1993, by the maximum individual income tax rate. The tax amount computed by this procedure is then compared to the tax amount on the individual’s taxable income from the tax tables or the tax-rate schedule. The taxpayer is subject to the lesser of the two tax amounts. In the case of married taxpayers electing to file separate returns or separately on the combined return form, the incomes of both spouses must be considered for purposes of determining the tax liability from the special tax computation. For purposes of this rule, the partial exclusion of pension and other retirement benefits described in rule </w:t>
      </w:r>
      <w:hyperlink r:id="rId54">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 xml:space="preserve">(422) and the phase-out exclusion for social security benefits described in </w:t>
      </w:r>
      <w:hyperlink r:id="rId55">
        <w:r>
          <w:rPr>
            <w:rStyle w:val="Hyperlink"/>
            <w:rFonts w:ascii="Times New Roman" w:hAnsi="Times New Roman"/>
            <w:b w:val="false"/>
            <w:i w:val="false"/>
            <w:color w:val="000000"/>
            <w:sz w:val="22"/>
          </w:rPr>
          <w:t>701—subrule 302.23(3)</w:t>
        </w:r>
      </w:hyperlink>
      <w:r>
        <w:rPr>
          <w:rFonts w:ascii="Times New Roman" w:hAnsi="Times New Roman"/>
          <w:b w:val="false"/>
          <w:i w:val="false"/>
          <w:color w:val="000000"/>
          <w:sz w:val="22"/>
        </w:rPr>
        <w:t xml:space="preserve"> must be included in the net income amounts when determining the tax liability from the special tax computation. The tax liability calculated from the special tax computation is allocated between the spouses in the ratio of each spouse’s net income to the combined net income of both spouses. In determining the special tax computation for taxpayers who are 65 years of age or older for tax years beginning on or after January 1, 2007, see rule </w:t>
      </w:r>
      <w:hyperlink r:id="rId56">
        <w:r>
          <w:rPr>
            <w:rStyle w:val="Hyperlink"/>
            <w:rFonts w:ascii="Times New Roman" w:hAnsi="Times New Roman"/>
            <w:b w:val="false"/>
            <w:i w:val="false"/>
            <w:color w:val="000000"/>
            <w:sz w:val="22"/>
          </w:rPr>
          <w:t>701—301.15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For example, a married couple’s net income in 1987 was $8,200. The taxpayers elected to file separately on the combined return form for 1987. One spouse had a net income of $6,000, the second spouse had a net income of $2,200. There was no federal income tax withheld on the wages earned by either of the taxpayers. The spouse with the net income of $6,000 had a regular income tax liability of $105. The spouse with the net income of $2,200 had a regular income tax liability of $4. The special tax computation of these taxpayers is shown below:</w:t>
      </w:r>
    </w:p>
    <w:tbl>
      <w:tblPr>
        <w:tblW w:w="5000" w:type="pct"/>
        <w:tblCellSpacing w:w="0" w:type="auto"/>
        <w:tblBorders>
          <w:top w:val="none"/>
          <w:left w:val="none"/>
          <w:bottom w:val="none"/>
          <w:right w:val="none"/>
          <w:insideH w:val="none"/>
          <w:insideV w:val="none"/>
        </w:tblBorders>
        <w:tblLayout w:type="fixed"/>
      </w:tblPr>
      <w:tblGrid>
        <w:gridCol w:w="1465"/>
        <w:gridCol w:w="8025"/>
        <w:gridCol w:w="1700"/>
      </w:tblGrid>
      <w:tr>
        <w:trPr>
          <w:trHeight w:val="210" w:hRule="atLeast"/>
        </w:trPr>
        <w:tc>
          <w:tcPr>
            <w:tcW w:w="1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Taxpayers’ combined net income</w:t>
            </w:r>
          </w:p>
        </w:tc>
        <w:tc>
          <w:tcPr>
            <w:tcW w:w="170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$8,200</w:t>
            </w:r>
          </w:p>
        </w:tc>
      </w:tr>
      <w:tr>
        <w:trPr>
          <w:trHeight w:val="210" w:hRule="atLeast"/>
        </w:trPr>
        <w:tc>
          <w:tcPr>
            <w:tcW w:w="1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 + $2,200)</w:t>
            </w:r>
          </w:p>
        </w:tc>
        <w:tc>
          <w:tcPr>
            <w:tcW w:w="17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80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not subject to special tax</w:t>
            </w:r>
          </w:p>
        </w:tc>
        <w:tc>
          <w:tcPr>
            <w:tcW w:w="170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xml:space="preserve"> 7,500</w:t>
            </w:r>
          </w:p>
        </w:tc>
      </w:tr>
      <w:tr>
        <w:trPr>
          <w:trHeight w:val="210" w:hRule="atLeast"/>
        </w:trPr>
        <w:tc>
          <w:tcPr>
            <w:tcW w:w="1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subject to special tax</w:t>
            </w:r>
          </w:p>
        </w:tc>
        <w:tc>
          <w:tcPr>
            <w:tcW w:w="170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700</w:t>
            </w:r>
          </w:p>
        </w:tc>
      </w:tr>
      <w:tr>
        <w:trPr>
          <w:trHeight w:val="210" w:hRule="atLeast"/>
        </w:trPr>
        <w:tc>
          <w:tcPr>
            <w:tcW w:w="1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9.98</w:t>
            </w:r>
            <w:r>
              <w:rPr>
                <w:rFonts w:ascii="Times New Roman" w:hAnsi="Times New Roman"/>
                <w:b w:val="false"/>
                <w:i w:val="false"/>
                <w:color w:val="000000"/>
                <w:sz w:val="16"/>
              </w:rPr>
              <w:t>%</w:t>
            </w:r>
          </w:p>
        </w:tc>
      </w:tr>
      <w:tr>
        <w:trPr>
          <w:trHeight w:val="210" w:hRule="atLeast"/>
        </w:trPr>
        <w:tc>
          <w:tcPr>
            <w:tcW w:w="1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0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Special tax liability for 1987</w:t>
            </w:r>
          </w:p>
        </w:tc>
        <w:tc>
          <w:tcPr>
            <w:tcW w:w="170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$ 70</w:t>
            </w:r>
          </w:p>
        </w:tc>
      </w:tr>
    </w:tbl>
    <w:p>
      <w:pPr>
        <w:spacing w:before="0" w:after="0"/>
        <w:ind w:left="120"/>
        <w:jc w:val="both"/>
      </w:pPr>
      <w:r>
        <w:rPr>
          <w:rFonts w:ascii="Times New Roman" w:hAnsi="Times New Roman"/>
          <w:b w:val="false"/>
          <w:i w:val="false"/>
          <w:color w:val="000000"/>
          <w:sz w:val="22"/>
        </w:rPr>
        <w:t>The taxpayers’ special tax liability for 1987 was $70. The special tax is imposed since it is less than the taxpayers’ regular tax liability of $109. This special tax liability is allocated to each spouse on the following basis:</w:t>
      </w:r>
    </w:p>
    <w:tbl>
      <w:tblPr>
        <w:tblW w:w="5000" w:type="pct"/>
        <w:tblCellSpacing w:w="0" w:type="auto"/>
        <w:tblBorders>
          <w:top w:val="none"/>
          <w:left w:val="none"/>
          <w:bottom w:val="none"/>
          <w:right w:val="none"/>
          <w:insideH w:val="none"/>
          <w:insideV w:val="none"/>
        </w:tblBorders>
        <w:tblLayout w:type="fixed"/>
      </w:tblPr>
      <w:tblGrid>
        <w:gridCol w:w="1352"/>
        <w:gridCol w:w="1291"/>
        <w:gridCol w:w="653"/>
        <w:gridCol w:w="1252"/>
        <w:gridCol w:w="2097"/>
        <w:gridCol w:w="1291"/>
        <w:gridCol w:w="652"/>
        <w:gridCol w:w="1251"/>
        <w:gridCol w:w="1351"/>
      </w:tblGrid>
      <w:tr>
        <w:trPr>
          <w:trHeight w:val="210" w:hRule="atLeast"/>
        </w:trPr>
        <w:tc>
          <w:tcPr>
            <w:tcW w:w="1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Spouse 1</w:t>
            </w:r>
          </w:p>
        </w:tc>
        <w:tc>
          <w:tcPr>
            <w:tcW w:w="6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Spouse 2</w:t>
            </w:r>
          </w:p>
        </w:tc>
        <w:tc>
          <w:tcPr>
            <w:tcW w:w="6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9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$6,000</w:t>
            </w:r>
          </w:p>
        </w:tc>
        <w:tc>
          <w:tcPr>
            <w:tcW w:w="653"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25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70 = $51</w:t>
            </w:r>
          </w:p>
        </w:tc>
        <w:tc>
          <w:tcPr>
            <w:tcW w:w="20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91"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$2,200</w:t>
            </w:r>
          </w:p>
        </w:tc>
        <w:tc>
          <w:tcPr>
            <w:tcW w:w="65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25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70 = $19</w:t>
            </w:r>
          </w:p>
        </w:tc>
        <w:tc>
          <w:tcPr>
            <w:tcW w:w="13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$8,200</w:t>
            </w:r>
          </w:p>
        </w:tc>
        <w:tc>
          <w:tcPr>
            <w:tcW w:w="0" w:type="auto"/>
            <w:vMerge/>
            <w:tcBorders>
              <w:top w:val="nil"/>
            </w:tcBorders>
          </w:tcPr>
          <w:p/>
        </w:tc>
        <w:tc>
          <w:tcPr>
            <w:tcW w:w="0" w:type="auto"/>
            <w:vMerge/>
            <w:tcBorders>
              <w:top w:val="nil"/>
            </w:tcBorders>
          </w:tcPr>
          <w:p/>
        </w:tc>
        <w:tc>
          <w:tcPr>
            <w:tcW w:w="20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$8,200</w:t>
            </w:r>
          </w:p>
        </w:tc>
        <w:tc>
          <w:tcPr>
            <w:tcW w:w="0" w:type="auto"/>
            <w:vMerge/>
            <w:tcBorders>
              <w:top w:val="nil"/>
            </w:tcBorders>
          </w:tcPr>
          <w:p/>
        </w:tc>
        <w:tc>
          <w:tcPr>
            <w:tcW w:w="0" w:type="auto"/>
            <w:vMerge/>
            <w:tcBorders>
              <w:top w:val="nil"/>
            </w:tcBorders>
          </w:tcPr>
          <w:p/>
        </w:tc>
        <w:tc>
          <w:tcPr>
            <w:tcW w:w="13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The special tax computation for low-income taxpayers is not available to married taxpayers filing separate state returns or to married taxpayers filing separately on the combined return form in instances where one of the spouses has a net operating loss described in Iowa Code section </w:t>
      </w:r>
      <w:hyperlink r:id="rId57">
        <w:r>
          <w:rPr>
            <w:rStyle w:val="Hyperlink"/>
            <w:rFonts w:ascii="Times New Roman" w:hAnsi="Times New Roman"/>
            <w:b w:val="false"/>
            <w:i w:val="false"/>
            <w:color w:val="000000"/>
            <w:sz w:val="22"/>
          </w:rPr>
          <w:t>422.9, subsection 3</w:t>
        </w:r>
      </w:hyperlink>
      <w:r>
        <w:rPr>
          <w:rFonts w:ascii="Times New Roman" w:hAnsi="Times New Roman"/>
          <w:b w:val="false"/>
          <w:i w:val="false"/>
          <w:color w:val="000000"/>
          <w:sz w:val="22"/>
        </w:rPr>
        <w:t xml:space="preserve">, and the spouse elects to carry back or carry forward the net operating loss. Also, the special tax computation for low-income taxpayers is not available if the taxpayer is required to annualize the taxpayer’s income as described in rule </w:t>
      </w:r>
      <w:hyperlink r:id="rId58">
        <w:r>
          <w:rPr>
            <w:rStyle w:val="Hyperlink"/>
            <w:rFonts w:ascii="Times New Roman" w:hAnsi="Times New Roman"/>
            <w:b w:val="false"/>
            <w:i w:val="false"/>
            <w:color w:val="000000"/>
            <w:sz w:val="22"/>
          </w:rPr>
          <w:t>701—303.9</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701—301.10</w:t>
      </w:r>
      <w:r>
        <w:rPr>
          <w:rFonts w:ascii="Times New Roman" w:hAnsi="Times New Roman"/>
          <w:b/>
          <w:i w:val="false"/>
          <w:color w:val="000000"/>
          <w:sz w:val="22"/>
        </w:rPr>
        <w:t xml:space="preserve">(422) </w:t>
      </w:r>
      <w:r>
        <w:rPr>
          <w:rFonts w:ascii="Times New Roman" w:hAnsi="Times New Roman"/>
          <w:b/>
          <w:i w:val="false"/>
          <w:color w:val="000000"/>
          <w:sz w:val="22"/>
        </w:rPr>
        <w:t xml:space="preserve">Election to report excess income from sale or exchange of livestock due to drought in the next tax year. </w:t>
      </w:r>
      <w:r>
        <w:rPr>
          <w:rFonts w:ascii="Times New Roman" w:hAnsi="Times New Roman"/>
          <w:b w:val="false"/>
          <w:i w:val="false"/>
          <w:color w:val="000000"/>
          <w:sz w:val="22"/>
        </w:rPr>
        <w:t>For tax years beginning on or after January 1, 1990, a taxpayer may elect to report excess income from the sale or exchange of livestock due to drought on the Iowa return for the next tax year if the taxpayer qualified for similar treatment of the excess income under Section 451(e) of the Internal Revenue Code. This election is available only to a taxpayer on the cash receipts and disbursements method of accounting whose principal trade or business is farming as described in Section 6420(c)(3) of the Internal Revenue Code. For purposes of this rule the election applies to all livestock held for sale or exchange, whether raised or purchased for resale. This election also applies to livestock used for draft, breeding, dairy, or sporting purposes which were held less than two years in the case of cattle and horses and less than one year in the case of other livestock. For purposes of this election, livestock does not include poultry.</w:t>
      </w:r>
    </w:p>
    <w:p>
      <w:pPr>
        <w:spacing w:before="0" w:after="0"/>
        <w:ind w:left="120"/>
        <w:jc w:val="both"/>
      </w:pPr>
      <w:r>
        <w:rPr>
          <w:rFonts w:ascii="Times New Roman" w:hAnsi="Times New Roman"/>
          <w:b w:val="false"/>
          <w:i w:val="false"/>
          <w:color w:val="000000"/>
          <w:sz w:val="22"/>
        </w:rPr>
        <w:t>The area in which the livestock was sold or exchanged must have been declared a disaster area due to drought. However, the sale or exchange can take place before or after the area is declared a disaster area as long as the same disaster (the drought) caused the livestock sale. In order for the election to report excess income in the following tax year to be valid, the election must be made by the due date of the return, including extensions. Additional information about computing the excess income as well as information needed on the statement for making the election is described in Treasury Regulation §1.451-7.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701—301.11</w:t>
      </w:r>
      <w:r>
        <w:rPr>
          <w:rFonts w:ascii="Times New Roman" w:hAnsi="Times New Roman"/>
          <w:b/>
          <w:i w:val="false"/>
          <w:color w:val="000000"/>
          <w:sz w:val="22"/>
        </w:rPr>
        <w:t xml:space="preserve">(422) </w:t>
      </w:r>
      <w:r>
        <w:rPr>
          <w:rFonts w:ascii="Times New Roman" w:hAnsi="Times New Roman"/>
          <w:b/>
          <w:i w:val="false"/>
          <w:color w:val="000000"/>
          <w:sz w:val="22"/>
        </w:rPr>
        <w:t xml:space="preserve">Forgiveness of tax for an individual whose federal income tax was forgiven because the individual was killed outside the United States due to military or terroristic action. </w:t>
      </w:r>
      <w:r>
        <w:rPr>
          <w:rFonts w:ascii="Times New Roman" w:hAnsi="Times New Roman"/>
          <w:b w:val="false"/>
          <w:i w:val="false"/>
          <w:color w:val="000000"/>
          <w:sz w:val="22"/>
        </w:rPr>
        <w:t>For tax years ending on or after August 2, 1990, an individual’s Iowa income tax is forgiven if the person’s federal income tax was forgiven because the individual was killed in a combat zone, the individual was missing in action and presumed dead, or the individual was killed outside the United States due to terrorist or military action while the person was a military or civilian employee of the United States. The Iowa income tax is forgiven on the return for the tax year in which the individual was killed or was missing and was presumed dead, and is forgiven on the return for the tax year prior to the year of death. In a situation where the person that was killed was married at the time of death, no tax will be due on the return filed for the year of death if a joint state return or a married filing separately on the combined state return is filed for that tax year. In the case of the return for the tax year prior to the year of death for the person killed in military or terrorist action, all the tax will be forgiven on the return if the person was married at the time of death and a joint state return or a married filing separate state return was filed for this prior year. However, if the person that was killed had filed a return using the married filing separately on the combined return form status, only the state income tax attributable to the person that was killed will be forgiven. The department will not honor an amended return for the prior year to change the filing status from separately on the combined return form to joint return so all the state income tax for both spouses will be forgiven.</w:t>
      </w:r>
    </w:p>
    <w:p>
      <w:pPr>
        <w:spacing w:before="0" w:after="0"/>
        <w:ind w:left="120"/>
        <w:jc w:val="both"/>
      </w:pPr>
      <w:r>
        <w:rPr>
          <w:rFonts w:ascii="Times New Roman" w:hAnsi="Times New Roman"/>
          <w:b w:val="false"/>
          <w:i w:val="false"/>
          <w:color w:val="000000"/>
          <w:sz w:val="22"/>
        </w:rPr>
        <w:t xml:space="preserve">When a state income tax return or claim for refund is filed for forgiveness of tax for an individual who was killed in military or terrorist action, a notation should be entered at the top of the return “Forgiveness of Tax—Killed in Military Action” or “Forgiveness of Tax—Killed in Terrorist Action” depending on how the individual was killed. In addition, a copy of the death certificate, or other evidence of the person’s death or evidence establishing that the individual is missing in action and presumed dead, should be attached to the claim for refund or the tax return. A refund claim for forgiveness of tax will be honored only if the claim is made within the statute of limitations for refund provided in Iowa Code subsection </w:t>
      </w:r>
      <w:hyperlink r:id="rId61">
        <w:r>
          <w:rPr>
            <w:rStyle w:val="Hyperlink"/>
            <w:rFonts w:ascii="Times New Roman" w:hAnsi="Times New Roman"/>
            <w:b w:val="false"/>
            <w:i w:val="false"/>
            <w:color w:val="000000"/>
            <w:sz w:val="22"/>
          </w:rPr>
          <w:t>422.73(2)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701—301.12</w:t>
      </w:r>
      <w:r>
        <w:rPr>
          <w:rFonts w:ascii="Times New Roman" w:hAnsi="Times New Roman"/>
          <w:b/>
          <w:i w:val="false"/>
          <w:color w:val="000000"/>
          <w:sz w:val="22"/>
        </w:rPr>
        <w:t xml:space="preserve">(422) </w:t>
      </w:r>
      <w:r>
        <w:rPr>
          <w:rFonts w:ascii="Times New Roman" w:hAnsi="Times New Roman"/>
          <w:b/>
          <w:i w:val="false"/>
          <w:color w:val="000000"/>
          <w:sz w:val="22"/>
        </w:rPr>
        <w:t xml:space="preserve">Tax benefits for persons in the armed forces deployed outside the United States and for certain other persons serving in support of those forces.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301.12(1)</w:t>
      </w:r>
      <w:r>
        <w:rPr>
          <w:rFonts w:ascii="Times New Roman" w:hAnsi="Times New Roman"/>
          <w:b w:val="false"/>
          <w:i w:val="false"/>
          <w:color w:val="000000"/>
          <w:sz w:val="22"/>
        </w:rPr>
        <w:t> </w:t>
      </w:r>
      <w:r>
        <w:rPr>
          <w:rFonts w:ascii="Times New Roman" w:hAnsi="Times New Roman"/>
          <w:b w:val="false"/>
          <w:i/>
          <w:color w:val="000000"/>
          <w:sz w:val="22"/>
        </w:rPr>
        <w:t xml:space="preserve">Extension of deadlines.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Extension of certain deadlines for certain military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ending after August 2, 1990, the time period to file state income tax returns and to perform certain other acts related to the department (“certain other acts related to the department” is defined in </w:t>
      </w:r>
      <w:hyperlink r:id="rId64">
        <w:r>
          <w:rPr>
            <w:rStyle w:val="Hyperlink"/>
            <w:rFonts w:ascii="Times New Roman" w:hAnsi="Times New Roman"/>
            <w:b w:val="false"/>
            <w:i w:val="false"/>
            <w:color w:val="000000"/>
            <w:sz w:val="22"/>
          </w:rPr>
          <w:t>paragraph 301.12(1)</w:t>
        </w:r>
      </w:hyperlink>
      <w:r>
        <w:rPr>
          <w:rFonts w:ascii="Times New Roman" w:hAnsi="Times New Roman"/>
          <w:b w:val="false"/>
          <w:i/>
          <w:color w:val="000000"/>
          <w:sz w:val="22"/>
        </w:rPr>
        <w:t>“e”</w:t>
      </w:r>
      <w:r>
        <w:rPr>
          <w:rFonts w:ascii="Times New Roman" w:hAnsi="Times New Roman"/>
          <w:b w:val="false"/>
          <w:i w:val="false"/>
          <w:color w:val="000000"/>
          <w:sz w:val="22"/>
        </w:rPr>
        <w:t xml:space="preserve"> below) is extended for persons in the armed forces: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serve in an area designated by the President or the Congress as a combat zone.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 serve in an area designated by the President or the Congress as a qualified hazardous duty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Who were deployed outside the United States in an operation designated by the Secretary of Defense as a contingency operation as defined in </w:t>
      </w:r>
      <w:r>
        <w:rPr>
          <w:rFonts w:ascii="Times New Roman" w:hAnsi="Times New Roman"/>
          <w:b w:val="false"/>
          <w:i w:val="false"/>
          <w:color w:val="000000"/>
          <w:sz w:val="22"/>
        </w:rPr>
        <w:t>10 U.S.C. § 101(a)(13)</w:t>
      </w:r>
      <w:r>
        <w:rPr>
          <w:rFonts w:ascii="Times New Roman" w:hAnsi="Times New Roman"/>
          <w:b w:val="false"/>
          <w:i w:val="false"/>
          <w:color w:val="000000"/>
          <w:sz w:val="22"/>
        </w:rPr>
        <w:t>, or which became a contingency operation by the operation of law. Persons who were deployed in a contingency operation who ceased to participate in such operation on or after May 21, 2003, are considered to be eligible individuals for purposes of being granted additional time to perform certain acts with the department to the extent the period for performing an act did not expire prior to May 21, 2003, or a later date if the person ceased to participate in the contingency operation on a date after May 21,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2008, the additional time to file returns and perform other acts related to the department described in this subrule is available to all active duty military service members in the armed forces, all armed forces military reservists, and all national guard personnel who are deployed outside the United States. These armed forces, armed forces reserve and national guard personnel are not required to be deployed outside the United States in a combat zone, qualified hazardous duty area, or contingency operation to be allowed the additional time to file Iowa returns and perform other acts related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Extension applicable to certain civilians. </w:t>
      </w:r>
      <w:r>
        <w:rPr>
          <w:rFonts w:ascii="Times New Roman" w:hAnsi="Times New Roman"/>
          <w:b w:val="false"/>
          <w:i w:val="false"/>
          <w:color w:val="000000"/>
          <w:sz w:val="22"/>
        </w:rPr>
        <w:t xml:space="preserve">Those persons who were serving in support of armed forces personnel in a combat zone or those persons who were serving in support of armed forces personnel in a qualified hazardous duty area are also eligible for the extension of the time period to file state income tax returns and to perform certain other acts related to the department. Persons eligible under this provision include certain civilians who were working in a combat zone and directly supporting military operations. Iowa allows this extension for those civilians who qualify for a federal extension under </w:t>
      </w:r>
      <w:r>
        <w:rPr>
          <w:rFonts w:ascii="Times New Roman" w:hAnsi="Times New Roman"/>
          <w:b w:val="false"/>
          <w:i w:val="false"/>
          <w:color w:val="000000"/>
          <w:sz w:val="22"/>
        </w:rPr>
        <w:t>Section 7508(a) of the Internal Revenue Code</w:t>
      </w:r>
      <w:r>
        <w:rPr>
          <w:rFonts w:ascii="Times New Roman" w:hAnsi="Times New Roman"/>
          <w:b w:val="false"/>
          <w:i w:val="false"/>
          <w:color w:val="000000"/>
          <w:sz w:val="22"/>
        </w:rPr>
        <w:t xml:space="preserve">. Examples of civilians who may be eligible are members of the Red Cross and contractors or civilian employees who worked in a combat zone.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Extension applicable to spouses of eligible individuals. </w:t>
      </w:r>
      <w:r>
        <w:rPr>
          <w:rFonts w:ascii="Times New Roman" w:hAnsi="Times New Roman"/>
          <w:b w:val="false"/>
          <w:i w:val="false"/>
          <w:color w:val="000000"/>
          <w:sz w:val="22"/>
        </w:rPr>
        <w:t>The additional time period for filing returns and performing other acts applies to the spouse of the person who was in the combat zone or the qualified hazardous duty area or the spouse of a person who was serving in support of persons in the combat zone or the hazardous duty area to the extent the spouse files jointly or separately on the combined return with the person who was in the combat zone or the hazardous duty area, or when the spouse is a party with the person who was serving in support of persons in the combat zone or hazardous duty area to any tax matter with the department for which the additional time period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Length of the extension period. </w:t>
      </w:r>
      <w:r>
        <w:rPr>
          <w:rFonts w:ascii="Times New Roman" w:hAnsi="Times New Roman"/>
          <w:b w:val="false"/>
          <w:i w:val="false"/>
          <w:color w:val="000000"/>
          <w:sz w:val="22"/>
        </w:rPr>
        <w:t xml:space="preserve">Eligible individuals are given the same additional time period to file state income tax returns and perform other acts related to the department as would constitute timely filing of returns or timely performance of other acts as described in </w:t>
      </w:r>
      <w:r>
        <w:rPr>
          <w:rFonts w:ascii="Times New Roman" w:hAnsi="Times New Roman"/>
          <w:b w:val="false"/>
          <w:i w:val="false"/>
          <w:color w:val="000000"/>
          <w:sz w:val="22"/>
        </w:rPr>
        <w:t>Section 7508(a) of the Internal Revenue Code</w:t>
      </w:r>
      <w:r>
        <w:rPr>
          <w:rFonts w:ascii="Times New Roman" w:hAnsi="Times New Roman"/>
          <w:b w:val="false"/>
          <w:i w:val="false"/>
          <w:color w:val="000000"/>
          <w:sz w:val="22"/>
        </w:rPr>
        <w:t>. The additional time period for filing state returns and performing other acts is 180 days after the person leaves the combat zone or hazardous duty area or ceases to participate in the contingency operation. However, a person who was hospitalized because of illness or injury in the combat zone or the hazardous duty area has up to five years to file returns or perform certain acts with this department after leaving the combat zone or hazardous duty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acts related to the department defined. </w:t>
      </w:r>
      <w:r>
        <w:rPr>
          <w:rFonts w:ascii="Times New Roman" w:hAnsi="Times New Roman"/>
          <w:b w:val="false"/>
          <w:i w:val="false"/>
          <w:color w:val="000000"/>
          <w:sz w:val="22"/>
        </w:rPr>
        <w:t>“Other acts related to the department” includes filing claims for refund for any type of tax administered by the department, making tax payments other than withholding payments, filing appeals on tax matters, filing returns for taxes other than income tax, and performing other acts such as making timely contributions to individual retirement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the extension. </w:t>
      </w:r>
      <w:r>
        <w:rPr>
          <w:rFonts w:ascii="Times New Roman" w:hAnsi="Times New Roman"/>
          <w:b w:val="false"/>
          <w:i w:val="false"/>
          <w:color w:val="000000"/>
          <w:sz w:val="22"/>
        </w:rPr>
        <w:t xml:space="preserve">In order to claim the extension described in </w:t>
      </w:r>
      <w:hyperlink r:id="rId65">
        <w:r>
          <w:rPr>
            <w:rStyle w:val="Hyperlink"/>
            <w:rFonts w:ascii="Times New Roman" w:hAnsi="Times New Roman"/>
            <w:b w:val="false"/>
            <w:i w:val="false"/>
            <w:color w:val="000000"/>
            <w:sz w:val="22"/>
          </w:rPr>
          <w:t>301.12(1)</w:t>
        </w:r>
      </w:hyperlink>
      <w:r>
        <w:rPr>
          <w:rFonts w:ascii="Times New Roman" w:hAnsi="Times New Roman"/>
          <w:b w:val="false"/>
          <w:i w:val="false"/>
          <w:color w:val="000000"/>
          <w:sz w:val="22"/>
        </w:rPr>
        <w:t>, eligible taxpayers should notify the department of their eligibility by sending the information listed below to the email address or other address listed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notification. </w:t>
      </w:r>
      <w:r>
        <w:rPr>
          <w:rFonts w:ascii="Times New Roman" w:hAnsi="Times New Roman"/>
          <w:b w:val="false"/>
          <w:i w:val="false"/>
          <w:color w:val="000000"/>
          <w:sz w:val="22"/>
        </w:rPr>
        <w:t>The notification sent to the department should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taxpayer’s name, and spouse’s name,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stateside address, and spouse’s address,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taxpayer’s date of birth, and spouse’s date of birth,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taxpayer was deployed to the combat zone or other qualifying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military personnel, an official document that indicates the taxpayer’s area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qualifying civilians, a letter of authorization or similar letter from the taxpayer’s employer, or a letter from the military stating that the taxpayer served in a “tax-free zone” or “Combat Zone Tax Exclusion Area (CZTE).”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Who may submit the notification of eligibility for the extension. </w:t>
      </w:r>
      <w:r>
        <w:rPr>
          <w:rFonts w:ascii="Times New Roman" w:hAnsi="Times New Roman"/>
          <w:b w:val="false"/>
          <w:i w:val="false"/>
          <w:color w:val="000000"/>
          <w:sz w:val="22"/>
        </w:rPr>
        <w:t>The notification of eligibility to the department may be submitted by the taxpayer, the taxpayer’s spouse, or an authorized agent or representative of the taxpayer.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3218C</w:t>
      </w:r>
      <w:r>
        <w:rPr>
          <w:rFonts w:ascii="Times New Roman" w:hAnsi="Times New Roman"/>
          <w:b w:val="false"/>
          <w:i w:val="false"/>
          <w:color w:val="000000"/>
          <w:sz w:val="16"/>
        </w:rPr>
        <w:t>, IAB 7/19/17, effective 8/23/17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701—301.13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701—301.14</w:t>
      </w:r>
      <w:r>
        <w:rPr>
          <w:rFonts w:ascii="Times New Roman" w:hAnsi="Times New Roman"/>
          <w:b/>
          <w:i w:val="false"/>
          <w:color w:val="000000"/>
          <w:sz w:val="22"/>
        </w:rPr>
        <w:t xml:space="preserve">(422) </w:t>
      </w:r>
      <w:r>
        <w:rPr>
          <w:rFonts w:ascii="Times New Roman" w:hAnsi="Times New Roman"/>
          <w:b/>
          <w:i w:val="false"/>
          <w:color w:val="000000"/>
          <w:sz w:val="22"/>
        </w:rPr>
        <w:t xml:space="preserve">Tax benefits for persons serving in support of the Bosnia-Herzegovina hazardous duty area. </w:t>
      </w:r>
      <w:r>
        <w:rPr>
          <w:rFonts w:ascii="Times New Roman" w:hAnsi="Times New Roman"/>
          <w:b w:val="false"/>
          <w:i w:val="false"/>
          <w:color w:val="000000"/>
          <w:sz w:val="22"/>
        </w:rPr>
        <w:t>For tax years beginning on or after January 1, 1995, a number of state tax benefits are authorized for individuals serving in a location designated by the President and Congress as a qualified hazardous duty area or other persons serving in support of the individuals in the hazardous duty area.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104-117 was enacted by Congress on March 20, 1996, and designated Bosnia, Herzegovina, Croatia, and Macedonia as a qualified hazardous duty area so that troops performing peacekeeping duties in the area would be eligible for tax benefits for federal income tax purposes on the same basis they would have been eligible for the same benefits if they had served in a combat zone under prior law.</w:t>
      </w:r>
    </w:p>
    <w:p>
      <w:pPr>
        <w:spacing w:before="0" w:after="0"/>
        <w:ind w:left="120"/>
        <w:jc w:val="both"/>
      </w:pPr>
      <w:r>
        <w:rPr>
          <w:rFonts w:ascii="Times New Roman" w:hAnsi="Times New Roman"/>
          <w:b w:val="false"/>
          <w:i w:val="false"/>
          <w:color w:val="000000"/>
          <w:sz w:val="22"/>
        </w:rPr>
        <w:t xml:space="preserve">For Iowa tax purposes, persons serving peacekeeping duties in the hazardous duty area or other persons serving overseas in support of the persons in the hazardous duty area will be eligible for the same tax benefits that were previously only available to persons serving military duties in a combat zone. The tax benefits that are available for persons serving in the hazardous duty area or persons serving overseas in support of the persons in the hazardous duty area are described in rule </w:t>
      </w:r>
      <w:hyperlink r:id="rId68">
        <w:r>
          <w:rPr>
            <w:rStyle w:val="Hyperlink"/>
            <w:rFonts w:ascii="Times New Roman" w:hAnsi="Times New Roman"/>
            <w:b w:val="false"/>
            <w:i w:val="false"/>
            <w:color w:val="000000"/>
            <w:sz w:val="22"/>
          </w:rPr>
          <w:t>701—301.12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1996 Iowa Acts, Senate File 2168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701—301.15</w:t>
      </w:r>
      <w:r>
        <w:rPr>
          <w:rFonts w:ascii="Times New Roman" w:hAnsi="Times New Roman"/>
          <w:b/>
          <w:i w:val="false"/>
          <w:color w:val="000000"/>
          <w:sz w:val="22"/>
        </w:rPr>
        <w:t xml:space="preserve">(422) </w:t>
      </w:r>
      <w:r>
        <w:rPr>
          <w:rFonts w:ascii="Times New Roman" w:hAnsi="Times New Roman"/>
          <w:b/>
          <w:i w:val="false"/>
          <w:color w:val="000000"/>
          <w:sz w:val="22"/>
        </w:rPr>
        <w:t xml:space="preserve">Special tax computation for taxpayers who are 65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301.15(1)</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2007, but before January 1, 2009. </w:t>
      </w:r>
      <w:r>
        <w:rPr>
          <w:rFonts w:ascii="Times New Roman" w:hAnsi="Times New Roman"/>
          <w:b w:val="false"/>
          <w:i w:val="false"/>
          <w:color w:val="000000"/>
          <w:sz w:val="22"/>
        </w:rPr>
        <w:t xml:space="preserve">A special tax computation is available for determining the state income tax liability for certain taxpayers, except single taxpayers described in subrule </w:t>
      </w:r>
      <w:hyperlink r:id="rId70">
        <w:r>
          <w:rPr>
            <w:rStyle w:val="Hyperlink"/>
            <w:rFonts w:ascii="Times New Roman" w:hAnsi="Times New Roman"/>
            <w:b w:val="false"/>
            <w:i w:val="false"/>
            <w:color w:val="000000"/>
            <w:sz w:val="22"/>
          </w:rPr>
          <w:t>301.4(1)</w:t>
        </w:r>
      </w:hyperlink>
      <w:r>
        <w:rPr>
          <w:rFonts w:ascii="Times New Roman" w:hAnsi="Times New Roman"/>
          <w:b w:val="false"/>
          <w:i w:val="false"/>
          <w:color w:val="000000"/>
          <w:sz w:val="22"/>
        </w:rPr>
        <w:t xml:space="preserve">, who are 65 years of age or older. For married persons filing jointly, filing separately on a combined return or filing separate returns, only one spouse is required to be 65 years of age or older on December 31 of the tax year. Under this provision, the taxpayer multiplies the net income for the tax year in excess of $24,000 by the maximum individual income tax rate. The tax amount computed by this procedure is then compared to the tax amount on the individual’s taxable income from the tax tables or the tax-rate schedule. The taxpayer is subject to the lesser of the two tax amounts. In the case of married taxpayers electing to file separate returns or separately on the combined return, the incomes of both spouses must be considered for purposes of determining the tax liability from the special tax computation. The tax liability calculated from the special tax computation is allocated between the spouses in the ratio of each spouse’s net income to the combined net income of both spouses. For purposes of this rule, the partial exclusion of pension and other retirement benefits described in rule </w:t>
      </w:r>
      <w:hyperlink r:id="rId71">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 xml:space="preserve">(422) and the phase-out exclusion for social security benefits described in </w:t>
      </w:r>
      <w:hyperlink r:id="rId72">
        <w:r>
          <w:rPr>
            <w:rStyle w:val="Hyperlink"/>
            <w:rFonts w:ascii="Times New Roman" w:hAnsi="Times New Roman"/>
            <w:b w:val="false"/>
            <w:i w:val="false"/>
            <w:color w:val="000000"/>
            <w:sz w:val="22"/>
          </w:rPr>
          <w:t>701—subrule 302.23(3)</w:t>
        </w:r>
      </w:hyperlink>
      <w:r>
        <w:rPr>
          <w:rFonts w:ascii="Times New Roman" w:hAnsi="Times New Roman"/>
          <w:b w:val="false"/>
          <w:i w:val="false"/>
          <w:color w:val="000000"/>
          <w:sz w:val="22"/>
        </w:rPr>
        <w:t xml:space="preserve"> must be included in the net income amounts when determining the tax liability from the special tax computation.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had gross income, which included pensions, of $27,000 for 2007, and they elected to file separately on a combined return. One spouse had gross income of $15,000, and the other spouse had gross income of $12,000. Only one spouse was 65 years of age as of December 31, 2007. Each spouse was able to claim a $6,000 pension exclusion in accordance with rule 701—302.47(422). The one spouse with a net income of $9,000 had a regular tax liability of $229, and the other spouse with a net income of $6,000 had a regular tax liability of $70 for a total regular tax liability in the amount of $299. The special tax computation of these taxpayers is shown below:</w:t>
      </w:r>
    </w:p>
    <w:tbl>
      <w:tblPr>
        <w:tblW w:w="5000" w:type="pct"/>
        <w:tblCellSpacing w:w="0" w:type="auto"/>
        <w:tblBorders>
          <w:top w:val="none"/>
          <w:left w:val="none"/>
          <w:bottom w:val="none"/>
          <w:right w:val="none"/>
          <w:insideH w:val="none"/>
          <w:insideV w:val="none"/>
        </w:tblBorders>
        <w:tblLayout w:type="fixed"/>
      </w:tblPr>
      <w:tblGrid>
        <w:gridCol w:w="7947"/>
        <w:gridCol w:w="3243"/>
      </w:tblGrid>
      <w:tr>
        <w:trPr>
          <w:trHeight w:val="210" w:hRule="atLeast"/>
        </w:trPr>
        <w:tc>
          <w:tcPr>
            <w:tcW w:w="79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Taxpayers’ combined net income after pension exclusion</w:t>
            </w:r>
          </w:p>
        </w:tc>
        <w:tc>
          <w:tcPr>
            <w:tcW w:w="324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$15,000</w:t>
            </w:r>
          </w:p>
        </w:tc>
      </w:tr>
      <w:tr>
        <w:trPr>
          <w:trHeight w:val="225" w:hRule="atLeast"/>
        </w:trPr>
        <w:tc>
          <w:tcPr>
            <w:tcW w:w="79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Pension Exclusion</w:t>
            </w:r>
          </w:p>
        </w:tc>
        <w:tc>
          <w:tcPr>
            <w:tcW w:w="3243"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$12,000</w:t>
            </w:r>
          </w:p>
        </w:tc>
      </w:tr>
      <w:tr>
        <w:trPr>
          <w:trHeight w:val="225" w:hRule="atLeast"/>
        </w:trPr>
        <w:tc>
          <w:tcPr>
            <w:tcW w:w="79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Total Income</w:t>
            </w:r>
          </w:p>
        </w:tc>
        <w:tc>
          <w:tcPr>
            <w:tcW w:w="324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$27,000</w:t>
            </w:r>
          </w:p>
        </w:tc>
      </w:tr>
      <w:tr>
        <w:trPr>
          <w:trHeight w:val="225" w:hRule="atLeast"/>
        </w:trPr>
        <w:tc>
          <w:tcPr>
            <w:tcW w:w="79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Less: Income not subject to special tax</w:t>
            </w:r>
          </w:p>
        </w:tc>
        <w:tc>
          <w:tcPr>
            <w:tcW w:w="3243"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$24,000</w:t>
            </w:r>
          </w:p>
        </w:tc>
      </w:tr>
      <w:tr>
        <w:trPr>
          <w:trHeight w:val="390" w:hRule="atLeast"/>
        </w:trPr>
        <w:tc>
          <w:tcPr>
            <w:tcW w:w="79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Income subject to special tax</w:t>
            </w:r>
          </w:p>
        </w:tc>
        <w:tc>
          <w:tcPr>
            <w:tcW w:w="324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$3,000</w:t>
            </w:r>
          </w:p>
        </w:tc>
      </w:tr>
      <w:tr>
        <w:trPr>
          <w:trHeight w:val="225" w:hRule="atLeast"/>
        </w:trPr>
        <w:tc>
          <w:tcPr>
            <w:tcW w:w="79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Maximum Individual Income Tax Rate</w:t>
            </w:r>
          </w:p>
        </w:tc>
        <w:tc>
          <w:tcPr>
            <w:tcW w:w="3243"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8.98%</w:t>
            </w:r>
          </w:p>
        </w:tc>
      </w:tr>
      <w:tr>
        <w:trPr>
          <w:trHeight w:val="225" w:hRule="atLeast"/>
        </w:trPr>
        <w:tc>
          <w:tcPr>
            <w:tcW w:w="79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Special Tax Liability for 2007</w:t>
            </w:r>
          </w:p>
        </w:tc>
        <w:tc>
          <w:tcPr>
            <w:tcW w:w="324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$269</w:t>
            </w:r>
          </w:p>
        </w:tc>
      </w:tr>
    </w:tbl>
    <w:p>
      <w:pPr>
        <w:spacing w:before="0" w:after="0"/>
        <w:ind w:left="120"/>
        <w:jc w:val="both"/>
      </w:pPr>
      <w:r>
        <w:rPr>
          <w:rFonts w:ascii="Times New Roman" w:hAnsi="Times New Roman"/>
          <w:b w:val="false"/>
          <w:i w:val="false"/>
          <w:color w:val="000000"/>
          <w:sz w:val="22"/>
        </w:rPr>
        <w:t>Since the taxpayers’ special tax liability for 2007 was $269, this tax was imposed since it was less than the taxpayers’ regular tax liability of $299. This special tax liability is allocated to each spouse on the following basis:</w:t>
      </w:r>
    </w:p>
    <w:tbl>
      <w:tblPr>
        <w:tblW w:w="5000" w:type="pct"/>
        <w:tblCellSpacing w:w="0" w:type="auto"/>
        <w:tblBorders>
          <w:top w:val="none"/>
          <w:left w:val="none"/>
          <w:bottom w:val="none"/>
          <w:right w:val="none"/>
          <w:insideH w:val="none"/>
          <w:insideV w:val="none"/>
        </w:tblBorders>
        <w:tblLayout w:type="fixed"/>
      </w:tblPr>
      <w:tblGrid>
        <w:gridCol w:w="1384"/>
        <w:gridCol w:w="808"/>
        <w:gridCol w:w="1096"/>
        <w:gridCol w:w="808"/>
        <w:gridCol w:w="1096"/>
        <w:gridCol w:w="808"/>
        <w:gridCol w:w="1384"/>
        <w:gridCol w:w="808"/>
        <w:gridCol w:w="1096"/>
        <w:gridCol w:w="807"/>
        <w:gridCol w:w="1095"/>
      </w:tblGrid>
      <w:tr>
        <w:trPr>
          <w:trHeight w:val="210" w:hRule="atLeast"/>
        </w:trPr>
        <w:tc>
          <w:tcPr>
            <w:tcW w:w="0" w:type="auto"/>
            <w:gridSpan w:val="5"/>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u w:val="single"/>
              </w:rPr>
              <w:t>Spouse 1</w:t>
            </w:r>
          </w:p>
        </w:tc>
        <w:tc>
          <w:tcPr>
            <w:tcW w:w="808"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u w:val="single"/>
              </w:rPr>
              <w:t>Spouse 2</w:t>
            </w:r>
          </w:p>
        </w:tc>
      </w:tr>
      <w:tr>
        <w:trPr>
          <w:trHeight w:val="225" w:hRule="atLeast"/>
        </w:trPr>
        <w:tc>
          <w:tcPr>
            <w:tcW w:w="138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$15,000</w:t>
            </w:r>
          </w:p>
        </w:tc>
        <w:tc>
          <w:tcPr>
            <w:tcW w:w="80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96"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$269</w:t>
            </w:r>
          </w:p>
        </w:tc>
        <w:tc>
          <w:tcPr>
            <w:tcW w:w="80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96"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$149</w:t>
            </w:r>
          </w:p>
        </w:tc>
        <w:tc>
          <w:tcPr>
            <w:tcW w:w="0" w:type="auto"/>
            <w:vMerge/>
            <w:tcBorders>
              <w:top w:val="nil"/>
            </w:tcBorders>
          </w:tcPr>
          <w:p/>
        </w:tc>
        <w:tc>
          <w:tcPr>
            <w:tcW w:w="138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$12,000</w:t>
            </w:r>
          </w:p>
        </w:tc>
        <w:tc>
          <w:tcPr>
            <w:tcW w:w="80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96"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$269</w:t>
            </w:r>
          </w:p>
        </w:tc>
        <w:tc>
          <w:tcPr>
            <w:tcW w:w="80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95"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$120</w:t>
            </w:r>
          </w:p>
        </w:tc>
      </w:tr>
      <w:tr>
        <w:trPr>
          <w:trHeight w:val="225" w:hRule="atLeast"/>
        </w:trPr>
        <w:tc>
          <w:tcPr>
            <w:tcW w:w="1384"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$27,000</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1384"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$27,000</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 xml:space="preserve">The special tax computation for low-income taxpayers is not available to married taxpayers filing separate state returns or to married taxpayers filing separately on the combined return form in instances where one of the spouses has a net operating loss described in Iowa Code section </w:t>
      </w:r>
      <w:hyperlink r:id="rId73">
        <w:r>
          <w:rPr>
            <w:rStyle w:val="Hyperlink"/>
            <w:rFonts w:ascii="Times New Roman" w:hAnsi="Times New Roman"/>
            <w:b w:val="false"/>
            <w:i w:val="false"/>
            <w:color w:val="000000"/>
            <w:sz w:val="22"/>
          </w:rPr>
          <w:t>422.9, subsection 3</w:t>
        </w:r>
      </w:hyperlink>
      <w:r>
        <w:rPr>
          <w:rFonts w:ascii="Times New Roman" w:hAnsi="Times New Roman"/>
          <w:b w:val="false"/>
          <w:i w:val="false"/>
          <w:color w:val="000000"/>
          <w:sz w:val="22"/>
        </w:rPr>
        <w:t xml:space="preserve">, and the spouse elects to carry back or carry forward the net operating loss. Also, the special tax computation for low-income taxpayers is not available if the taxpayer is required to annualize the taxpayer’s income as described in rule </w:t>
      </w:r>
      <w:hyperlink r:id="rId74">
        <w:r>
          <w:rPr>
            <w:rStyle w:val="Hyperlink"/>
            <w:rFonts w:ascii="Times New Roman" w:hAnsi="Times New Roman"/>
            <w:b w:val="false"/>
            <w:i w:val="false"/>
            <w:color w:val="000000"/>
            <w:sz w:val="22"/>
          </w:rPr>
          <w:t>701—303.9</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301.15(2)</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2009. </w:t>
      </w:r>
      <w:r>
        <w:rPr>
          <w:rFonts w:ascii="Times New Roman" w:hAnsi="Times New Roman"/>
          <w:b w:val="false"/>
          <w:i w:val="false"/>
          <w:color w:val="000000"/>
          <w:sz w:val="22"/>
        </w:rPr>
        <w:t xml:space="preserve">A special tax computation is available for determining the state income tax liability for certain taxpayers, except single taxpayers described in subrule </w:t>
      </w:r>
      <w:hyperlink r:id="rId75">
        <w:r>
          <w:rPr>
            <w:rStyle w:val="Hyperlink"/>
            <w:rFonts w:ascii="Times New Roman" w:hAnsi="Times New Roman"/>
            <w:b w:val="false"/>
            <w:i w:val="false"/>
            <w:color w:val="000000"/>
            <w:sz w:val="22"/>
          </w:rPr>
          <w:t>301.4(1)</w:t>
        </w:r>
      </w:hyperlink>
      <w:r>
        <w:rPr>
          <w:rFonts w:ascii="Times New Roman" w:hAnsi="Times New Roman"/>
          <w:b w:val="false"/>
          <w:i w:val="false"/>
          <w:color w:val="000000"/>
          <w:sz w:val="22"/>
        </w:rPr>
        <w:t xml:space="preserve">, who are 65 years of age or older. For married persons filing jointly, filing separately on a combined return or filing separate returns, only one spouse is required to be 65 years of age or older on December 31 of the tax year. Under this provision, the taxpayer multiplies the net income for the tax year in excess of $32,000 by the maximum individual income tax rate. The tax amount computed by this procedure is then compared to the tax amount on the individual’s taxable income from the tax tables or the tax-rate schedule. The taxpayer is subject to the lesser of the two tax amounts. In the case of married taxpayers electing to file separate returns or separately on the combined return, the incomes of both spouses must be considered for purposes of determining the tax liability from the special tax computation. The tax liability calculated from the special tax computation is allocated between the spouses in the ratio of each spouse’s net income to the combined net income of both spouses. For purposes of this rule, the partial exclusion of pension and other retirement benefits described in rule </w:t>
      </w:r>
      <w:hyperlink r:id="rId76">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 xml:space="preserve">(422) and the phase-out exclusion for social security benefits described in </w:t>
      </w:r>
      <w:hyperlink r:id="rId77">
        <w:r>
          <w:rPr>
            <w:rStyle w:val="Hyperlink"/>
            <w:rFonts w:ascii="Times New Roman" w:hAnsi="Times New Roman"/>
            <w:b w:val="false"/>
            <w:i w:val="false"/>
            <w:color w:val="000000"/>
            <w:sz w:val="22"/>
          </w:rPr>
          <w:t>701—subrule 302.23(3)</w:t>
        </w:r>
      </w:hyperlink>
      <w:r>
        <w:rPr>
          <w:rFonts w:ascii="Times New Roman" w:hAnsi="Times New Roman"/>
          <w:b w:val="false"/>
          <w:i w:val="false"/>
          <w:color w:val="000000"/>
          <w:sz w:val="22"/>
        </w:rPr>
        <w:t xml:space="preserve"> must be included in the net income amounts when determining the tax liability from the special tax computation.</w:t>
      </w:r>
    </w:p>
    <w:p>
      <w:pPr>
        <w:spacing w:before="0" w:after="0"/>
        <w:ind w:left="120"/>
        <w:jc w:val="both"/>
      </w:pPr>
      <w:r>
        <w:rPr>
          <w:rFonts w:ascii="Times New Roman" w:hAnsi="Times New Roman"/>
          <w:b w:val="false"/>
          <w:i w:val="false"/>
          <w:color w:val="000000"/>
          <w:sz w:val="22"/>
        </w:rPr>
        <w:t xml:space="preserve">The special tax computation for low-income taxpayers is not available to married taxpayers filing separate state returns or to married taxpayers filing separately on the combined return form in instances when one of the spouses has a net operating loss described in Iowa Code section </w:t>
      </w:r>
      <w:hyperlink r:id="rId78">
        <w:r>
          <w:rPr>
            <w:rStyle w:val="Hyperlink"/>
            <w:rFonts w:ascii="Times New Roman" w:hAnsi="Times New Roman"/>
            <w:b w:val="false"/>
            <w:i w:val="false"/>
            <w:color w:val="000000"/>
            <w:sz w:val="22"/>
          </w:rPr>
          <w:t>422.9, subsection 3</w:t>
        </w:r>
      </w:hyperlink>
      <w:r>
        <w:rPr>
          <w:rFonts w:ascii="Times New Roman" w:hAnsi="Times New Roman"/>
          <w:b w:val="false"/>
          <w:i w:val="false"/>
          <w:color w:val="000000"/>
          <w:sz w:val="22"/>
        </w:rPr>
        <w:t xml:space="preserve">, and the spouse elects to carry back or carry forward the net operating loss. Also, the special tax computation for low-income taxpayers is not available if the taxpayer is required to annualize the taxpayer’s income as described in rule </w:t>
      </w:r>
      <w:hyperlink r:id="rId79">
        <w:r>
          <w:rPr>
            <w:rStyle w:val="Hyperlink"/>
            <w:rFonts w:ascii="Times New Roman" w:hAnsi="Times New Roman"/>
            <w:b w:val="false"/>
            <w:i w:val="false"/>
            <w:color w:val="000000"/>
            <w:sz w:val="22"/>
          </w:rPr>
          <w:t>701—303.9</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2408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10/22/82, Notice 9/15/82—published 11/10/82, effective 12/15/82]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10/3/86, Notice 8/27/86—published 10/22/86, effective 11/26/86]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emergency 12/30/94—published 1/18/95, effective 12/30/94]</w:t>
      </w:r>
    </w:p>
    <w:p>
      <w:pPr>
        <w:spacing w:before="0" w:after="0"/>
        <w:ind w:left="120"/>
        <w:jc w:val="center"/>
      </w:pPr>
      <w:r>
        <w:rPr>
          <w:rFonts w:ascii="Times New Roman" w:hAnsi="Times New Roman"/>
          <w:b w:val="false"/>
          <w:i w:val="false"/>
          <w:color w:val="000000"/>
          <w:sz w:val="21"/>
        </w:rPr>
        <w:t>[Filed 2/24/95, Notice 1/18/95—published 3/15/95, effective 4/19/95]</w:t>
      </w:r>
    </w:p>
    <w:p>
      <w:pPr>
        <w:spacing w:before="0" w:after="0"/>
        <w:ind w:left="120"/>
        <w:jc w:val="center"/>
      </w:pPr>
      <w:r>
        <w:rPr>
          <w:rFonts w:ascii="Times New Roman" w:hAnsi="Times New Roman"/>
          <w:b w:val="false"/>
          <w:i w:val="false"/>
          <w:color w:val="000000"/>
          <w:sz w:val="21"/>
        </w:rPr>
        <w:t>[Filed 12/15/95, Notice 11/8/95—published 1/3/96, effective 2/7/96]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12/13/96, Notice 11/6/96—published 1/1/97, effective 2/5/97]</w:t>
      </w:r>
    </w:p>
    <w:p>
      <w:pPr>
        <w:spacing w:before="0" w:after="0"/>
        <w:ind w:left="120"/>
        <w:jc w:val="center"/>
      </w:pPr>
      <w:r>
        <w:rPr>
          <w:rFonts w:ascii="Times New Roman" w:hAnsi="Times New Roman"/>
          <w:b w:val="false"/>
          <w:i w:val="false"/>
          <w:color w:val="000000"/>
          <w:sz w:val="21"/>
        </w:rPr>
        <w:t>[Filed 9/19/97, Notice 8/13/97—published 10/8/97, effective 11/12/97]</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12/23/99, Notice 11/17/99—published 1/12/00, effective 2/16/00]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8/12/04, Notice 7/7/04—published 9/1/04, effective 10/6/04]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6/27/07, Notice 5/23/07—published 7/18/07, effective 8/22/07]</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8603B</w:t>
      </w:r>
      <w:r>
        <w:rPr>
          <w:rFonts w:ascii="Times New Roman" w:hAnsi="Times New Roman"/>
          <w:b w:val="false"/>
          <w:i w:val="false"/>
          <w:color w:val="000000"/>
          <w:sz w:val="21"/>
        </w:rPr>
        <w:t xml:space="preserve"> (Notice ARC 8482B,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3218C</w:t>
      </w:r>
      <w:r>
        <w:rPr>
          <w:rFonts w:ascii="Times New Roman" w:hAnsi="Times New Roman"/>
          <w:b w:val="false"/>
          <w:i w:val="false"/>
          <w:color w:val="000000"/>
          <w:sz w:val="21"/>
        </w:rPr>
        <w:t xml:space="preserve"> (Notice ARC 3066C, IAB 5/24/17)</w:t>
      </w:r>
      <w:r>
        <w:rPr>
          <w:rFonts w:ascii="Times New Roman" w:hAnsi="Times New Roman"/>
          <w:b w:val="false"/>
          <w:i w:val="false"/>
          <w:color w:val="000000"/>
          <w:sz w:val="21"/>
        </w:rPr>
        <w:t>, IAB 7/19/17, effective 8/23/17]</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7502C</w:t>
      </w:r>
      <w:r>
        <w:rPr>
          <w:rFonts w:ascii="Times New Roman" w:hAnsi="Times New Roman"/>
          <w:b w:val="false"/>
          <w:i w:val="false"/>
          <w:color w:val="000000"/>
          <w:sz w:val="21"/>
        </w:rPr>
        <w:t xml:space="preserve"> (Notice ARC 7109C, IAB 11/1/23)</w:t>
      </w:r>
      <w:r>
        <w:rPr>
          <w:rFonts w:ascii="Times New Roman" w:hAnsi="Times New Roman"/>
          <w:b w:val="false"/>
          <w:i w:val="false"/>
          <w:color w:val="000000"/>
          <w:sz w:val="21"/>
        </w:rPr>
        <w:t>, IAB 1/10/24, effective 2/14/24]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302.1.pdf" Type="http://schemas.openxmlformats.org/officeDocument/2006/relationships/hyperlink" Id="rId5"/>
    <Relationship TargetMode="External" Target="https://www.legis.iowa.gov/docs/iac/rule/701.302.52.pdf" Type="http://schemas.openxmlformats.org/officeDocument/2006/relationships/hyperlink" Id="rId6"/>
    <Relationship TargetMode="External" Target="https://www.legis.iowa.gov/docs/iac/chapter/701.302.pdf" Type="http://schemas.openxmlformats.org/officeDocument/2006/relationships/hyperlink" Id="rId7"/>
    <Relationship TargetMode="External" Target="https://www.legis.iowa.gov/docs/iac/rule/701.301.1.pdf" Type="http://schemas.openxmlformats.org/officeDocument/2006/relationships/hyperlink" Id="rId8"/>
    <Relationship TargetMode="External" Target="https://www.legis.iowa.gov/docs/iac/rule/701.301.1.pdf" Type="http://schemas.openxmlformats.org/officeDocument/2006/relationships/hyperlink" Id="rId9"/>
    <Relationship TargetMode="External" Target="https://www.legis.iowa.gov/docs/iac/rule/701.301.1.pdf" Type="http://schemas.openxmlformats.org/officeDocument/2006/relationships/hyperlink" Id="rId10"/>
    <Relationship TargetMode="External" Target="https://www.legis.iowa.gov/docs/iac/rule/701.301.4.pdf" Type="http://schemas.openxmlformats.org/officeDocument/2006/relationships/hyperlink" Id="rId11"/>
    <Relationship TargetMode="External" Target="https://www.legis.iowa.gov/docs/ico/chapter/422.5.pdf" Type="http://schemas.openxmlformats.org/officeDocument/2006/relationships/hyperlink" Id="rId12"/>
    <Relationship TargetMode="External" Target="https://www.legis.iowa.gov/docs/ico/chapter/422.13.pdf" Type="http://schemas.openxmlformats.org/officeDocument/2006/relationships/hyperlink" Id="rId13"/>
    <Relationship TargetMode="External" Target="https://www.legis.iowa.gov/docs/ico/chapter/422.pdf" Type="http://schemas.openxmlformats.org/officeDocument/2006/relationships/hyperlink" Id="rId14"/>
    <Relationship TargetMode="External" Target="https://www.legis.iowa.gov/docs/ico/chapter/422.111.pdf" Type="http://schemas.openxmlformats.org/officeDocument/2006/relationships/hyperlink" Id="rId15"/>
    <Relationship TargetMode="External" Target="https://www.legis.iowa.gov/docs/ico/chapter/422.21.pdf" Type="http://schemas.openxmlformats.org/officeDocument/2006/relationships/hyperlink" Id="rId16"/>
    <Relationship TargetMode="External" Target="https://www.legis.iowa.gov/docs/ico/chapter/422.25.pdf" Type="http://schemas.openxmlformats.org/officeDocument/2006/relationships/hyperlink" Id="rId17"/>
    <Relationship TargetMode="External" Target="https://www.legis.iowa.gov/docs/iac/rule/701.300.2.pdf" Type="http://schemas.openxmlformats.org/officeDocument/2006/relationships/hyperlink" Id="rId18"/>
    <Relationship TargetMode="External" Target="https://www.legis.iowa.gov/docs/iac/rule/701.305.3.pdf" Type="http://schemas.openxmlformats.org/officeDocument/2006/relationships/hyperlink" Id="rId19"/>
    <Relationship TargetMode="External" Target="https://www.legis.iowa.gov/docs/ico/chapter/422.13.pdf" Type="http://schemas.openxmlformats.org/officeDocument/2006/relationships/hyperlink" Id="rId20"/>
    <Relationship TargetMode="External" Target="https://www.legis.iowa.gov/docs/ico/chapter/422.21.pdf" Type="http://schemas.openxmlformats.org/officeDocument/2006/relationships/hyperlink" Id="rId21"/>
    <Relationship TargetMode="External" Target="https://www.legis.iowa.gov/docs/ico/chapter/422.22.pdf" Type="http://schemas.openxmlformats.org/officeDocument/2006/relationships/hyperlink" Id="rId22"/>
    <Relationship TargetMode="External" Target="https://www.legis.iowa.gov/docs/ico/chapter/48A.24.pdf" Type="http://schemas.openxmlformats.org/officeDocument/2006/relationships/hyperlink" Id="rId23"/>
    <Relationship TargetMode="External" Target="https://www.legis.iowa.gov/docs/ico/chapter/421.17.pdf" Type="http://schemas.openxmlformats.org/officeDocument/2006/relationships/hyperlink" Id="rId24"/>
    <Relationship TargetMode="External" Target="https://www.legis.iowa.gov/docs/iac/rule/701.301.4.pdf" Type="http://schemas.openxmlformats.org/officeDocument/2006/relationships/hyperlink" Id="rId25"/>
    <Relationship TargetMode="External" Target="https://www.legis.iowa.gov/docs/iac/rule/701.301.4.pdf" Type="http://schemas.openxmlformats.org/officeDocument/2006/relationships/hyperlink" Id="rId26"/>
    <Relationship TargetMode="External" Target="https://www.legis.iowa.gov/docs/ico/chapter/422.12.pdf" Type="http://schemas.openxmlformats.org/officeDocument/2006/relationships/hyperlink" Id="rId27"/>
    <Relationship TargetMode="External" Target="https://www.legis.iowa.gov/docs/ico/chapter/422.16.pdf" Type="http://schemas.openxmlformats.org/officeDocument/2006/relationships/hyperlink" Id="rId28"/>
    <Relationship TargetMode="External" Target="https://www.legis.iowa.gov/docs/iac/chapter/701.307.pdf" Type="http://schemas.openxmlformats.org/officeDocument/2006/relationships/hyperlink" Id="rId29"/>
    <Relationship TargetMode="External" Target="https://www.legis.iowa.gov/docs/iac/chapter/701.308.pdf" Type="http://schemas.openxmlformats.org/officeDocument/2006/relationships/hyperlink" Id="rId30"/>
    <Relationship TargetMode="External" Target="https://www.legis.iowa.gov/docs/ico/chapter/422.21.pdf" Type="http://schemas.openxmlformats.org/officeDocument/2006/relationships/hyperlink" Id="rId31"/>
    <Relationship TargetMode="External" Target="https://www.legis.iowa.gov/docs/iac/chapter/701.306.pdf" Type="http://schemas.openxmlformats.org/officeDocument/2006/relationships/hyperlink" Id="rId32"/>
    <Relationship TargetMode="External" Target="https://www.legis.iowa.gov/docs/ico/chapter/422.7.pdf" Type="http://schemas.openxmlformats.org/officeDocument/2006/relationships/hyperlink" Id="rId33"/>
    <Relationship TargetMode="External" Target="https://www.legis.iowa.gov/docs/ico/chapter/422.7.pdf" Type="http://schemas.openxmlformats.org/officeDocument/2006/relationships/hyperlink" Id="rId34"/>
    <Relationship TargetMode="External" Target="https://www.legis.iowa.gov/docs/ico/chapter/422.7.pdf" Type="http://schemas.openxmlformats.org/officeDocument/2006/relationships/hyperlink" Id="rId35"/>
    <Relationship TargetMode="External" Target="https://www.legis.iowa.gov/docs/ico/chapter/422.7.pdf" Type="http://schemas.openxmlformats.org/officeDocument/2006/relationships/hyperlink" Id="rId36"/>
    <Relationship TargetMode="External" Target="https://www.legis.iowa.gov/docs/ico/chapter/422.5.pdf" Type="http://schemas.openxmlformats.org/officeDocument/2006/relationships/hyperlink" Id="rId37"/>
    <Relationship TargetMode="External" Target="https://www.legis.iowa.gov/docs/ico/chapter/422.16.pdf" Type="http://schemas.openxmlformats.org/officeDocument/2006/relationships/hyperlink" Id="rId38"/>
    <Relationship TargetMode="External" Target="https://www.legis.iowa.gov/docs/ico/chapter/422.17.pdf" Type="http://schemas.openxmlformats.org/officeDocument/2006/relationships/hyperlink" Id="rId39"/>
    <Relationship TargetMode="External" Target="https://www.legis.iowa.gov/docs/ico/chapter/422.21.pdf" Type="http://schemas.openxmlformats.org/officeDocument/2006/relationships/hyperlink" Id="rId40"/>
    <Relationship TargetMode="External" Target="https://www.legis.iowa.gov/docs/ico/chapter/422.24.pdf" Type="http://schemas.openxmlformats.org/officeDocument/2006/relationships/hyperlink" Id="rId41"/>
    <Relationship TargetMode="External" Target="https://www.legis.iowa.gov/docs/ico/chapter/422.25.pdf" Type="http://schemas.openxmlformats.org/officeDocument/2006/relationships/hyperlink" Id="rId42"/>
    <Relationship TargetMode="External" Target="https://www.legis.iowa.gov/docs/iac/rule/701.302.60.pdf" Type="http://schemas.openxmlformats.org/officeDocument/2006/relationships/hyperlink" Id="rId43"/>
    <Relationship TargetMode="External" Target="https://www.legis.iowa.gov/docs/ico/chapter/422.5.pdf" Type="http://schemas.openxmlformats.org/officeDocument/2006/relationships/hyperlink" Id="rId44"/>
    <Relationship TargetMode="External" Target="https://www.legis.iowa.gov/docs/ico/chapter/422.5.pdf" Type="http://schemas.openxmlformats.org/officeDocument/2006/relationships/hyperlink" Id="rId45"/>
    <Relationship TargetMode="External" Target="https://www.legis.iowa.gov/docs/ico/chapter/422.5.pdf" Type="http://schemas.openxmlformats.org/officeDocument/2006/relationships/hyperlink" Id="rId46"/>
    <Relationship TargetMode="External" Target="https://www.legis.iowa.gov/docs/ico/chapter/422.5.pdf" Type="http://schemas.openxmlformats.org/officeDocument/2006/relationships/hyperlink" Id="rId47"/>
    <Relationship TargetMode="External" Target="https://www.legis.iowa.gov/docs/ico/chapter/422.5.pdf" Type="http://schemas.openxmlformats.org/officeDocument/2006/relationships/hyperlink" Id="rId48"/>
    <Relationship TargetMode="External" Target="https://www.legis.iowa.gov/docs/iac/chapter/701.306.pdf" Type="http://schemas.openxmlformats.org/officeDocument/2006/relationships/hyperlink" Id="rId49"/>
    <Relationship TargetMode="External" Target="https://www.legis.iowa.gov/docs/ico/chapter/422.7.pdf" Type="http://schemas.openxmlformats.org/officeDocument/2006/relationships/hyperlink" Id="rId50"/>
    <Relationship TargetMode="External" Target="https://www.legis.iowa.gov/docs/ico/chapter/422.5.pdf" Type="http://schemas.openxmlformats.org/officeDocument/2006/relationships/hyperlink" Id="rId51"/>
    <Relationship TargetMode="External" Target="https://www.legis.iowa.gov/docs/ico/chapter/422.5.pdf" Type="http://schemas.openxmlformats.org/officeDocument/2006/relationships/hyperlink" Id="rId52"/>
    <Relationship TargetMode="External" Target="https://www.legis.iowa.gov/docs/iac/rule/701.301.4.pdf" Type="http://schemas.openxmlformats.org/officeDocument/2006/relationships/hyperlink" Id="rId53"/>
    <Relationship TargetMode="External" Target="https://www.legis.iowa.gov/docs/iac/rule/701.302.47.pdf" Type="http://schemas.openxmlformats.org/officeDocument/2006/relationships/hyperlink" Id="rId54"/>
    <Relationship TargetMode="External" Target="https://www.legis.iowa.gov/docs/iac/rule/701.302.23.pdf" Type="http://schemas.openxmlformats.org/officeDocument/2006/relationships/hyperlink" Id="rId55"/>
    <Relationship TargetMode="External" Target="https://www.legis.iowa.gov/docs/iac/rule/701.301.15.pdf" Type="http://schemas.openxmlformats.org/officeDocument/2006/relationships/hyperlink" Id="rId56"/>
    <Relationship TargetMode="External" Target="https://www.legis.iowa.gov/docs/ico/chapter/422.9.pdf" Type="http://schemas.openxmlformats.org/officeDocument/2006/relationships/hyperlink" Id="rId57"/>
    <Relationship TargetMode="External" Target="https://www.legis.iowa.gov/docs/iac/rule/701.303.9.pdf" Type="http://schemas.openxmlformats.org/officeDocument/2006/relationships/hyperlink" Id="rId58"/>
    <Relationship TargetMode="External" Target="https://www.legis.iowa.gov/docs/ico/chapter/422.5.pdf" Type="http://schemas.openxmlformats.org/officeDocument/2006/relationships/hyperlink" Id="rId59"/>
    <Relationship TargetMode="External" Target="https://www.legis.iowa.gov/docs/ico/chapter/422.5.pdf" Type="http://schemas.openxmlformats.org/officeDocument/2006/relationships/hyperlink" Id="rId60"/>
    <Relationship TargetMode="External" Target="https://www.legis.iowa.gov/docs/ico/chapter/422.73.pdf" Type="http://schemas.openxmlformats.org/officeDocument/2006/relationships/hyperlink" Id="rId61"/>
    <Relationship TargetMode="External" Target="https://www.legis.iowa.gov/docs/ico/chapter/422.5.pdf" Type="http://schemas.openxmlformats.org/officeDocument/2006/relationships/hyperlink" Id="rId62"/>
    <Relationship TargetMode="External" Target="https://www.legis.iowa.gov/docs/ico/chapter/422.73.pdf" Type="http://schemas.openxmlformats.org/officeDocument/2006/relationships/hyperlink" Id="rId63"/>
    <Relationship TargetMode="External" Target="https://www.legis.iowa.gov/docs/iac/rule/701.301.12.pdf" Type="http://schemas.openxmlformats.org/officeDocument/2006/relationships/hyperlink" Id="rId64"/>
    <Relationship TargetMode="External" Target="https://www.legis.iowa.gov/docs/iac/rule/701.301.12.pdf" Type="http://schemas.openxmlformats.org/officeDocument/2006/relationships/hyperlink" Id="rId65"/>
    <Relationship TargetMode="External" Target="https://www.legis.iowa.gov/docs/ico/chapter/422.3.pdf" Type="http://schemas.openxmlformats.org/officeDocument/2006/relationships/hyperlink" Id="rId66"/>
    <Relationship TargetMode="External" Target="https://www.legis.iowa.gov/docs/ico/chapter/422.21.pdf" Type="http://schemas.openxmlformats.org/officeDocument/2006/relationships/hyperlink" Id="rId67"/>
    <Relationship TargetMode="External" Target="https://www.legis.iowa.gov/docs/iac/rule/701.301.12.pdf" Type="http://schemas.openxmlformats.org/officeDocument/2006/relationships/hyperlink" Id="rId68"/>
    <Relationship TargetMode="External" Target="https://www.legis.iowa.gov/docs/ico/chapter/422.3.pdf" Type="http://schemas.openxmlformats.org/officeDocument/2006/relationships/hyperlink" Id="rId69"/>
    <Relationship TargetMode="External" Target="https://www.legis.iowa.gov/docs/iac/rule/701.301.4.pdf" Type="http://schemas.openxmlformats.org/officeDocument/2006/relationships/hyperlink" Id="rId70"/>
    <Relationship TargetMode="External" Target="https://www.legis.iowa.gov/docs/iac/rule/701.302.47.pdf" Type="http://schemas.openxmlformats.org/officeDocument/2006/relationships/hyperlink" Id="rId71"/>
    <Relationship TargetMode="External" Target="https://www.legis.iowa.gov/docs/iac/rule/701.302.23.pdf" Type="http://schemas.openxmlformats.org/officeDocument/2006/relationships/hyperlink" Id="rId72"/>
    <Relationship TargetMode="External" Target="https://www.legis.iowa.gov/docs/ico/chapter/422.9.pdf" Type="http://schemas.openxmlformats.org/officeDocument/2006/relationships/hyperlink" Id="rId73"/>
    <Relationship TargetMode="External" Target="https://www.legis.iowa.gov/docs/iac/rule/701.303.9.pdf" Type="http://schemas.openxmlformats.org/officeDocument/2006/relationships/hyperlink" Id="rId74"/>
    <Relationship TargetMode="External" Target="https://www.legis.iowa.gov/docs/iac/rule/701.301.4.pdf" Type="http://schemas.openxmlformats.org/officeDocument/2006/relationships/hyperlink" Id="rId75"/>
    <Relationship TargetMode="External" Target="https://www.legis.iowa.gov/docs/iac/rule/701.302.47.pdf" Type="http://schemas.openxmlformats.org/officeDocument/2006/relationships/hyperlink" Id="rId76"/>
    <Relationship TargetMode="External" Target="https://www.legis.iowa.gov/docs/iac/rule/701.302.23.pdf" Type="http://schemas.openxmlformats.org/officeDocument/2006/relationships/hyperlink" Id="rId77"/>
    <Relationship TargetMode="External" Target="https://www.legis.iowa.gov/docs/ico/chapter/422.9.pdf" Type="http://schemas.openxmlformats.org/officeDocument/2006/relationships/hyperlink" Id="rId78"/>
    <Relationship TargetMode="External" Target="https://www.legis.iowa.gov/docs/iac/rule/701.303.9.pdf" Type="http://schemas.openxmlformats.org/officeDocument/2006/relationships/hyperlink" Id="rId79"/>
    <Relationship TargetMode="External" Target="https://www.legis.iowa.gov/docs/ico/chapter/422.5.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