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INDIVIDUAL INCOME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38]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701—300.1</w:t>
      </w:r>
      <w:r>
        <w:rPr>
          <w:rFonts w:ascii="Times New Roman" w:hAnsi="Times New Roman"/>
          <w:b/>
          <w:i w:val="false"/>
          <w:color w:val="000000"/>
          <w:sz w:val="22"/>
        </w:rPr>
        <w:t xml:space="preserve">(422)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word </w:t>
      </w:r>
      <w:r>
        <w:rPr>
          <w:rFonts w:ascii="Times New Roman" w:hAnsi="Times New Roman"/>
          <w:b w:val="false"/>
          <w:i/>
          <w:color w:val="000000"/>
          <w:sz w:val="22"/>
        </w:rPr>
        <w:t>“department”</w:t>
      </w:r>
      <w:r>
        <w:rPr>
          <w:rFonts w:ascii="Times New Roman" w:hAnsi="Times New Roman"/>
          <w:b w:val="false"/>
          <w:i w:val="false"/>
          <w:color w:val="000000"/>
          <w:sz w:val="22"/>
        </w:rPr>
        <w:t xml:space="preserve"> appears herein, the word refers to and is synonymous with the “Iowa department of revenue”; the word </w:t>
      </w:r>
      <w:r>
        <w:rPr>
          <w:rFonts w:ascii="Times New Roman" w:hAnsi="Times New Roman"/>
          <w:b w:val="false"/>
          <w:i/>
          <w:color w:val="000000"/>
          <w:sz w:val="22"/>
        </w:rPr>
        <w:t>“director”</w:t>
      </w:r>
      <w:r>
        <w:rPr>
          <w:rFonts w:ascii="Times New Roman" w:hAnsi="Times New Roman"/>
          <w:b w:val="false"/>
          <w:i w:val="false"/>
          <w:color w:val="000000"/>
          <w:sz w:val="22"/>
        </w:rPr>
        <w:t xml:space="preserve"> is the “director of revenue” or the director’s authorized assistants and employees.</w:t>
      </w:r>
    </w:p>
    <w:p>
      <w:pPr>
        <w:spacing w:before="0" w:after="0"/>
        <w:ind w:left="120"/>
        <w:jc w:val="both"/>
      </w:pPr>
      <w:r>
        <w:rPr>
          <w:rFonts w:ascii="Times New Roman" w:hAnsi="Times New Roman"/>
          <w:b w:val="false"/>
          <w:i w:val="false"/>
          <w:color w:val="000000"/>
          <w:sz w:val="22"/>
        </w:rPr>
        <w:t>The administration of the individual income tax is a responsibility of the department. The department is charged with the administration of the individual income tax, fiduciary tax, withholding of tax and individual estimate declarations, subject always to the rules, regulations and direction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“computed tax”</w:t>
      </w:r>
      <w:r>
        <w:rPr>
          <w:rFonts w:ascii="Times New Roman" w:hAnsi="Times New Roman"/>
          <w:b w:val="false"/>
          <w:i w:val="false"/>
          <w:color w:val="000000"/>
          <w:sz w:val="22"/>
        </w:rPr>
        <w:t xml:space="preserve"> means the amount of tax remaining before deductions of the personal exemption credit and other credits in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and before the computation of the school district surtax and the emergency medical services income surtax.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word </w:t>
      </w:r>
      <w:r>
        <w:rPr>
          <w:rFonts w:ascii="Times New Roman" w:hAnsi="Times New Roman"/>
          <w:b w:val="false"/>
          <w:i/>
          <w:color w:val="000000"/>
          <w:sz w:val="22"/>
        </w:rPr>
        <w:t>“taxpayer”</w:t>
      </w:r>
      <w:r>
        <w:rPr>
          <w:rFonts w:ascii="Times New Roman" w:hAnsi="Times New Roman"/>
          <w:b w:val="false"/>
          <w:i w:val="false"/>
          <w:color w:val="000000"/>
          <w:sz w:val="22"/>
        </w:rPr>
        <w:t xml:space="preserve"> includes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part-year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estate and trust resident of this state whose income is in whole or in part subject to the state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Nonresident individuals, estates and trusts (those with a situs outside of Iowa) receiving taxable income from property in Iowa or from business, trade, or profession or occupation carried 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“fiduciary”</w:t>
      </w:r>
      <w:r>
        <w:rPr>
          <w:rFonts w:ascii="Times New Roman" w:hAnsi="Times New Roman"/>
          <w:b w:val="false"/>
          <w:i w:val="false"/>
          <w:color w:val="000000"/>
          <w:sz w:val="22"/>
        </w:rPr>
        <w:t xml:space="preserve"> shall mean one who acts in place of or for the benefit of another in accordance with the meaning of the term defined in Iowa Code section </w:t>
      </w:r>
      <w:hyperlink r:id="rId6">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The term includes, but is not limited to, the executor or administrator of an estate, a trustee, guardian or conservator, or a receiver.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“employer”</w:t>
      </w:r>
      <w:r>
        <w:rPr>
          <w:rFonts w:ascii="Times New Roman" w:hAnsi="Times New Roman"/>
          <w:b w:val="false"/>
          <w:i w:val="false"/>
          <w:color w:val="000000"/>
          <w:sz w:val="22"/>
        </w:rPr>
        <w:t xml:space="preserve"> means those who have a right to exercise control as to the performance of services as defined in Iowa Code section </w:t>
      </w:r>
      <w:hyperlink r:id="rId7">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“employee”</w:t>
      </w:r>
      <w:r>
        <w:rPr>
          <w:rFonts w:ascii="Times New Roman" w:hAnsi="Times New Roman"/>
          <w:b w:val="false"/>
          <w:i w:val="false"/>
          <w:color w:val="000000"/>
          <w:sz w:val="22"/>
        </w:rPr>
        <w:t xml:space="preserve"> means and includes every individual who is a resident, or who is domiciled in Iowa, or any nonresident, or corporation performing services within the state of Iowa, the performance of which services constitutes, establishes, and determines the relationship between the parties as that of employer and employee. This includes officers of corporations, individuals, including elected officials performing services for the United States government or any agency or instrumentality thereof, or the state of Iowa, or any county, city, municipality or political subdivision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“wages”</w:t>
      </w:r>
      <w:r>
        <w:rPr>
          <w:rFonts w:ascii="Times New Roman" w:hAnsi="Times New Roman"/>
          <w:b w:val="false"/>
          <w:i w:val="false"/>
          <w:color w:val="000000"/>
          <w:sz w:val="22"/>
        </w:rPr>
        <w:t xml:space="preserve"> means any remuneration for services performed by an employee for an employer, including the cash value of all such remuneration paid in any medium or form other than cash. Wages have the same meaning as provided by the Internal Revenue Code as made applicable to Iowa income tax.</w:t>
      </w:r>
    </w:p>
    <w:p>
      <w:pPr>
        <w:spacing w:before="0" w:after="0"/>
        <w:ind w:left="120"/>
        <w:jc w:val="both"/>
      </w:pPr>
      <w:r>
        <w:rPr>
          <w:rFonts w:ascii="Times New Roman" w:hAnsi="Times New Roman"/>
          <w:b w:val="false"/>
          <w:i w:val="false"/>
          <w:color w:val="000000"/>
          <w:sz w:val="22"/>
        </w:rPr>
        <w:t>Wages subject to Iowa income tax withholding consist of all remuneration, whether in cash or other form, paid to an employee for services performed for the employer. For this purpose, the word “wages” includes all types of employee compensation, such as salaries, fees, bonuses, and commissions. It is immaterial whether payments are based on the hour, day, week, month, year or on a piecework or percentage plan.</w:t>
      </w:r>
    </w:p>
    <w:p>
      <w:pPr>
        <w:spacing w:before="0" w:after="0"/>
        <w:ind w:left="120"/>
        <w:jc w:val="both"/>
      </w:pPr>
      <w:r>
        <w:rPr>
          <w:rFonts w:ascii="Times New Roman" w:hAnsi="Times New Roman"/>
          <w:b w:val="false"/>
          <w:i w:val="false"/>
          <w:color w:val="000000"/>
          <w:sz w:val="22"/>
        </w:rPr>
        <w:t>Wages paid in any form other than money are measured by the fair market value of the goods, lodging, meals, or other consideration given in payment for services.</w:t>
      </w:r>
    </w:p>
    <w:p>
      <w:pPr>
        <w:spacing w:before="0" w:after="0"/>
        <w:ind w:left="120"/>
        <w:jc w:val="both"/>
      </w:pPr>
      <w:r>
        <w:rPr>
          <w:rFonts w:ascii="Times New Roman" w:hAnsi="Times New Roman"/>
          <w:b w:val="false"/>
          <w:i w:val="false"/>
          <w:color w:val="000000"/>
          <w:sz w:val="22"/>
        </w:rPr>
        <w:t>Where wages are paid in property other than money, the employer should make necessary arrangements to ensure that the tax is available for payment. Vacation allowances and back pay, including retroactive wage increases, are taxed as ordinary wages.</w:t>
      </w:r>
    </w:p>
    <w:p>
      <w:pPr>
        <w:spacing w:before="0" w:after="0"/>
        <w:ind w:left="120"/>
        <w:jc w:val="both"/>
      </w:pPr>
      <w:r>
        <w:rPr>
          <w:rFonts w:ascii="Times New Roman" w:hAnsi="Times New Roman"/>
          <w:b w:val="false"/>
          <w:i w:val="false"/>
          <w:color w:val="000000"/>
          <w:sz w:val="22"/>
        </w:rPr>
        <w:t>Tips or gratuities paid directly to an employee by a customer and not accounted for to the employer are not subject to withholding. However, the recipients must include them in their personal income tax returns.</w:t>
      </w:r>
    </w:p>
    <w:p>
      <w:pPr>
        <w:spacing w:before="0" w:after="0"/>
        <w:ind w:left="120"/>
        <w:jc w:val="both"/>
      </w:pPr>
      <w:r>
        <w:rPr>
          <w:rFonts w:ascii="Times New Roman" w:hAnsi="Times New Roman"/>
          <w:b w:val="false"/>
          <w:i w:val="false"/>
          <w:color w:val="000000"/>
          <w:sz w:val="22"/>
        </w:rPr>
        <w:t>Amounts paid specifically, either as advances or reimbursements, for traveling or other bona fide ordinary and necessary expenses incurred or reasonably expected to be incurred in the business of the employer are not wages and are not subject to these taxes. Traveling and other reimbursed expenses must be identified either by making a separate payment or by specifically indicating the separate amounts where both wages and expense allowance are combined in a single payment.</w:t>
      </w:r>
    </w:p>
    <w:p>
      <w:pPr>
        <w:spacing w:before="0" w:after="0"/>
        <w:ind w:left="120"/>
        <w:jc w:val="both"/>
      </w:pPr>
      <w:r>
        <w:rPr>
          <w:rFonts w:ascii="Times New Roman" w:hAnsi="Times New Roman"/>
          <w:b w:val="false"/>
          <w:i w:val="false"/>
          <w:color w:val="000000"/>
          <w:sz w:val="22"/>
        </w:rPr>
        <w:t>Wages are to be considered as paid when they are actually paid or when they are constructively paid, that is, when they are credited to the account of, or set apart for the wage earner so that they may be drawn upon by the wage earner at any time, although not then actually reduced to possession.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701—300.2</w:t>
      </w:r>
      <w:r>
        <w:rPr>
          <w:rFonts w:ascii="Times New Roman" w:hAnsi="Times New Roman"/>
          <w:b/>
          <w:i w:val="false"/>
          <w:color w:val="000000"/>
          <w:sz w:val="22"/>
        </w:rPr>
        <w:t xml:space="preserve">(422) </w:t>
      </w:r>
      <w:r>
        <w:rPr>
          <w:rFonts w:ascii="Times New Roman" w:hAnsi="Times New Roman"/>
          <w:b/>
          <w:i w:val="false"/>
          <w:color w:val="000000"/>
          <w:sz w:val="22"/>
        </w:rPr>
        <w:t xml:space="preserve">Statute of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300.2(1)</w:t>
      </w:r>
      <w:r>
        <w:rPr>
          <w:rFonts w:ascii="Times New Roman" w:hAnsi="Times New Roman"/>
          <w:b w:val="false"/>
          <w:i w:val="false"/>
          <w:color w:val="000000"/>
          <w:sz w:val="22"/>
        </w:rPr>
        <w:t> </w:t>
      </w:r>
      <w:r>
        <w:rPr>
          <w:rFonts w:ascii="Times New Roman" w:hAnsi="Times New Roman"/>
          <w:b w:val="false"/>
          <w:i/>
          <w:color w:val="000000"/>
          <w:sz w:val="22"/>
        </w:rPr>
        <w:t xml:space="preserve">Periods of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three years after a return has been filed or three years after the return became due, including any extensions of time for filing, whichever time is the later, to determine whether any additional tax other than that shown on the return is due and owing. This three-year statute of limitations does not apply in the instances specified in paragraphs </w:t>
      </w:r>
      <w:r>
        <w:rPr>
          <w:rFonts w:ascii="Times New Roman" w:hAnsi="Times New Roman"/>
          <w:b w:val="false"/>
          <w:i/>
          <w:color w:val="000000"/>
          <w:sz w:val="22"/>
        </w:rPr>
        <w:t>“b,” “c,” “d,” “e,” “f”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taxpayer fails to include in the taxpayer’s return items of gross income as defined in the Internal Revenue Code as amended, as will under that Code extend the statute of limitations for federal tax purposes to six years, the correct amount of tax due may be determined by the department within six years from the time the return is filed, or within six years after the return became due, including any extensions of time for filing, whichever time is the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taxpayer files a false or fraudulent return with intent to evade tax, the correct amount of tax due may be determined by the department at any time after the return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fails to file a return, the periods of limitations so specified in Iowa Code section </w:t>
      </w:r>
      <w:hyperlink r:id="rId1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do not begin to run until the return is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burden of proof of additional tax owing under the six-year period or the unlimited period is upon the department, a prima facie case of omission of income, or of making a false or fraudulent return, shall be made upon a showing of a federal audit of the same income, a determination by federal authorities that the taxpayer omitted items of gross income or made a false or fraudulent return, and the payment by the taxpayer of the amount claimed by the federal government to be the correct tax or the admission by the taxpayer to the federal government of liability for that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periods of limitation set forth in paragraph </w:t>
      </w:r>
      <w:r>
        <w:rPr>
          <w:rFonts w:ascii="Times New Roman" w:hAnsi="Times New Roman"/>
          <w:b w:val="false"/>
          <w:i/>
          <w:color w:val="000000"/>
          <w:sz w:val="22"/>
        </w:rPr>
        <w:t>“a,” “b,” “c,” “d,”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the department has six months after notification by the taxpayer of the final disposition of any matter between the taxpayer and the Internal Revenue Service with respect to any particular tax year to make an examination and determination. Final disposition of any matter between the taxpayer and the Internal Revenue Service triggers the extension of the statute of limitations for the department to make an examination and determination, and the extension runs until six months after the department receives notification and a copy of the federal document showing the final disposition or final federal adjustments from the taxpayer. </w:t>
      </w:r>
      <w:r>
        <w:rPr>
          <w:rFonts w:ascii="Times New Roman" w:hAnsi="Times New Roman"/>
          <w:b w:val="false"/>
          <w:i/>
          <w:color w:val="000000"/>
          <w:sz w:val="22"/>
        </w:rPr>
        <w:t>Van Dyke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547 N.W.2d 1. This examination and determination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 The notification shall be in writing in any form sufficient to inform the department of final disposition, and attached to the notification shall be a photo reproduction or carbon copy of the federal document which shows the final disposition and any schedules necessary to explain the federal adjustments. The notification and copy of the federal document shall be mailed, under separate cover, to the Examination Section, Compliance Division, P.O. Box 10456, Des Moines, Iowa 50306. Any notification and copy of the federal document which is included in, made a part of, or mailed with a current year Iowa individual income tax return will not be considered as proper notification for the purposes of beginning the running of the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lieu of the period of limitation for any prior year for which an overpayment of tax or an elimination or reduction of an underpayment of tax due for that prior year results from the carryback to such prior year of a net operating loss or net capital loss, the period shall be the period of limitation for the taxable year of the net operating loss or net capital loss which results in such carryback.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300.2(2)</w:t>
      </w:r>
      <w:r>
        <w:rPr>
          <w:rFonts w:ascii="Times New Roman" w:hAnsi="Times New Roman"/>
          <w:b w:val="false"/>
          <w:i w:val="false"/>
          <w:color w:val="000000"/>
          <w:sz w:val="22"/>
        </w:rPr>
        <w:t> </w:t>
      </w:r>
      <w:r>
        <w:rPr>
          <w:rFonts w:ascii="Times New Roman" w:hAnsi="Times New Roman"/>
          <w:b w:val="false"/>
          <w:i/>
          <w:color w:val="000000"/>
          <w:sz w:val="22"/>
        </w:rPr>
        <w:t xml:space="preserve">Waiver of statute of limitations. </w:t>
      </w:r>
      <w:r>
        <w:rPr>
          <w:rFonts w:ascii="Times New Roman" w:hAnsi="Times New Roman"/>
          <w:b w:val="false"/>
          <w:i w:val="false"/>
          <w:color w:val="000000"/>
          <w:sz w:val="22"/>
        </w:rPr>
        <w:t>When the taxpayer and the department enter into an agreement to extend the period of limitation, interest continues to accrue on any deficiency or overpayment during the period of the waiver. The taxpayer may claim a refund during the period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300.2(3)</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filed within 60 days of the expiration of the statute of limitations for assessment. </w:t>
      </w:r>
      <w:r>
        <w:rPr>
          <w:rFonts w:ascii="Times New Roman" w:hAnsi="Times New Roman"/>
          <w:b w:val="false"/>
          <w:i w:val="false"/>
          <w:color w:val="000000"/>
          <w:sz w:val="22"/>
        </w:rPr>
        <w:t>If a taxpayer files an amended return on or after April 1, 1995, within 60 days prior to the expiration of the statute of limitations for assessment, the department has 60 days from the date the amended return is received to issue an assessment for applicable tax, interest, or penalty.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701—300.3</w:t>
      </w:r>
      <w:r>
        <w:rPr>
          <w:rFonts w:ascii="Times New Roman" w:hAnsi="Times New Roman"/>
          <w:b/>
          <w:i w:val="false"/>
          <w:color w:val="000000"/>
          <w:sz w:val="22"/>
        </w:rPr>
        <w:t xml:space="preserve">(422) </w:t>
      </w:r>
      <w:r>
        <w:rPr>
          <w:rFonts w:ascii="Times New Roman" w:hAnsi="Times New Roman"/>
          <w:b/>
          <w:i w:val="false"/>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individual subject to the tax imposed by Iowa Code section </w:t>
      </w:r>
      <w:hyperlink r:id="rId13">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(whether or not the individual incurs liability for the tax) and every withholding agent subject to the provisions of Iowa Code section </w:t>
      </w:r>
      <w:hyperlink r:id="rId14">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shall retain those books and records as required by Section 6001 of the Internal Revenue Code and federal income tax regulation 1.6001-1(e) including the federal income tax return and all supporting federal schedules. For taxpayers using an electronic data interchange process or technology also see </w:t>
      </w:r>
      <w:hyperlink r:id="rId15">
        <w:r>
          <w:rPr>
            <w:rStyle w:val="Hyperlink"/>
            <w:rFonts w:ascii="Times New Roman" w:hAnsi="Times New Roman"/>
            <w:b w:val="false"/>
            <w:i w:val="false"/>
            <w:color w:val="000000"/>
            <w:sz w:val="22"/>
          </w:rPr>
          <w:t>701—subrule 11.4(4)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records relating to other deductions or additions to federal adjusted income and Iowa tax credits shall be retained so long as the contents may be material in the administration of the Iowa Code under the statutes of limitations for audit specified in Iowa Code section </w:t>
      </w:r>
      <w:hyperlink r:id="rId1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9104B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701—300.4</w:t>
      </w:r>
      <w:r>
        <w:rPr>
          <w:rFonts w:ascii="Times New Roman" w:hAnsi="Times New Roman"/>
          <w:b/>
          <w:i w:val="false"/>
          <w:color w:val="000000"/>
          <w:sz w:val="22"/>
        </w:rPr>
        <w:t xml:space="preserve">(422) </w:t>
      </w:r>
      <w:r>
        <w:rPr>
          <w:rFonts w:ascii="Times New Roman" w:hAnsi="Times New Roman"/>
          <w:b/>
          <w:i w:val="false"/>
          <w:color w:val="000000"/>
          <w:sz w:val="22"/>
        </w:rPr>
        <w:t xml:space="preserve">Authority for deductions. </w:t>
      </w:r>
      <w:r>
        <w:rPr>
          <w:rFonts w:ascii="Times New Roman" w:hAnsi="Times New Roman"/>
          <w:b w:val="false"/>
          <w:i w:val="false"/>
          <w:color w:val="000000"/>
          <w:sz w:val="22"/>
        </w:rPr>
        <w:t>Whether and to what extent deductions shall be allowed depends upon specific legislative acts, and only where there is a clear provision can any particular deduction be allowed. Therefore, a deduction will be allowed only if the taxpayer can establish the validity and correctness of such deduction.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701—300.5</w:t>
      </w:r>
      <w:r>
        <w:rPr>
          <w:rFonts w:ascii="Times New Roman" w:hAnsi="Times New Roman"/>
          <w:b/>
          <w:i w:val="false"/>
          <w:color w:val="000000"/>
          <w:sz w:val="22"/>
        </w:rPr>
        <w:t xml:space="preserve">(422)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300.5(1)</w:t>
      </w:r>
      <w:r>
        <w:rPr>
          <w:rFonts w:ascii="Times New Roman" w:hAnsi="Times New Roman"/>
          <w:b w:val="false"/>
          <w:i w:val="false"/>
          <w:color w:val="000000"/>
          <w:sz w:val="22"/>
        </w:rPr>
        <w:t> </w:t>
      </w:r>
      <w:r>
        <w:rPr>
          <w:rFonts w:ascii="Times New Roman" w:hAnsi="Times New Roman"/>
          <w:b w:val="false"/>
          <w:i w:val="false"/>
          <w:color w:val="000000"/>
          <w:sz w:val="22"/>
        </w:rPr>
        <w:t>A jeopardy assessment may be made in a case where a return has been filed, and the director believes for any reason that collection of the tax will be jeopardized by delay; or in a case where a taxpayer fails to file a return, whether or not formally called upon to do so, in which case the department is authorized to estimate the income of the taxpayer upon the basis of available information, and to add penalty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300.5(2)</w:t>
      </w:r>
      <w:r>
        <w:rPr>
          <w:rFonts w:ascii="Times New Roman" w:hAnsi="Times New Roman"/>
          <w:b w:val="false"/>
          <w:i w:val="false"/>
          <w:color w:val="000000"/>
          <w:sz w:val="22"/>
        </w:rPr>
        <w:t> </w:t>
      </w:r>
      <w:r>
        <w:rPr>
          <w:rFonts w:ascii="Times New Roman" w:hAnsi="Times New Roman"/>
          <w:b w:val="false"/>
          <w:i w:val="false"/>
          <w:color w:val="000000"/>
          <w:sz w:val="22"/>
        </w:rPr>
        <w:t>A jeopardy assessment is due and payable when the notice of the assessment is served upon the taxpayer. Proceedings to enforce the payment of the assessment by seizure or sale of any property of the taxpayer may be instituted immediately.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701—300.6</w:t>
      </w:r>
      <w:r>
        <w:rPr>
          <w:rFonts w:ascii="Times New Roman" w:hAnsi="Times New Roman"/>
          <w:b/>
          <w:i w:val="false"/>
          <w:color w:val="000000"/>
          <w:sz w:val="22"/>
        </w:rPr>
        <w:t xml:space="preserve">(422) </w:t>
      </w:r>
      <w:r>
        <w:rPr>
          <w:rFonts w:ascii="Times New Roman" w:hAnsi="Times New Roman"/>
          <w:b/>
          <w:i w:val="false"/>
          <w:color w:val="000000"/>
          <w:sz w:val="22"/>
        </w:rPr>
        <w:t xml:space="preserve">Information deemed confidential. </w:t>
      </w:r>
      <w:r>
        <w:rPr>
          <w:rFonts w:ascii="Times New Roman" w:hAnsi="Times New Roman"/>
          <w:b w:val="false"/>
          <w:i w:val="false"/>
          <w:color w:val="000000"/>
          <w:sz w:val="22"/>
        </w:rPr>
        <w:t xml:space="preserve">Iowa Code sections </w:t>
      </w:r>
      <w:hyperlink r:id="rId22">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apply generally to the director, deputies, auditors, agents, present or former officers and employees of the department. Disclosure of information from a taxpayer’s filed return or report or other confidential state information by department of revenue personnel to a third person is prohibited under the above sections. Other persons having acquired information disclosed in a taxpayer’s filed return or report or other confidential state information will be bound by the same rules of secrecy under these sections as any member of the department and will be subject to the same penalties for violations as provided by law. See rule </w:t>
      </w:r>
      <w:hyperlink r:id="rId24">
        <w:r>
          <w:rPr>
            <w:rStyle w:val="Hyperlink"/>
            <w:rFonts w:ascii="Times New Roman" w:hAnsi="Times New Roman"/>
            <w:b w:val="false"/>
            <w:i w:val="false"/>
            <w:color w:val="000000"/>
            <w:sz w:val="22"/>
          </w:rPr>
          <w:t>701—5.8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701—300.8</w:t>
      </w:r>
      <w:r>
        <w:rPr>
          <w:rFonts w:ascii="Times New Roman" w:hAnsi="Times New Roman"/>
          <w:b/>
          <w:i w:val="false"/>
          <w:color w:val="000000"/>
          <w:sz w:val="22"/>
        </w:rPr>
        <w:t xml:space="preserve">(422) </w:t>
      </w:r>
      <w:r>
        <w:rPr>
          <w:rFonts w:ascii="Times New Roman" w:hAnsi="Times New Roman"/>
          <w:b/>
          <w:i w:val="false"/>
          <w:color w:val="000000"/>
          <w:sz w:val="22"/>
        </w:rPr>
        <w:t xml:space="preserve">Delegations to audit and examine. </w:t>
      </w:r>
      <w:r>
        <w:rPr>
          <w:rFonts w:ascii="Times New Roman" w:hAnsi="Times New Roman"/>
          <w:b w:val="false"/>
          <w:i w:val="false"/>
          <w:color w:val="000000"/>
          <w:sz w:val="22"/>
        </w:rPr>
        <w:t>Pursuant to statutory authority, the director delegates to authorized assistants and employees the power to examine returns and make audits; and to determine the correct amount of tax due, subject to review by or appeal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701—300.9</w:t>
      </w:r>
      <w:r>
        <w:rPr>
          <w:rFonts w:ascii="Times New Roman" w:hAnsi="Times New Roman"/>
          <w:b/>
          <w:i w:val="false"/>
          <w:color w:val="000000"/>
          <w:sz w:val="22"/>
        </w:rPr>
        <w:t xml:space="preserve">(422) </w:t>
      </w:r>
      <w:r>
        <w:rPr>
          <w:rFonts w:ascii="Times New Roman" w:hAnsi="Times New Roman"/>
          <w:b/>
          <w:i w:val="false"/>
          <w:color w:val="000000"/>
          <w:sz w:val="22"/>
        </w:rPr>
        <w:t xml:space="preserve">Bonding procedure. </w:t>
      </w:r>
      <w:r>
        <w:rPr>
          <w:rFonts w:ascii="Times New Roman" w:hAnsi="Times New Roman"/>
          <w:b w:val="false"/>
          <w:i w:val="false"/>
          <w:color w:val="000000"/>
          <w:sz w:val="22"/>
        </w:rPr>
        <w:t xml:space="preserve">The director may, when necessary and advisable in order to secure the collection of the tax required to be deducted and withheld or the amount actually deducted, whichever is greater, require an employer or withholding agent to file with the director a bond issued by a surety company authorized to conduct business in Iowa and approved by the insurance commissioner as to solvency and responsibility in an amount the director may fix, or in lieu of bond, securities approved by the director in an amount the director may prescribe and keep in the custody of the department. Pursuant to the statutory authorization in Iowa Code section </w:t>
      </w:r>
      <w:hyperlink r:id="rId2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the director has determined that the following procedures will be instituted with regard to bonds. However, the bonding procedures were applicable only to nonresident employers or withholding agents for withholding taxes due prior to January 1, 1987. The penalty for failure of a withholding agent to file a bond, described in subrule </w:t>
      </w:r>
      <w:hyperlink r:id="rId30">
        <w:r>
          <w:rPr>
            <w:rStyle w:val="Hyperlink"/>
            <w:rFonts w:ascii="Times New Roman" w:hAnsi="Times New Roman"/>
            <w:b w:val="false"/>
            <w:i w:val="false"/>
            <w:color w:val="000000"/>
            <w:sz w:val="22"/>
          </w:rPr>
          <w:t>300.9(4)</w:t>
        </w:r>
      </w:hyperlink>
      <w:r>
        <w:rPr>
          <w:rFonts w:ascii="Times New Roman" w:hAnsi="Times New Roman"/>
          <w:b w:val="false"/>
          <w:i w:val="false"/>
          <w:color w:val="000000"/>
          <w:sz w:val="22"/>
        </w:rPr>
        <w:t xml:space="preserve"> applies to taxes required to be withheld on or after January 1, 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300.9(1)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by withholding agents. </w:t>
      </w:r>
      <w:r>
        <w:rPr>
          <w:rFonts w:ascii="Times New Roman" w:hAnsi="Times New Roman"/>
          <w:b w:val="false"/>
          <w:i w:val="false"/>
          <w:color w:val="000000"/>
          <w:sz w:val="22"/>
        </w:rPr>
        <w:t xml:space="preserve">A new withholding agent applicant will be requested to post a bond or security if (1) it is determined upon a complete investigation of the applicant’s financial status that the applicant would be unable to timely remit the tax, or (2) the new applicant held a withholding agent’s identification number for a prior business and the remittance record of the tax under the prior identification number falls within one of the conditions in paragraph </w:t>
      </w:r>
      <w:r>
        <w:rPr>
          <w:rFonts w:ascii="Times New Roman" w:hAnsi="Times New Roman"/>
          <w:b w:val="false"/>
          <w:i/>
          <w:color w:val="000000"/>
          <w:sz w:val="22"/>
        </w:rPr>
        <w:t>“b”</w:t>
      </w:r>
      <w:r>
        <w:rPr>
          <w:rFonts w:ascii="Times New Roman" w:hAnsi="Times New Roman"/>
          <w:b w:val="false"/>
          <w:i w:val="false"/>
          <w:color w:val="000000"/>
          <w:sz w:val="22"/>
        </w:rPr>
        <w:t xml:space="preserve"> below, or (3) the department experienced collection problems while the applicant was engaged in business under the prior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withholding agents. </w:t>
      </w:r>
      <w:r>
        <w:rPr>
          <w:rFonts w:ascii="Times New Roman" w:hAnsi="Times New Roman"/>
          <w:b w:val="false"/>
          <w:i w:val="false"/>
          <w:color w:val="000000"/>
          <w:sz w:val="22"/>
        </w:rPr>
        <w:t xml:space="preserve">Existing withholding agents shall be requested to post a bond or security when they have had two or more delinquencies in remitting the withholding tax during the last 24 months if filing returns on a quarterly basis or have had four or more delinquencies during the last 24 months if filing returns on a monthly basis. The simultaneous late filing of the return and the late payment of the tax will count as one delinquency. However, the late filing of the return or the late payment of the tax will not count as a delinquency if the withholding agent can satisfy one of the conditions set forth in Iowa Code section </w:t>
      </w:r>
      <w:hyperlink r:id="rId31">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Waiver of bond. </w:t>
      </w:r>
      <w:r>
        <w:rPr>
          <w:rFonts w:ascii="Times New Roman" w:hAnsi="Times New Roman"/>
          <w:b w:val="false"/>
          <w:i w:val="false"/>
          <w:color w:val="000000"/>
          <w:sz w:val="22"/>
        </w:rPr>
        <w:t>If a withholding agent has been requested to post a bond or security or if a withholding agent applicant has been requested to post a bond or security, upon the filing of the bond or security, if the withholding agent maintains a good filing record for a period of two years, the withholding agent may request that the department waive the continued bond or security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300.9(2)</w:t>
      </w:r>
      <w:r>
        <w:rPr>
          <w:rFonts w:ascii="Times New Roman" w:hAnsi="Times New Roman"/>
          <w:b w:val="false"/>
          <w:i w:val="false"/>
          <w:color w:val="000000"/>
          <w:sz w:val="22"/>
        </w:rPr>
        <w:t> </w:t>
      </w:r>
      <w:r>
        <w:rPr>
          <w:rFonts w:ascii="Times New Roman" w:hAnsi="Times New Roman"/>
          <w:b w:val="false"/>
          <w:i/>
          <w:color w:val="000000"/>
          <w:sz w:val="22"/>
        </w:rPr>
        <w:t xml:space="preserve">Type of security or bond. </w:t>
      </w:r>
      <w:r>
        <w:rPr>
          <w:rFonts w:ascii="Times New Roman" w:hAnsi="Times New Roman"/>
          <w:b w:val="false"/>
          <w:i w:val="false"/>
          <w:color w:val="000000"/>
          <w:sz w:val="22"/>
        </w:rPr>
        <w:t xml:space="preserve">When it is determined that a withholding agent or withholding agent applicant is required to post collateral to secure the collection of the withholding tax, the following types of collateral will be considered as sufficient: surety bonds, securities or certificates of deposit. When the withholding agent is a corporation, an officer or employee of the corporation may assume personal liability as security for the payment of the withholding tax. The officer or employee will be evaluated as provided in </w:t>
      </w:r>
      <w:hyperlink r:id="rId32">
        <w:r>
          <w:rPr>
            <w:rStyle w:val="Hyperlink"/>
            <w:rFonts w:ascii="Times New Roman" w:hAnsi="Times New Roman"/>
            <w:b w:val="false"/>
            <w:i w:val="false"/>
            <w:color w:val="000000"/>
            <w:sz w:val="22"/>
          </w:rPr>
          <w:t>300.9(1)</w:t>
        </w:r>
        <w:r>
          <w:rPr>
            <w:rFonts w:ascii="Times New Roman" w:hAnsi="Times New Roman"/>
            <w:b w:val="false"/>
            <w:i/>
            <w:color w:val="000000"/>
            <w:sz w:val="22"/>
          </w:rPr>
          <w:t>“a”</w:t>
        </w:r>
      </w:hyperlink>
      <w:r>
        <w:rPr>
          <w:rFonts w:ascii="Times New Roman" w:hAnsi="Times New Roman"/>
          <w:b w:val="false"/>
          <w:i w:val="false"/>
          <w:color w:val="000000"/>
          <w:sz w:val="22"/>
        </w:rPr>
        <w:t xml:space="preserve"> as if the officer or employee applied as the withholding agent as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300.9(3)</w:t>
      </w:r>
      <w:r>
        <w:rPr>
          <w:rFonts w:ascii="Times New Roman" w:hAnsi="Times New Roman"/>
          <w:b w:val="false"/>
          <w:i w:val="false"/>
          <w:color w:val="000000"/>
          <w:sz w:val="22"/>
        </w:rPr>
        <w:t> </w:t>
      </w:r>
      <w:r>
        <w:rPr>
          <w:rFonts w:ascii="Times New Roman" w:hAnsi="Times New Roman"/>
          <w:b w:val="false"/>
          <w:i/>
          <w:color w:val="000000"/>
          <w:sz w:val="22"/>
        </w:rPr>
        <w:t xml:space="preserve">Amount of bond or security. </w:t>
      </w:r>
      <w:r>
        <w:rPr>
          <w:rFonts w:ascii="Times New Roman" w:hAnsi="Times New Roman"/>
          <w:b w:val="false"/>
          <w:i w:val="false"/>
          <w:color w:val="000000"/>
          <w:sz w:val="22"/>
        </w:rPr>
        <w:t>When it is determined that a withholding agent or withholding agent applicant is required to post a bond or securities, the following guidelines will be used to determine the amount of the bond, unless the facts warrant a greater amount: If the withholding agent or applicant will be or is a monthly depositor, a bond or securities in an amount sufficient to cover five months’ withholding tax liability will be required. If the applicant or withholding agent will be or is a quarterly filer, the bond or securities which will be required is an amount sufficient to cover nine months or three quarters of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300.9(4)</w:t>
      </w:r>
      <w:r>
        <w:rPr>
          <w:rFonts w:ascii="Times New Roman" w:hAnsi="Times New Roman"/>
          <w:b w:val="false"/>
          <w:i w:val="false"/>
          <w:color w:val="000000"/>
          <w:sz w:val="22"/>
        </w:rPr>
        <w:t> </w:t>
      </w:r>
      <w:r>
        <w:rPr>
          <w:rFonts w:ascii="Times New Roman" w:hAnsi="Times New Roman"/>
          <w:b w:val="false"/>
          <w:i/>
          <w:color w:val="000000"/>
          <w:sz w:val="22"/>
        </w:rPr>
        <w:t xml:space="preserve">Penalty for failure of a withholding agent to file bond. </w:t>
      </w:r>
      <w:r>
        <w:rPr>
          <w:rFonts w:ascii="Times New Roman" w:hAnsi="Times New Roman"/>
          <w:b w:val="false"/>
          <w:i w:val="false"/>
          <w:color w:val="000000"/>
          <w:sz w:val="22"/>
        </w:rPr>
        <w:t>If the withholding agent is requested by the department to file a bond to secure collection of the state withholding tax and fails to file the bond, the withholding agent is subject to a penalty. The penalty for failure to file a bond is 15 percent of the tax the withholding agent is required to withhold on an annual basis. However, the penalty cannot exceed $5000.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701—300.10</w:t>
      </w:r>
      <w:r>
        <w:rPr>
          <w:rFonts w:ascii="Times New Roman" w:hAnsi="Times New Roman"/>
          <w:b/>
          <w:i w:val="false"/>
          <w:color w:val="000000"/>
          <w:sz w:val="22"/>
        </w:rPr>
        <w:t xml:space="preserve">(422) </w:t>
      </w:r>
      <w:r>
        <w:rPr>
          <w:rFonts w:ascii="Times New Roman" w:hAnsi="Times New Roman"/>
          <w:b/>
          <w:i w:val="false"/>
          <w:color w:val="000000"/>
          <w:sz w:val="22"/>
        </w:rPr>
        <w:t xml:space="preserve">Indexation. </w:t>
      </w:r>
      <w:r>
        <w:rPr>
          <w:rFonts w:ascii="Times New Roman" w:hAnsi="Times New Roman"/>
          <w:b w:val="false"/>
          <w:i w:val="false"/>
          <w:color w:val="000000"/>
          <w:sz w:val="22"/>
        </w:rPr>
        <w:t xml:space="preserve">Iowa Code section </w:t>
      </w:r>
      <w:hyperlink r:id="rId34">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provides for the adjustment of the tax brackets by a cumulative inflation factor to be determined by the director. The requirement that provided that the state general fund balance on June 30 of the prior calendar year had to be $60 million or more before there was indexation of the tax rate brackets for the current year was repealed for tax years beginning on or after January 1, 1996.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701—300.11</w:t>
      </w:r>
      <w:r>
        <w:rPr>
          <w:rFonts w:ascii="Times New Roman" w:hAnsi="Times New Roman"/>
          <w:b/>
          <w:i w:val="false"/>
          <w:color w:val="000000"/>
          <w:sz w:val="22"/>
        </w:rPr>
        <w:t xml:space="preserve">(422) </w:t>
      </w:r>
      <w:r>
        <w:rPr>
          <w:rFonts w:ascii="Times New Roman" w:hAnsi="Times New Roman"/>
          <w:b/>
          <w:i w:val="false"/>
          <w:color w:val="000000"/>
          <w:sz w:val="22"/>
        </w:rPr>
        <w:t xml:space="preserve">Appeals of notices of assessment and notices of denial of taxpayer’s refund claims.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0" w:after="0"/>
        <w:ind w:left="120"/>
        <w:jc w:val="both"/>
      </w:pPr>
      <w:r>
        <w:rPr>
          <w:rFonts w:ascii="Times New Roman" w:hAnsi="Times New Roman"/>
          <w:b/>
          <w:i w:val="false"/>
          <w:color w:val="000000"/>
          <w:sz w:val="22"/>
        </w:rPr>
        <w:t>701—300.12</w:t>
      </w:r>
      <w:r>
        <w:rPr>
          <w:rFonts w:ascii="Times New Roman" w:hAnsi="Times New Roman"/>
          <w:b/>
          <w:i w:val="false"/>
          <w:color w:val="000000"/>
          <w:sz w:val="22"/>
        </w:rPr>
        <w:t xml:space="preserve">(422) </w:t>
      </w:r>
      <w:r>
        <w:rPr>
          <w:rFonts w:ascii="Times New Roman" w:hAnsi="Times New Roman"/>
          <w:b/>
          <w:i w:val="false"/>
          <w:color w:val="000000"/>
          <w:sz w:val="22"/>
        </w:rPr>
        <w:t xml:space="preserve">Indexation of the optional standard deduction for inflation. </w:t>
      </w:r>
      <w:r>
        <w:rPr>
          <w:rFonts w:ascii="Times New Roman" w:hAnsi="Times New Roman"/>
          <w:b w:val="false"/>
          <w:i w:val="false"/>
          <w:color w:val="000000"/>
          <w:sz w:val="22"/>
        </w:rPr>
        <w:t>Effective for tax years beginning on or after January 1, 1990, the optional standard deduction is indexed or increased by the cumulative standard deduction factor computed by the department of revenue. The cumulative standard deduction factor is the product of the annual standard deduction factor for the 1989 calendar year and all standard deduction factors for subsequent annual calendar years. The annual standard deduction factor is an index, to be determined by the department of revenue by October 15 of the calendar year, which reflects the purchasing power of the dollar as a result of inflation during the fiscal year ending in that calendar year preceding the calendar year for which the annual standard deduction factor is to apply. For tax years beginning on or after January 1, 1996, the department shall use the annual percentage change, but not less than 0 percent, in the gross domestic product price deflator computed for the second quarter of the calendar year by the Bureau of Economic Analysis of the United States Department of Commerce and shall add all of that percentage change to 100 percent, rounded to the nearest one-tenth of 1 percent. The annual standard deduction factor shall not be less than 100 percent.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701—300.13</w:t>
      </w:r>
      <w:r>
        <w:rPr>
          <w:rFonts w:ascii="Times New Roman" w:hAnsi="Times New Roman"/>
          <w:b/>
          <w:i w:val="false"/>
          <w:color w:val="000000"/>
          <w:sz w:val="22"/>
        </w:rPr>
        <w:t xml:space="preserve">(422) </w:t>
      </w:r>
      <w:r>
        <w:rPr>
          <w:rFonts w:ascii="Times New Roman" w:hAnsi="Times New Roman"/>
          <w:b/>
          <w:i w:val="false"/>
          <w:color w:val="000000"/>
          <w:sz w:val="22"/>
        </w:rPr>
        <w:t xml:space="preserve">Reciprocal tax agreements. </w:t>
      </w:r>
      <w:r>
        <w:rPr>
          <w:rFonts w:ascii="Times New Roman" w:hAnsi="Times New Roman"/>
          <w:b w:val="false"/>
          <w:i w:val="false"/>
          <w:color w:val="000000"/>
          <w:sz w:val="22"/>
        </w:rPr>
        <w:t xml:space="preserve">Effective for tax years beginning on or after January 1, 2002, the department of revenue may, when the action has been approved by the general assembly and the governor, and when it is cost-efficient, administratively feasible, and of mutual benefit to Iowa and another state, enter into a reciprocal tax agreement with a tax administration agency of the other state. Under this agreement, income earned from personal services in Iowa by residents of the other state will be exempt from Iowa income tax if the other state provides an identical exemption from its state income tax for income earned in the other state from personal services by Iowa residents. For purposes of this rule, “income earned from personal services” includes wages, salaries, commissions, tips, deferred compensation, pensions, and annuities which were earned from personal services in Iowa by a resident of another state that had a reciprocal tax agreement with Iowa at the time the wages, salaries, commissions, tips, deferred compensation, pensions, or annuities were earned. See rule </w:t>
      </w:r>
      <w:hyperlink r:id="rId38">
        <w:r>
          <w:rPr>
            <w:rStyle w:val="Hyperlink"/>
            <w:rFonts w:ascii="Times New Roman" w:hAnsi="Times New Roman"/>
            <w:b w:val="false"/>
            <w:i w:val="false"/>
            <w:color w:val="000000"/>
            <w:sz w:val="22"/>
          </w:rPr>
          <w:t>701—302.45</w:t>
        </w:r>
      </w:hyperlink>
      <w:r>
        <w:rPr>
          <w:rFonts w:ascii="Times New Roman" w:hAnsi="Times New Roman"/>
          <w:b w:val="false"/>
          <w:i w:val="false"/>
          <w:color w:val="000000"/>
          <w:sz w:val="22"/>
        </w:rPr>
        <w:t xml:space="preserve">(422) for the treatment of deferred compensation, pensions, or annuities received by a nonresident of Iowa related to the documented retirement of a participant in a deferred compensation plan, a pensioner or an annuitant. The provisions of rule </w:t>
      </w:r>
      <w:hyperlink r:id="rId39">
        <w:r>
          <w:rPr>
            <w:rStyle w:val="Hyperlink"/>
            <w:rFonts w:ascii="Times New Roman" w:hAnsi="Times New Roman"/>
            <w:b w:val="false"/>
            <w:i w:val="false"/>
            <w:color w:val="000000"/>
            <w:sz w:val="22"/>
          </w:rPr>
          <w:t>701—302.45</w:t>
        </w:r>
      </w:hyperlink>
      <w:r>
        <w:rPr>
          <w:rFonts w:ascii="Times New Roman" w:hAnsi="Times New Roman"/>
          <w:b w:val="false"/>
          <w:i w:val="false"/>
          <w:color w:val="000000"/>
          <w:sz w:val="22"/>
        </w:rPr>
        <w:t>(422) supersede the definition of “income earned from personal services” under any reciprocal agreement as it relates to deferred compensation, pensions, or annuities.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300.13(1)</w:t>
      </w:r>
      <w:r>
        <w:rPr>
          <w:rFonts w:ascii="Times New Roman" w:hAnsi="Times New Roman"/>
          <w:b w:val="false"/>
          <w:i w:val="false"/>
          <w:color w:val="000000"/>
          <w:sz w:val="22"/>
        </w:rPr>
        <w:t> </w:t>
      </w:r>
      <w:r>
        <w:rPr>
          <w:rFonts w:ascii="Times New Roman" w:hAnsi="Times New Roman"/>
          <w:b w:val="false"/>
          <w:i/>
          <w:color w:val="000000"/>
          <w:sz w:val="22"/>
        </w:rPr>
        <w:t xml:space="preserve">Reciprocal tax agreement with Illinois. </w:t>
      </w:r>
      <w:r>
        <w:rPr>
          <w:rFonts w:ascii="Times New Roman" w:hAnsi="Times New Roman"/>
          <w:b w:val="false"/>
          <w:i w:val="false"/>
          <w:color w:val="000000"/>
          <w:sz w:val="22"/>
        </w:rPr>
        <w:t xml:space="preserve">Pursuant to the authority of Iowa Code subsection </w:t>
      </w:r>
      <w:hyperlink r:id="rId40">
        <w:r>
          <w:rPr>
            <w:rStyle w:val="Hyperlink"/>
            <w:rFonts w:ascii="Times New Roman" w:hAnsi="Times New Roman"/>
            <w:b w:val="false"/>
            <w:i w:val="false"/>
            <w:color w:val="000000"/>
            <w:sz w:val="22"/>
          </w:rPr>
          <w:t>422.8(5)</w:t>
        </w:r>
      </w:hyperlink>
      <w:r>
        <w:rPr>
          <w:rFonts w:ascii="Times New Roman" w:hAnsi="Times New Roman"/>
          <w:b w:val="false"/>
          <w:i w:val="false"/>
          <w:color w:val="000000"/>
          <w:sz w:val="22"/>
        </w:rPr>
        <w:t>, the department of revenue entered into a reciprocal tax agreement with tax administration officials of Illinois in November 1972 which went into effect for taxable years which began after December 31, 1972. The Iowa-Illinois reciprocal tax agreement cannot be terminated by the Iowa department of revenue unless the termination is authorized by a constitutional majority of each house of the general assembly and is approved by the governor. The Iowa-Illinois reciprocal tax agreement includes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Illinois or Iowa employer is required to withhold Illinois income tax from compensation paid to an Iowa resident for personal services in Illinois.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Illinois or Iowa employer is required to withhold Iowa income tax from compensation paid to an Illinois resident for personal services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Iowa employer who is subject to the jurisdiction of Illinois is liable to the state of Illinois for withholding of Illinois income tax from compensation paid to Illinois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Illinois employer who is subject to the jurisdiction of Iowa is liable to the state of Iowa for the withholding of Iowa income tax from compensation paid to Iowa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Illinois department of revenue will encourage Illinois employers who are not subject to the jurisdiction of Iowa to withhold and remit Iowa income tax from wages paid to Iowa residents employed in Illinois.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revenue will encourage Iowa employers who are not subject to the jurisdiction of Illinois to withhold and remit Illinois income tax from compensation paid to Illinois residents from employment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 agreement, “compensation” means wages, salaries, commissions, tips, deferred compensation, pensions, and annuities and any other remuneration paid for personal services. In the case of deferred compensation, pensions, and annuities, those incomes are deemed to have been earned at the time of employment. Therefore, if an Illinois resident receives a pension or annuity from employment in Iowa at the time the reciprocal agreement was in effect, the pension or annuity income is not taxable to Iowa since it is “compensation” covered by the reciprocal agreement. See rule </w:t>
      </w:r>
      <w:hyperlink r:id="rId41">
        <w:r>
          <w:rPr>
            <w:rStyle w:val="Hyperlink"/>
            <w:rFonts w:ascii="Times New Roman" w:hAnsi="Times New Roman"/>
            <w:b w:val="false"/>
            <w:i w:val="false"/>
            <w:color w:val="000000"/>
            <w:sz w:val="22"/>
          </w:rPr>
          <w:t>701—302.45</w:t>
        </w:r>
      </w:hyperlink>
      <w:r>
        <w:rPr>
          <w:rFonts w:ascii="Times New Roman" w:hAnsi="Times New Roman"/>
          <w:b w:val="false"/>
          <w:i w:val="false"/>
          <w:color w:val="000000"/>
          <w:sz w:val="22"/>
        </w:rPr>
        <w:t xml:space="preserve">(422) for the treatment of deferred compensation, pensions, or annuities received by an Illinois resident related to the documented retirement of a participant in a deferred compensation plan, a pensioner or an annuitant. The provisions of rule </w:t>
      </w:r>
      <w:hyperlink r:id="rId42">
        <w:r>
          <w:rPr>
            <w:rStyle w:val="Hyperlink"/>
            <w:rFonts w:ascii="Times New Roman" w:hAnsi="Times New Roman"/>
            <w:b w:val="false"/>
            <w:i w:val="false"/>
            <w:color w:val="000000"/>
            <w:sz w:val="22"/>
          </w:rPr>
          <w:t>701—302.45</w:t>
        </w:r>
      </w:hyperlink>
      <w:r>
        <w:rPr>
          <w:rFonts w:ascii="Times New Roman" w:hAnsi="Times New Roman"/>
          <w:b w:val="false"/>
          <w:i w:val="false"/>
          <w:color w:val="000000"/>
          <w:sz w:val="22"/>
        </w:rPr>
        <w:t xml:space="preserve">(422) supersede the definition of “compensation” under the reciprocal agreement with Illinois. “Compensation” does not include unemployment compensation benefits which an Illinois resident receives due to employment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Iowa resident is required to pay Illinois income tax or file an Illinois return from compensation paid from personal services in Illinois.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Illinois resident is required to pay Iowa income tax or to file an Iowa return on compensation for personal services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purposes of the agreement, the term “Iowa resident” means an individual who is a resident under the laws of the state of Iowa, and the term “Illinois resident” means an individual who is a resident as defined in the Illinois Income Tax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300.13(2)</w:t>
      </w:r>
      <w:r>
        <w:rPr>
          <w:rFonts w:ascii="Times New Roman" w:hAnsi="Times New Roman"/>
          <w:b w:val="false"/>
          <w:i w:val="false"/>
          <w:color w:val="000000"/>
          <w:sz w:val="22"/>
        </w:rPr>
        <w:t> </w:t>
      </w:r>
      <w:r>
        <w:rPr>
          <w:rFonts w:ascii="Times New Roman" w:hAnsi="Times New Roman"/>
          <w:b w:val="false"/>
          <w:i/>
          <w:color w:val="000000"/>
          <w:sz w:val="22"/>
        </w:rPr>
        <w:t xml:space="preserve">Reciprocal tax agreements with states other than Illinois. </w:t>
      </w:r>
      <w:r>
        <w:rPr>
          <w:rFonts w:ascii="Times New Roman" w:hAnsi="Times New Roman"/>
          <w:b w:val="false"/>
          <w:i w:val="false"/>
          <w:color w:val="000000"/>
          <w:sz w:val="22"/>
        </w:rPr>
        <w:t xml:space="preserve">The Iowa department of revenue has not entered into reciprocal tax agreements with any state except the state of Illinois. See subrule </w:t>
      </w:r>
      <w:hyperlink r:id="rId43">
        <w:r>
          <w:rPr>
            <w:rStyle w:val="Hyperlink"/>
            <w:rFonts w:ascii="Times New Roman" w:hAnsi="Times New Roman"/>
            <w:b w:val="false"/>
            <w:i w:val="false"/>
            <w:color w:val="000000"/>
            <w:sz w:val="22"/>
          </w:rPr>
          <w:t>300.13(1)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2116</w:t>
      </w:r>
      <w:r>
        <w:rPr>
          <w:rFonts w:ascii="Times New Roman" w:hAnsi="Times New Roman"/>
          <w:b w:val="false"/>
          <w:i w:val="false"/>
          <w:color w:val="000000"/>
          <w:sz w:val="22"/>
        </w:rPr>
        <w:t xml:space="preserve">, and section </w:t>
      </w:r>
      <w:hyperlink r:id="rId45">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701—300.14</w:t>
      </w:r>
      <w:r>
        <w:rPr>
          <w:rFonts w:ascii="Times New Roman" w:hAnsi="Times New Roman"/>
          <w:b/>
          <w:i w:val="false"/>
          <w:color w:val="000000"/>
          <w:sz w:val="22"/>
        </w:rPr>
        <w:t xml:space="preserve">(422) </w:t>
      </w:r>
      <w:r>
        <w:rPr>
          <w:rFonts w:ascii="Times New Roman" w:hAnsi="Times New Roman"/>
          <w:b/>
          <w:i w:val="false"/>
          <w:color w:val="000000"/>
          <w:sz w:val="22"/>
        </w:rPr>
        <w:t xml:space="preserve">Information returns for reporting income payments to the department of revenue. </w:t>
      </w:r>
      <w:r>
        <w:rPr>
          <w:rFonts w:ascii="Times New Roman" w:hAnsi="Times New Roman"/>
          <w:b w:val="false"/>
          <w:i w:val="false"/>
          <w:color w:val="000000"/>
          <w:sz w:val="22"/>
        </w:rPr>
        <w:t xml:space="preserve">Effective January 1, 1993, every person, every corporation, or agent of a person or corporation, lessees or mortgagors of real or personal property, fiduciaries, employers, and all officers and employees of the state or of any political subdivision of the state, having control, receipt, custody, or disposal of any of the income items described in subrule </w:t>
      </w:r>
      <w:hyperlink r:id="rId46">
        <w:r>
          <w:rPr>
            <w:rStyle w:val="Hyperlink"/>
            <w:rFonts w:ascii="Times New Roman" w:hAnsi="Times New Roman"/>
            <w:b w:val="false"/>
            <w:i w:val="false"/>
            <w:color w:val="000000"/>
            <w:sz w:val="22"/>
          </w:rPr>
          <w:t>300.14(1)</w:t>
        </w:r>
      </w:hyperlink>
      <w:r>
        <w:rPr>
          <w:rFonts w:ascii="Times New Roman" w:hAnsi="Times New Roman"/>
          <w:b w:val="false"/>
          <w:i w:val="false"/>
          <w:color w:val="000000"/>
          <w:sz w:val="22"/>
        </w:rPr>
        <w:t>, shall file information returns with the department of revenue by the last day of February following the end of the year in which the payments were made. For purposes of this rule, “every person” is every individual who is a resident of this state. For purposes of this rule, “every corporation” includes all corporations that have a place of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300.14(1)</w:t>
      </w:r>
      <w:r>
        <w:rPr>
          <w:rFonts w:ascii="Times New Roman" w:hAnsi="Times New Roman"/>
          <w:b w:val="false"/>
          <w:i w:val="false"/>
          <w:color w:val="000000"/>
          <w:sz w:val="22"/>
        </w:rPr>
        <w:t> </w:t>
      </w:r>
      <w:r>
        <w:rPr>
          <w:rFonts w:ascii="Times New Roman" w:hAnsi="Times New Roman"/>
          <w:b w:val="false"/>
          <w:i/>
          <w:color w:val="000000"/>
          <w:sz w:val="22"/>
        </w:rPr>
        <w:t xml:space="preserve">Incomes to be included in information returns. </w:t>
      </w:r>
      <w:r>
        <w:rPr>
          <w:rFonts w:ascii="Times New Roman" w:hAnsi="Times New Roman"/>
          <w:b w:val="false"/>
          <w:i w:val="false"/>
          <w:color w:val="000000"/>
          <w:sz w:val="22"/>
        </w:rPr>
        <w:t xml:space="preserve">The entities described in rule </w:t>
      </w:r>
      <w:hyperlink r:id="rId47">
        <w:r>
          <w:rPr>
            <w:rStyle w:val="Hyperlink"/>
            <w:rFonts w:ascii="Times New Roman" w:hAnsi="Times New Roman"/>
            <w:b w:val="false"/>
            <w:i w:val="false"/>
            <w:color w:val="000000"/>
            <w:sz w:val="22"/>
          </w:rPr>
          <w:t>701—300.14(422)</w:t>
        </w:r>
      </w:hyperlink>
      <w:r>
        <w:rPr>
          <w:rFonts w:ascii="Times New Roman" w:hAnsi="Times New Roman"/>
          <w:b w:val="false"/>
          <w:i w:val="false"/>
          <w:color w:val="000000"/>
          <w:sz w:val="22"/>
        </w:rPr>
        <w:t xml:space="preserve"> are required to file information returns to the department of revenue on income payments of interest (other than interest coupons payable to the bearer), rents, salaries, wages, premiums, annuities, compensation, remunerations, emoluments, unemployment compensation, royalties, patronage dividends, or other fixed or determinable annual or periodic gains, profits, and income to the extent that the amount of income is great enough so that an information return on the income is required to be filed with the Internal Revenue Service (IRS) under provisions of the Internal Revenue Code. However, no reporting is required for payments of deferred compensation, pensions, and annuities to nonresidents of Iowa. In addition, no reporting is required for any type of income payment where information on the income payment is available to the department from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300.14(2)</w:t>
      </w:r>
      <w:r>
        <w:rPr>
          <w:rFonts w:ascii="Times New Roman" w:hAnsi="Times New Roman"/>
          <w:b w:val="false"/>
          <w:i w:val="false"/>
          <w:color w:val="000000"/>
          <w:sz w:val="22"/>
        </w:rPr>
        <w:t> </w:t>
      </w:r>
      <w:r>
        <w:rPr>
          <w:rFonts w:ascii="Times New Roman" w:hAnsi="Times New Roman"/>
          <w:b w:val="false"/>
          <w:i/>
          <w:color w:val="000000"/>
          <w:sz w:val="22"/>
        </w:rPr>
        <w:t xml:space="preserve">Information on income payments available from the Internal Revenue Service. </w:t>
      </w:r>
      <w:r>
        <w:rPr>
          <w:rFonts w:ascii="Times New Roman" w:hAnsi="Times New Roman"/>
          <w:b w:val="false"/>
          <w:i w:val="false"/>
          <w:color w:val="000000"/>
          <w:sz w:val="22"/>
        </w:rPr>
        <w:t>The department can obtain information from the Internal Revenue Service on many income payments made to individuals in the tax year. The following is a list of federal reporting forms and the types of information available on those forms from the Internal Revenue Service for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1065 K-1.</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2145"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Dividends.</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Interest.</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Tax withheld.</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Royalties.</w:t>
            </w:r>
          </w:p>
          <w:p>
            <w:pPr>
              <w:spacing w:before="0" w:after="0"/>
              <w:ind w:left="160"/>
              <w:jc w:val="left"/>
            </w:pPr>
            <w:r>
              <w:rPr>
                <w:rFonts w:ascii="Times New Roman" w:hAnsi="Times New Roman"/>
                <w:b w:val="false"/>
                <w:i w:val="false"/>
                <w:color w:val="000000"/>
                <w:sz w:val="21"/>
              </w:rPr>
              <w:t>     5.   </w:t>
            </w:r>
            <w:r>
              <w:rPr>
                <w:rFonts w:ascii="Times New Roman" w:hAnsi="Times New Roman"/>
                <w:b w:val="false"/>
                <w:i w:val="false"/>
                <w:color w:val="000000"/>
                <w:sz w:val="21"/>
              </w:rPr>
              <w:t>Ordinary income or (loss).</w:t>
            </w:r>
          </w:p>
          <w:p>
            <w:pPr>
              <w:spacing w:before="0" w:after="0"/>
              <w:ind w:left="160"/>
              <w:jc w:val="left"/>
            </w:pPr>
            <w:r>
              <w:rPr>
                <w:rFonts w:ascii="Times New Roman" w:hAnsi="Times New Roman"/>
                <w:b w:val="false"/>
                <w:i w:val="false"/>
                <w:color w:val="000000"/>
                <w:sz w:val="21"/>
              </w:rPr>
              <w:t>     6.   </w:t>
            </w:r>
            <w:r>
              <w:rPr>
                <w:rFonts w:ascii="Times New Roman" w:hAnsi="Times New Roman"/>
                <w:b w:val="false"/>
                <w:i w:val="false"/>
                <w:color w:val="000000"/>
                <w:sz w:val="21"/>
              </w:rPr>
              <w:t>Real estate income or (loss).</w:t>
            </w:r>
          </w:p>
          <w:p>
            <w:pPr>
              <w:spacing w:before="0" w:after="0"/>
              <w:ind w:left="160"/>
              <w:jc w:val="left"/>
            </w:pPr>
            <w:r>
              <w:rPr>
                <w:rFonts w:ascii="Times New Roman" w:hAnsi="Times New Roman"/>
                <w:b w:val="false"/>
                <w:i w:val="false"/>
                <w:color w:val="000000"/>
                <w:sz w:val="21"/>
              </w:rPr>
              <w:t>     7.   </w:t>
            </w:r>
            <w:r>
              <w:rPr>
                <w:rFonts w:ascii="Times New Roman" w:hAnsi="Times New Roman"/>
                <w:b w:val="false"/>
                <w:i w:val="false"/>
                <w:color w:val="000000"/>
                <w:sz w:val="21"/>
              </w:rPr>
              <w:t>Other rental income or (loss).</w:t>
            </w:r>
          </w:p>
          <w:p>
            <w:pPr>
              <w:spacing w:before="0" w:after="0"/>
              <w:ind w:left="160"/>
              <w:jc w:val="left"/>
            </w:pPr>
            <w:r>
              <w:rPr>
                <w:rFonts w:ascii="Times New Roman" w:hAnsi="Times New Roman"/>
                <w:b w:val="false"/>
                <w:i w:val="false"/>
                <w:color w:val="000000"/>
                <w:sz w:val="21"/>
              </w:rPr>
              <w:t>     8.   </w:t>
            </w:r>
            <w:r>
              <w:rPr>
                <w:rFonts w:ascii="Times New Roman" w:hAnsi="Times New Roman"/>
                <w:b w:val="false"/>
                <w:i w:val="false"/>
                <w:color w:val="000000"/>
                <w:sz w:val="21"/>
              </w:rPr>
              <w:t>Other portfolio income or (loss).</w:t>
            </w:r>
          </w:p>
          <w:p>
            <w:pPr>
              <w:spacing w:before="0" w:after="0"/>
              <w:ind w:left="160"/>
              <w:jc w:val="left"/>
            </w:pPr>
            <w:r>
              <w:rPr>
                <w:rFonts w:ascii="Times New Roman" w:hAnsi="Times New Roman"/>
                <w:b w:val="false"/>
                <w:i w:val="false"/>
                <w:color w:val="000000"/>
                <w:sz w:val="21"/>
              </w:rPr>
              <w:t>     9.   </w:t>
            </w:r>
            <w:r>
              <w:rPr>
                <w:rFonts w:ascii="Times New Roman" w:hAnsi="Times New Roman"/>
                <w:b w:val="false"/>
                <w:i w:val="false"/>
                <w:color w:val="000000"/>
                <w:sz w:val="21"/>
              </w:rPr>
              <w:t>Guaranteed payments.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K-1 1041.</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975"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Dividends.</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Interest.</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Other taxable income or (loss).</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Tax withheld.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K-1 1120-S.</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1905"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Dividends.</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Interest.</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Tax withheld.</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Royalties.</w:t>
            </w:r>
          </w:p>
          <w:p>
            <w:pPr>
              <w:spacing w:before="0" w:after="0"/>
              <w:ind w:left="160"/>
              <w:jc w:val="left"/>
            </w:pPr>
            <w:r>
              <w:rPr>
                <w:rFonts w:ascii="Times New Roman" w:hAnsi="Times New Roman"/>
                <w:b w:val="false"/>
                <w:i w:val="false"/>
                <w:color w:val="000000"/>
                <w:sz w:val="21"/>
              </w:rPr>
              <w:t>     5.   </w:t>
            </w:r>
            <w:r>
              <w:rPr>
                <w:rFonts w:ascii="Times New Roman" w:hAnsi="Times New Roman"/>
                <w:b w:val="false"/>
                <w:i w:val="false"/>
                <w:color w:val="000000"/>
                <w:sz w:val="21"/>
              </w:rPr>
              <w:t>Ordinary income.</w:t>
            </w:r>
          </w:p>
          <w:p>
            <w:pPr>
              <w:spacing w:before="0" w:after="0"/>
              <w:ind w:left="160"/>
              <w:jc w:val="left"/>
            </w:pPr>
            <w:r>
              <w:rPr>
                <w:rFonts w:ascii="Times New Roman" w:hAnsi="Times New Roman"/>
                <w:b w:val="false"/>
                <w:i w:val="false"/>
                <w:color w:val="000000"/>
                <w:sz w:val="21"/>
              </w:rPr>
              <w:t>     6.   </w:t>
            </w:r>
            <w:r>
              <w:rPr>
                <w:rFonts w:ascii="Times New Roman" w:hAnsi="Times New Roman"/>
                <w:b w:val="false"/>
                <w:i w:val="false"/>
                <w:color w:val="000000"/>
                <w:sz w:val="21"/>
              </w:rPr>
              <w:t>Real estate.</w:t>
            </w:r>
          </w:p>
          <w:p>
            <w:pPr>
              <w:spacing w:before="0" w:after="0"/>
              <w:ind w:left="160"/>
              <w:jc w:val="left"/>
            </w:pPr>
            <w:r>
              <w:rPr>
                <w:rFonts w:ascii="Times New Roman" w:hAnsi="Times New Roman"/>
                <w:b w:val="false"/>
                <w:i w:val="false"/>
                <w:color w:val="000000"/>
                <w:sz w:val="21"/>
              </w:rPr>
              <w:t>     7.   </w:t>
            </w:r>
            <w:r>
              <w:rPr>
                <w:rFonts w:ascii="Times New Roman" w:hAnsi="Times New Roman"/>
                <w:b w:val="false"/>
                <w:i w:val="false"/>
                <w:color w:val="000000"/>
                <w:sz w:val="21"/>
              </w:rPr>
              <w:t>Other rental.</w:t>
            </w:r>
          </w:p>
          <w:p>
            <w:pPr>
              <w:spacing w:before="0" w:after="0"/>
              <w:ind w:left="160"/>
              <w:jc w:val="left"/>
            </w:pPr>
            <w:r>
              <w:rPr>
                <w:rFonts w:ascii="Times New Roman" w:hAnsi="Times New Roman"/>
                <w:b w:val="false"/>
                <w:i w:val="false"/>
                <w:color w:val="000000"/>
                <w:sz w:val="21"/>
              </w:rPr>
              <w:t>     8.   </w:t>
            </w:r>
            <w:r>
              <w:rPr>
                <w:rFonts w:ascii="Times New Roman" w:hAnsi="Times New Roman"/>
                <w:b w:val="false"/>
                <w:i w:val="false"/>
                <w:color w:val="000000"/>
                <w:sz w:val="21"/>
              </w:rPr>
              <w:t>Other portfolio.</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1099-S.</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270"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Real estate sales.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1099-B.</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495"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Aggregate profit and loss.</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Realized profit and loss.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1098.</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270"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Mortgage interest.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1099-G.</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1140"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Tax withheld.</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Taxable grant.</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Unemployment compensation.</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Agricultural subsidies.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1099-DIV.</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1680"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Dividends.</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Tax withheld.</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Capital gains.</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Cash liquid distribution.</w:t>
            </w:r>
          </w:p>
          <w:p>
            <w:pPr>
              <w:spacing w:before="0" w:after="0"/>
              <w:ind w:left="160"/>
              <w:jc w:val="left"/>
            </w:pPr>
            <w:r>
              <w:rPr>
                <w:rFonts w:ascii="Times New Roman" w:hAnsi="Times New Roman"/>
                <w:b w:val="false"/>
                <w:i w:val="false"/>
                <w:color w:val="000000"/>
                <w:sz w:val="21"/>
              </w:rPr>
              <w:t>     5.   </w:t>
            </w:r>
            <w:r>
              <w:rPr>
                <w:rFonts w:ascii="Times New Roman" w:hAnsi="Times New Roman"/>
                <w:b w:val="false"/>
                <w:i w:val="false"/>
                <w:color w:val="000000"/>
                <w:sz w:val="21"/>
              </w:rPr>
              <w:t>Noncash liquid distribution.</w:t>
            </w:r>
          </w:p>
          <w:p>
            <w:pPr>
              <w:spacing w:before="0" w:after="0"/>
              <w:ind w:left="160"/>
              <w:jc w:val="left"/>
            </w:pPr>
            <w:r>
              <w:rPr>
                <w:rFonts w:ascii="Times New Roman" w:hAnsi="Times New Roman"/>
                <w:b w:val="false"/>
                <w:i w:val="false"/>
                <w:color w:val="000000"/>
                <w:sz w:val="21"/>
              </w:rPr>
              <w:t>     6.   </w:t>
            </w:r>
            <w:r>
              <w:rPr>
                <w:rFonts w:ascii="Times New Roman" w:hAnsi="Times New Roman"/>
                <w:b w:val="false"/>
                <w:i w:val="false"/>
                <w:color w:val="000000"/>
                <w:sz w:val="21"/>
              </w:rPr>
              <w:t>Investment expense.</w:t>
            </w:r>
          </w:p>
          <w:p>
            <w:pPr>
              <w:spacing w:before="0" w:after="0"/>
              <w:ind w:left="160"/>
              <w:jc w:val="left"/>
            </w:pPr>
            <w:r>
              <w:rPr>
                <w:rFonts w:ascii="Times New Roman" w:hAnsi="Times New Roman"/>
                <w:b w:val="false"/>
                <w:i w:val="false"/>
                <w:color w:val="000000"/>
                <w:sz w:val="21"/>
              </w:rPr>
              <w:t>     7.   </w:t>
            </w:r>
            <w:r>
              <w:rPr>
                <w:rFonts w:ascii="Times New Roman" w:hAnsi="Times New Roman"/>
                <w:b w:val="false"/>
                <w:i w:val="false"/>
                <w:color w:val="000000"/>
                <w:sz w:val="21"/>
              </w:rPr>
              <w:t>Ordinary dividends.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1099-INT.</w:t>
      </w:r>
    </w:p>
    <w:tbl>
      <w:tblPr>
        <w:tblW w:w="5000" w:type="pct"/>
        <w:tblCellSpacing w:w="0" w:type="auto"/>
        <w:tblBorders>
          <w:top w:val="none"/>
          <w:left w:val="none"/>
          <w:bottom w:val="none"/>
          <w:right w:val="none"/>
          <w:insideH w:val="none"/>
          <w:insideV w:val="none"/>
        </w:tblBorders>
        <w:tblLayout w:type="fixed"/>
      </w:tblPr>
      <w:tblGrid>
        <w:gridCol w:w="2936"/>
        <w:gridCol w:w="8254"/>
      </w:tblGrid>
      <w:tr>
        <w:trPr>
          <w:trHeight w:val="1200" w:hRule="atLeast"/>
        </w:trPr>
        <w:tc>
          <w:tcPr>
            <w:tcW w:w="29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825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Interest.</w:t>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Tax withheld.</w:t>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Savings bonds.</w:t>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Interest forfeiture.</w:t>
            </w:r>
          </w:p>
          <w:p>
            <w:pPr>
              <w:spacing w:before="0" w:after="0"/>
              <w:ind w:left="160"/>
              <w:jc w:val="left"/>
            </w:pPr>
            <w:r>
              <w:rPr>
                <w:rFonts w:ascii="Times New Roman" w:hAnsi="Times New Roman"/>
                <w:b w:val="false"/>
                <w:i w:val="false"/>
                <w:color w:val="000000"/>
                <w:sz w:val="21"/>
              </w:rPr>
              <w:t>     5.   </w:t>
            </w:r>
            <w:r>
              <w:rPr>
                <w:rFonts w:ascii="Times New Roman" w:hAnsi="Times New Roman"/>
                <w:b w:val="false"/>
                <w:i w:val="false"/>
                <w:color w:val="000000"/>
                <w:sz w:val="21"/>
              </w:rPr>
              <w:t>Tax-exempt interest.</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701—300.15</w:t>
      </w:r>
      <w:r>
        <w:rPr>
          <w:rFonts w:ascii="Times New Roman" w:hAnsi="Times New Roman"/>
          <w:b/>
          <w:i w:val="false"/>
          <w:color w:val="000000"/>
          <w:sz w:val="22"/>
        </w:rPr>
        <w:t xml:space="preserve">(422) </w:t>
      </w:r>
      <w:r>
        <w:rPr>
          <w:rFonts w:ascii="Times New Roman" w:hAnsi="Times New Roman"/>
          <w:b/>
          <w:i w:val="false"/>
          <w:color w:val="000000"/>
          <w:sz w:val="22"/>
        </w:rPr>
        <w:t xml:space="preserve">Relief from joint and several liability under Iowa Code section 422.21(7) for substantial understatement of tax attributable to nonrequesting spouse or former spouse. </w:t>
      </w:r>
      <w:r>
        <w:rPr>
          <w:rFonts w:ascii="Times New Roman" w:hAnsi="Times New Roman"/>
          <w:b w:val="false"/>
          <w:i w:val="false"/>
          <w:color w:val="000000"/>
          <w:sz w:val="22"/>
        </w:rPr>
        <w:t xml:space="preserve">Married or formerly married taxpayers are generally jointly and severally liable for the total tax, penalty, and interest from a joint return or from a return where the spouses file separately on the combined return. However, pursuant to Iowa Code section </w:t>
      </w:r>
      <w:hyperlink r:id="rId49">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a person who is eligible for relief under the criteria established in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may be relieved of liability for an understatement of Iowa tax that is attributable to erroneous items of the nonrequesting spouse or former spouse. For state income tax purposes, the requirements set forth in this rule shall control to the extent that they conflict with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300.15(1)</w:t>
      </w:r>
      <w:r>
        <w:rPr>
          <w:rFonts w:ascii="Times New Roman" w:hAnsi="Times New Roman"/>
          <w:b w:val="false"/>
          <w:i w:val="false"/>
          <w:color w:val="000000"/>
          <w:sz w:val="22"/>
        </w:rPr>
        <w:t> </w:t>
      </w:r>
      <w:r>
        <w:rPr>
          <w:rFonts w:ascii="Times New Roman" w:hAnsi="Times New Roman"/>
          <w:b w:val="false"/>
          <w:i/>
          <w:color w:val="000000"/>
          <w:sz w:val="22"/>
        </w:rPr>
        <w:t xml:space="preserve">Filing status required for relief from joint and several liability. </w:t>
      </w:r>
      <w:r>
        <w:rPr>
          <w:rFonts w:ascii="Times New Roman" w:hAnsi="Times New Roman"/>
          <w:b w:val="false"/>
          <w:i w:val="false"/>
          <w:color w:val="000000"/>
          <w:sz w:val="22"/>
        </w:rPr>
        <w:t xml:space="preserve">For state income tax purposes, a married or formerly married taxpayer may qualify for relief from joint and several liability under Iowa Code section </w:t>
      </w:r>
      <w:hyperlink r:id="rId50">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only if the taxpayer filed a joint return or filed separately on a combined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300.15(2)</w:t>
      </w:r>
      <w:r>
        <w:rPr>
          <w:rFonts w:ascii="Times New Roman" w:hAnsi="Times New Roman"/>
          <w:b w:val="false"/>
          <w:i w:val="false"/>
          <w:color w:val="000000"/>
          <w:sz w:val="22"/>
        </w:rPr>
        <w:t> </w:t>
      </w:r>
      <w:r>
        <w:rPr>
          <w:rFonts w:ascii="Times New Roman" w:hAnsi="Times New Roman"/>
          <w:b w:val="false"/>
          <w:i/>
          <w:color w:val="000000"/>
          <w:sz w:val="22"/>
        </w:rPr>
        <w:t xml:space="preserve">Scope of relief for Iowa income tax purposes. </w:t>
      </w:r>
      <w:r>
        <w:rPr>
          <w:rFonts w:ascii="Times New Roman" w:hAnsi="Times New Roman"/>
          <w:b w:val="false"/>
          <w:i w:val="false"/>
          <w:color w:val="000000"/>
          <w:sz w:val="22"/>
        </w:rPr>
        <w:t>An understatement of the tax is the excess of the tax required to be shown over the tax actually shown on the return. An erroneous item is any item resulting in an understatement or deficiency in Iowa taxes to the extent that the item is omitted from, or improperly reported or characterized on, an Iowa tax return, including Iowa deductions and tax credits that would not be included on a federal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300.15(3)</w:t>
      </w:r>
      <w:r>
        <w:rPr>
          <w:rFonts w:ascii="Times New Roman" w:hAnsi="Times New Roman"/>
          <w:b w:val="false"/>
          <w:i w:val="false"/>
          <w:color w:val="000000"/>
          <w:sz w:val="22"/>
        </w:rPr>
        <w:t> </w:t>
      </w:r>
      <w:r>
        <w:rPr>
          <w:rFonts w:ascii="Times New Roman" w:hAnsi="Times New Roman"/>
          <w:b w:val="false"/>
          <w:i/>
          <w:color w:val="000000"/>
          <w:sz w:val="22"/>
        </w:rPr>
        <w:t xml:space="preserve">Requirement to provide IRS determination or other evidence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seeking relief from joint and several liability under Iowa Code section </w:t>
      </w:r>
      <w:hyperlink r:id="rId51">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also applied for tax relief from the federal government under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and received a final determination letter or other document issued by the Internal Revenue Service in connection with relief requested under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the person is required to provide the department with a copy of such letter or document within the time frame set forth in </w:t>
      </w:r>
      <w:hyperlink r:id="rId52">
        <w:r>
          <w:rPr>
            <w:rStyle w:val="Hyperlink"/>
            <w:rFonts w:ascii="Times New Roman" w:hAnsi="Times New Roman"/>
            <w:b w:val="false"/>
            <w:i w:val="false"/>
            <w:color w:val="000000"/>
            <w:sz w:val="22"/>
          </w:rPr>
          <w:t>subrule 300.15(6)</w:t>
        </w:r>
      </w:hyperlink>
      <w:r>
        <w:rPr>
          <w:rFonts w:ascii="Times New Roman" w:hAnsi="Times New Roman"/>
          <w:b w:val="false"/>
          <w:i w:val="false"/>
          <w:color w:val="000000"/>
          <w:sz w:val="22"/>
        </w:rPr>
        <w:t xml:space="preserve">. Failure to provide this required information, if it exists, will result in the denial of the request for relief from joint and several liability under Iowa Code section </w:t>
      </w:r>
      <w:hyperlink r:id="rId53">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seeking relief from joint and several liability under Iowa Code section </w:t>
      </w:r>
      <w:hyperlink r:id="rId54">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also applied for federal relief under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but did not receive a final determination letter or other document issued by the Internal Revenue Service in connection with the requested relief, the person must provide the department with other evidence to support the position that the taxpayer is eligible for relief under Iowa Code section </w:t>
      </w:r>
      <w:hyperlink r:id="rId55">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seeking relief under Iowa Code section </w:t>
      </w:r>
      <w:hyperlink r:id="rId56">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did not apply for federal relief under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the person must submit a written statement to the department detailing the reason for not applying for relief under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as well as evidence to support the position that the taxpayer is eligible for relief under Iowa Code section </w:t>
      </w:r>
      <w:hyperlink r:id="rId57">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300.15(4)</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evaluation of criteria listed under Section 6015 of the Internal Revenue Code. </w:t>
      </w:r>
      <w:r>
        <w:rPr>
          <w:rFonts w:ascii="Times New Roman" w:hAnsi="Times New Roman"/>
          <w:b w:val="false"/>
          <w:i w:val="false"/>
          <w:color w:val="000000"/>
          <w:sz w:val="22"/>
        </w:rPr>
        <w:t xml:space="preserve">The burden is on the person seeking relief from joint and several liability to show that the person is eligible for relief under Iowa Code section </w:t>
      </w:r>
      <w:hyperlink r:id="rId58">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In determining whether the person seeking relief from joint and several liability is eligible for relief under Iowa Code section </w:t>
      </w:r>
      <w:hyperlink r:id="rId59">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the department shall apply this rule and the relevant criteria set forth in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and the related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300.15(5)</w:t>
      </w:r>
      <w:r>
        <w:rPr>
          <w:rFonts w:ascii="Times New Roman" w:hAnsi="Times New Roman"/>
          <w:b w:val="false"/>
          <w:i w:val="false"/>
          <w:color w:val="000000"/>
          <w:sz w:val="22"/>
        </w:rPr>
        <w:t> </w:t>
      </w:r>
      <w:r>
        <w:rPr>
          <w:rFonts w:ascii="Times New Roman" w:hAnsi="Times New Roman"/>
          <w:b w:val="false"/>
          <w:i/>
          <w:color w:val="000000"/>
          <w:sz w:val="22"/>
        </w:rPr>
        <w:t xml:space="preserve">Protesting a denied request for relief from joint and several liability. </w:t>
      </w:r>
      <w:r>
        <w:rPr>
          <w:rFonts w:ascii="Times New Roman" w:hAnsi="Times New Roman"/>
          <w:b w:val="false"/>
          <w:i w:val="false"/>
          <w:color w:val="000000"/>
          <w:sz w:val="22"/>
        </w:rPr>
        <w:t xml:space="preserve">If the department denies a claim for relief from joint and several liability under Iowa Code section </w:t>
      </w:r>
      <w:hyperlink r:id="rId60">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 xml:space="preserve">, the person seeking relief may protest the department’s determination under </w:t>
      </w:r>
      <w:hyperlink r:id="rId61">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The department will evaluate the protest by applying the criteria set forth in this rule and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and the related regulations. In protest proceedings, the burden is on the person seeking relief from joint and several liability to show that the person meets the criteria for relief under this rule and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requesting relief from joint and several liability. </w:t>
      </w:r>
      <w:r>
        <w:rPr>
          <w:rFonts w:ascii="Times New Roman" w:hAnsi="Times New Roman"/>
          <w:b w:val="false"/>
          <w:i w:val="false"/>
          <w:color w:val="000000"/>
          <w:sz w:val="22"/>
        </w:rPr>
        <w:t xml:space="preserve">For tax periods beginning on or after January 1, 2004, relief from joint and several liability must be requested within two years after the date of the notice of assessment. However, an applicant who fails to meet this deadline may be granted equitable relief if the applicant satisfies the criteria listed under </w:t>
      </w:r>
      <w:r>
        <w:rPr>
          <w:rFonts w:ascii="Times New Roman" w:hAnsi="Times New Roman"/>
          <w:b w:val="false"/>
          <w:i w:val="false"/>
          <w:color w:val="000000"/>
          <w:sz w:val="22"/>
        </w:rPr>
        <w:t>Section 6015(f) of the Internal Revenue Code</w:t>
      </w:r>
      <w:r>
        <w:rPr>
          <w:rFonts w:ascii="Times New Roman" w:hAnsi="Times New Roman"/>
          <w:b w:val="false"/>
          <w:i w:val="false"/>
          <w:color w:val="000000"/>
          <w:sz w:val="22"/>
        </w:rPr>
        <w:t xml:space="preserve"> and, if applicable, Internal Revenue Service Notice 2011-70, which became effective July 25,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300.15(7)</w:t>
      </w:r>
      <w:r>
        <w:rPr>
          <w:rFonts w:ascii="Times New Roman" w:hAnsi="Times New Roman"/>
          <w:b w:val="false"/>
          <w:i w:val="false"/>
          <w:color w:val="000000"/>
          <w:sz w:val="22"/>
        </w:rPr>
        <w:t> </w:t>
      </w:r>
      <w:r>
        <w:rPr>
          <w:rFonts w:ascii="Times New Roman" w:hAnsi="Times New Roman"/>
          <w:b w:val="false"/>
          <w:i/>
          <w:color w:val="000000"/>
          <w:sz w:val="22"/>
        </w:rPr>
        <w:t xml:space="preserve">Notice to nonrequesting spouse or former spouse. </w:t>
      </w:r>
      <w:r>
        <w:rPr>
          <w:rFonts w:ascii="Times New Roman" w:hAnsi="Times New Roman"/>
          <w:b w:val="false"/>
          <w:i w:val="false"/>
          <w:color w:val="000000"/>
          <w:sz w:val="22"/>
        </w:rPr>
        <w:t xml:space="preserve">On or before 60 days from the date the person seeking relief from joint and several liability files a request with the department, the department may notify the nonrequesting spouse or former spouse of the request for relief. The notice will advise the nonrequesting spouse or former spouse of the right to intervene by filing a notice of intervention with the department in accordance with </w:t>
      </w:r>
      <w:hyperlink r:id="rId62">
        <w:r>
          <w:rPr>
            <w:rStyle w:val="Hyperlink"/>
            <w:rFonts w:ascii="Times New Roman" w:hAnsi="Times New Roman"/>
            <w:b w:val="false"/>
            <w:i w:val="false"/>
            <w:color w:val="000000"/>
            <w:sz w:val="22"/>
          </w:rPr>
          <w:t>subrules 300.15(8)</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300.15(9)</w:t>
        </w:r>
      </w:hyperlink>
      <w:r>
        <w:rPr>
          <w:rFonts w:ascii="Times New Roman" w:hAnsi="Times New Roman"/>
          <w:b w:val="false"/>
          <w:i w:val="false"/>
          <w:color w:val="000000"/>
          <w:sz w:val="22"/>
        </w:rPr>
        <w:t>. The notice shall not include the current address or contact information of the spouse or former spouse requesting relief. The department will use the last-known address of the nonrequesting spouse when sending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300.15(8)</w:t>
      </w:r>
      <w:r>
        <w:rPr>
          <w:rFonts w:ascii="Times New Roman" w:hAnsi="Times New Roman"/>
          <w:b w:val="false"/>
          <w:i w:val="false"/>
          <w:color w:val="000000"/>
          <w:sz w:val="22"/>
        </w:rPr>
        <w:t> </w:t>
      </w:r>
      <w:r>
        <w:rPr>
          <w:rFonts w:ascii="Times New Roman" w:hAnsi="Times New Roman"/>
          <w:b w:val="false"/>
          <w:i/>
          <w:color w:val="000000"/>
          <w:sz w:val="22"/>
        </w:rPr>
        <w:t xml:space="preserve">Intervention by nonrequesting spouse or former spouse. </w:t>
      </w:r>
      <w:r>
        <w:rPr>
          <w:rFonts w:ascii="Times New Roman" w:hAnsi="Times New Roman"/>
          <w:b w:val="false"/>
          <w:i w:val="false"/>
          <w:color w:val="000000"/>
          <w:sz w:val="22"/>
        </w:rPr>
        <w:t xml:space="preserve">If the nonrequesting spouse or former spouse desires to intervene, such individual shall file a notice of intervention with the department not later than 60 days after the date the notice of the request for relief from joint and several liability is sent by the department to the nonrequesting spouse or former spouse, unless the department directs otherwise.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300.15(9)</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of 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intervention must be in the following format:</w:t>
      </w:r>
    </w:p>
    <w:p>
      <w:pPr>
        <w:spacing w:before="60" w:after="0"/>
        <w:ind w:left="120"/>
        <w:jc w:val="center"/>
      </w:pPr>
      <w:r>
        <w:rPr>
          <w:rFonts w:ascii="Times New Roman" w:hAnsi="Times New Roman"/>
          <w:b/>
          <w:i w:val="false"/>
          <w:color w:val="000000"/>
          <w:sz w:val="22"/>
        </w:rPr>
        <w:t>DEPARTMENT OF REVENUE</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6363"/>
        <w:gridCol w:w="4827"/>
      </w:tblGrid>
      <w:tr>
        <w:trPr>
          <w:trHeight w:val="225" w:hRule="atLeast"/>
        </w:trPr>
        <w:tc>
          <w:tcPr>
            <w:tcW w:w="63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63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Name of Intervenor</w:t>
            </w:r>
          </w:p>
        </w:tc>
        <w:tc>
          <w:tcPr>
            <w:tcW w:w="482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NOTICE OF</w:t>
            </w:r>
            <w:r>
              <w:br/>
            </w:r>
            <w:r>
              <w:rPr>
                <w:rFonts w:ascii="Times New Roman" w:hAnsi="Times New Roman"/>
                <w:b/>
                <w:i w:val="false"/>
                <w:color w:val="000000"/>
                <w:sz w:val="16"/>
              </w:rPr>
              <w:t>INTERVENTION</w:t>
            </w:r>
          </w:p>
        </w:tc>
      </w:tr>
      <w:tr>
        <w:trPr>
          <w:trHeight w:val="210" w:hRule="atLeast"/>
        </w:trPr>
        <w:tc>
          <w:tcPr>
            <w:tcW w:w="63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63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Address of Intervenor</w:t>
            </w:r>
          </w:p>
        </w:tc>
        <w:tc>
          <w:tcPr>
            <w:tcW w:w="48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w:t>
            </w:r>
          </w:p>
        </w:tc>
      </w:tr>
      <w:tr>
        <w:trPr>
          <w:trHeight w:val="225" w:hRule="atLeast"/>
        </w:trPr>
        <w:tc>
          <w:tcPr>
            <w:tcW w:w="63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8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intervention must contain all of the following, where applicable and known to the intervenor: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identification number of the taxpayer (i.e., social security number (SSN), federal identification number (FEIN), or individual tax identification number (ITIN) of the person who is requesting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docket number of the proceeding initiated by the person seeking relief from joint and several liability under Iowa Code section </w:t>
      </w:r>
      <w:hyperlink r:id="rId64">
        <w:r>
          <w:rPr>
            <w:rStyle w:val="Hyperlink"/>
            <w:rFonts w:ascii="Times New Roman" w:hAnsi="Times New Roman"/>
            <w:b w:val="false"/>
            <w:i w:val="false"/>
            <w:color w:val="000000"/>
            <w:sz w:val="22"/>
          </w:rPr>
          <w:t>422.21(7)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determination letter or other document, if any, issued by the Internal Revenue Service showing that the person seeking relief from joint and several liability under </w:t>
      </w:r>
      <w:r>
        <w:rPr>
          <w:rFonts w:ascii="Times New Roman" w:hAnsi="Times New Roman"/>
          <w:b w:val="false"/>
          <w:i w:val="false"/>
          <w:color w:val="000000"/>
          <w:sz w:val="22"/>
        </w:rPr>
        <w:t>Section 6015 of the Internal Revenue Code</w:t>
      </w:r>
      <w:r>
        <w:rPr>
          <w:rFonts w:ascii="Times New Roman" w:hAnsi="Times New Roman"/>
          <w:b w:val="false"/>
          <w:i w:val="false"/>
          <w:color w:val="000000"/>
          <w:sz w:val="22"/>
        </w:rPr>
        <w:t xml:space="preserve"> has been granted or denied relief for the relevant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the grounds for intervention, all relevant facts, and the reasons why the intervenor agrees or disagrees with the person seeking relief from joint and several liability as to that person’s entitlement to such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citation to any specific statutes, rules, policies, decisions, or orders which may be relevant in the department’s determination of the applicability of relief from joint and several liability to the person seeking such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relating to the department’s treatment of similar cases;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intervenor at the conclusion of the notice of intervention attesting to the accuracy and truthfulness of the information set forth in the notice of intervention.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2393C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5801C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701—300.16</w:t>
      </w:r>
      <w:r>
        <w:rPr>
          <w:rFonts w:ascii="Times New Roman" w:hAnsi="Times New Roman"/>
          <w:b/>
          <w:i w:val="false"/>
          <w:color w:val="000000"/>
          <w:sz w:val="22"/>
        </w:rPr>
        <w:t xml:space="preserve">(422) </w:t>
      </w:r>
      <w:r>
        <w:rPr>
          <w:rFonts w:ascii="Times New Roman" w:hAnsi="Times New Roman"/>
          <w:b/>
          <w:i w:val="false"/>
          <w:color w:val="000000"/>
          <w:sz w:val="22"/>
        </w:rPr>
        <w:t xml:space="preserve">Preparation of taxpayers’ returns by department employees. </w:t>
      </w:r>
      <w:r>
        <w:rPr>
          <w:rFonts w:ascii="Times New Roman" w:hAnsi="Times New Roman"/>
          <w:b w:val="false"/>
          <w:i w:val="false"/>
          <w:color w:val="000000"/>
          <w:sz w:val="22"/>
        </w:rPr>
        <w:t>A department employee can assist a taxpayer in the preparation and completion of the taxpayer’s individual income tax returns and other state tax returns during the employee’s hours of employment for the department in either of the following situations: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time the department employee is conducting an audit of the taxpayer.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department employee is requested to prepare a taxpayer’s individual income tax return or other tax returns by the taxpayer, the taxpayer’s spouse, or the taxpayer’s authorized representative.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701—300.17</w:t>
      </w:r>
      <w:r>
        <w:rPr>
          <w:rFonts w:ascii="Times New Roman" w:hAnsi="Times New Roman"/>
          <w:b/>
          <w:i w:val="false"/>
          <w:color w:val="000000"/>
          <w:sz w:val="22"/>
        </w:rPr>
        <w:t xml:space="preserve">(422) </w:t>
      </w:r>
      <w:r>
        <w:rPr>
          <w:rFonts w:ascii="Times New Roman" w:hAnsi="Times New Roman"/>
          <w:b/>
          <w:i w:val="false"/>
          <w:color w:val="000000"/>
          <w:sz w:val="22"/>
        </w:rPr>
        <w:t xml:space="preserve">Resident determination. </w:t>
      </w:r>
      <w:r>
        <w:rPr>
          <w:rFonts w:ascii="Times New Roman" w:hAnsi="Times New Roman"/>
          <w:b w:val="false"/>
          <w:i w:val="false"/>
          <w:color w:val="000000"/>
          <w:sz w:val="22"/>
        </w:rPr>
        <w:t>For Iowa individual income tax purposes, an individual is a “resident” if: (1) the individual maintains a permanent place of abode within the state, or (2) the individual is domiciled in the state. An individual who is determined to be a “resident” of Iowa is subject to Iowa income tax on all the individual’s income for the taxable year, no matter whether the income is earned within Iowa or outside of Iowa, except when an item of income is specifically exempted from taxation by a provision of federal or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300.17(1)</w:t>
      </w:r>
      <w:r>
        <w:rPr>
          <w:rFonts w:ascii="Times New Roman" w:hAnsi="Times New Roman"/>
          <w:b w:val="false"/>
          <w:i w:val="false"/>
          <w:color w:val="000000"/>
          <w:sz w:val="22"/>
        </w:rPr>
        <w:t> </w:t>
      </w:r>
      <w:r>
        <w:rPr>
          <w:rFonts w:ascii="Times New Roman" w:hAnsi="Times New Roman"/>
          <w:b w:val="false"/>
          <w:i/>
          <w:color w:val="000000"/>
          <w:sz w:val="22"/>
        </w:rPr>
        <w:t xml:space="preserve">Permanent place of abode. </w:t>
      </w:r>
      <w:r>
        <w:rPr>
          <w:rFonts w:ascii="Times New Roman" w:hAnsi="Times New Roman"/>
          <w:b w:val="false"/>
          <w:i w:val="false"/>
          <w:color w:val="000000"/>
          <w:sz w:val="22"/>
        </w:rPr>
        <w:t>The establishment of a permanent place of abode requires the maintenance of a place of abode over a sufficient period of time to create a well-settled physical connection with a given locality. Significant factors, among others, to be considered in determining whether an individual maintains such a permanent place of abode are: (1) the amount of time the individual spends in the locality; (2) the nature of the individual’s place of abode; (3) the individual’s activities in the locality; and (4) the individual’s intentions with regard to the length and nature of the individual’s stay.</w:t>
      </w:r>
    </w:p>
    <w:p>
      <w:pPr>
        <w:spacing w:before="0" w:after="0"/>
        <w:ind w:left="120"/>
        <w:jc w:val="both"/>
      </w:pPr>
      <w:r>
        <w:rPr>
          <w:rFonts w:ascii="Times New Roman" w:hAnsi="Times New Roman"/>
          <w:b w:val="false"/>
          <w:i w:val="false"/>
          <w:color w:val="000000"/>
          <w:sz w:val="22"/>
        </w:rPr>
        <w:t>There is a rebuttable presumption that an individual is maintaining a “permanent place of abode” if the individual maintains a place of abode within this state and spends more than 183 days of the tax year within this state. The term “place of abode” includes a house, apartment, condominium, mobile home, or other dwelling place maintained or occupied by the individual whether or not owned or rented by the individual. Situations where presence in the state for 183 days of the tax year may not cause an individual to be considered to be maintaining a “permanent place of abode” would include situations where presence in the state is not voluntary, such as confinement to a correctional facility or an extended hospital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300.17(2)</w:t>
      </w:r>
      <w:r>
        <w:rPr>
          <w:rFonts w:ascii="Times New Roman" w:hAnsi="Times New Roman"/>
          <w:b w:val="false"/>
          <w:i w:val="false"/>
          <w:color w:val="000000"/>
          <w:sz w:val="22"/>
        </w:rPr>
        <w:t> </w:t>
      </w:r>
      <w:r>
        <w:rPr>
          <w:rFonts w:ascii="Times New Roman" w:hAnsi="Times New Roman"/>
          <w:b w:val="false"/>
          <w:i/>
          <w:color w:val="000000"/>
          <w:sz w:val="22"/>
        </w:rPr>
        <w:t xml:space="preserve">Domicile. </w:t>
      </w:r>
      <w:r>
        <w:rPr>
          <w:rFonts w:ascii="Times New Roman" w:hAnsi="Times New Roman"/>
          <w:b w:val="false"/>
          <w:i w:val="false"/>
          <w:color w:val="000000"/>
          <w:sz w:val="22"/>
        </w:rPr>
        <w:t xml:space="preserve">An individual is “domiciled” in this state if the individual intends to permanently or indefinitely reside in Iowa and intends to return to Iowa whenever the individual may be absent from this state. Individuals who have moved into this state are domiciled in Iowa if the following three elements exist: (1) a definite abandonment of a former domicile; (2) actual removal to, and physical presence in this state; and (3) a bona fide intention to change domicile and to remain in this state permanently or indefinitely. </w:t>
      </w:r>
      <w:r>
        <w:rPr>
          <w:rFonts w:ascii="Times New Roman" w:hAnsi="Times New Roman"/>
          <w:b w:val="false"/>
          <w:i/>
          <w:color w:val="000000"/>
          <w:sz w:val="22"/>
        </w:rPr>
        <w:t>Julson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Julson,</w:t>
      </w:r>
      <w:r>
        <w:rPr>
          <w:rFonts w:ascii="Times New Roman" w:hAnsi="Times New Roman"/>
          <w:b w:val="false"/>
          <w:i w:val="false"/>
          <w:color w:val="000000"/>
          <w:sz w:val="22"/>
        </w:rPr>
        <w:t xml:space="preserve"> 255 Iowa 301, 122 N.W.2d 329, 331 (1963).</w:t>
      </w:r>
    </w:p>
    <w:p>
      <w:pPr>
        <w:spacing w:before="0" w:after="0"/>
        <w:ind w:left="120"/>
        <w:jc w:val="both"/>
      </w:pPr>
      <w:r>
        <w:rPr>
          <w:rFonts w:ascii="Times New Roman" w:hAnsi="Times New Roman"/>
          <w:b w:val="false"/>
          <w:i w:val="false"/>
          <w:color w:val="000000"/>
          <w:sz w:val="22"/>
        </w:rPr>
        <w:t>Every person has one and only one domicile. Domicile, for purposes of determining when an individual is “domiciled in this state,” is largely a matter of intention which must be freely and voluntarily exercised. The intention to change one’s domicile must be present and fixed and not dependent upon the happening of some future or contingent event. Because it is essentially a matter of intent, precedents are of slight assistance and the determination of the place of domicile depends upon all the facts and circumstances in each case.</w:t>
      </w:r>
    </w:p>
    <w:p>
      <w:pPr>
        <w:spacing w:before="0" w:after="0"/>
        <w:ind w:left="120"/>
        <w:jc w:val="both"/>
      </w:pPr>
      <w:r>
        <w:rPr>
          <w:rFonts w:ascii="Times New Roman" w:hAnsi="Times New Roman"/>
          <w:b w:val="false"/>
          <w:i w:val="false"/>
          <w:color w:val="000000"/>
          <w:sz w:val="22"/>
        </w:rPr>
        <w:t xml:space="preserve">Once an individual is domiciled in Iowa, that status is retained until such time as the individual takes positive action to become domiciled in another state or country, relinquishes the rights and privileges of residency in Iowa, and meets the criteria set forth from </w:t>
      </w:r>
      <w:r>
        <w:rPr>
          <w:rFonts w:ascii="Times New Roman" w:hAnsi="Times New Roman"/>
          <w:b w:val="false"/>
          <w:i/>
          <w:color w:val="000000"/>
          <w:sz w:val="22"/>
        </w:rPr>
        <w:t>Julson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Julson,</w:t>
      </w:r>
      <w:r>
        <w:rPr>
          <w:rFonts w:ascii="Times New Roman" w:hAnsi="Times New Roman"/>
          <w:b w:val="false"/>
          <w:i w:val="false"/>
          <w:color w:val="000000"/>
          <w:sz w:val="22"/>
        </w:rPr>
        <w:t xml:space="preserve"> 255 Iowa 301, 122 N.W.2d, 329, 331 (1963). The director may require an individual claiming domicile outside the state of Iowa to provide documentation supporting establishment of another domicile. Absence from the state for 183 days of the tax year or for any other extended period of time does not alone show abandonment of an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rebuttable presumption that an individual is domiciled in Iowa if the individual meets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Maintains a residence or place of abode in Iowa, whether owned, rented, or occupied, even if the individual is in Iowa less than 183 days of the tax year,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not reside in an abode in any other state for more days of the tax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rebuttable presumption that an individual is not domiciled in Iowa if the individual meets all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claim a homestead credit or military exemption on a home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registered to vote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Does not maintain an Iowa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in Iowa less than 183 days of the tax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maintains a place of abode outside of Iowa where the individual resides for at least 183 days of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factors listed for the above rebuttable presumptions for “permanent place of abode” or “domicile,” some of the nonexclusive factors to consider in determining whether an individual is a resident of Iowa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Maintains a place of abode in Iowa, whether owned, rented, or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an Iowa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Maintains active membership in an Iowa church, club, or professional organization and participates as a result of such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Documents, such as tax forms, legal documents, and correspondence, initiated during tax periods, use an Iowa address. Legal documents could include wills, deeds, or other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Immediate family members residing in Iowa who are claimed as dependents or rely, in whole or in part, on the taxpayer for their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Vehicles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 of employment or active participation in a business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Active checking or savings accounts or use of safe deposit boxes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Claims a benefit on the federal income tax return based upon an Iowa home being the principal place of residence. Examples include mortgage interest on principal residence and travel expenses while away from the principal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Receives a number of services in Iowa from doctors, dentists, attorneys, CPAs or other professionals.</w:t>
      </w:r>
    </w:p>
    <w:p>
      <w:pPr>
        <w:spacing w:before="0" w:after="0"/>
        <w:ind w:left="120"/>
        <w:jc w:val="both"/>
      </w:pPr>
      <w:r>
        <w:rPr>
          <w:rFonts w:ascii="Times New Roman" w:hAnsi="Times New Roman"/>
          <w:b w:val="false"/>
          <w:i w:val="false"/>
          <w:color w:val="000000"/>
          <w:sz w:val="22"/>
        </w:rPr>
        <w:t>Unless shown to the contrary, married persons are presumed to have the same residence. Ordinarily, the residence of a minor is that of the person who has permanent custody over the minor.</w:t>
      </w:r>
    </w:p>
    <w:p>
      <w:pPr>
        <w:spacing w:before="0" w:after="0"/>
        <w:ind w:left="120"/>
        <w:jc w:val="both"/>
      </w:pPr>
      <w:r>
        <w:rPr>
          <w:rFonts w:ascii="Times New Roman" w:hAnsi="Times New Roman"/>
          <w:b w:val="false"/>
          <w:i w:val="false"/>
          <w:color w:val="000000"/>
          <w:sz w:val="22"/>
        </w:rPr>
        <w:t>An individual may qualify as a part-year resident of Iowa by: (1) not maintaining a permanent place of abode; and (2) not having a domicile in Iowa for the entire tax year. In determining part-year resident status, whether an individual is in or out of Iowa for 183 days may not be a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300.17(3)</w:t>
      </w:r>
      <w:r>
        <w:rPr>
          <w:rFonts w:ascii="Times New Roman" w:hAnsi="Times New Roman"/>
          <w:b w:val="false"/>
          <w:i w:val="false"/>
          <w:color w:val="000000"/>
          <w:sz w:val="22"/>
        </w:rPr>
        <w:t> </w:t>
      </w:r>
      <w:r>
        <w:rPr>
          <w:rFonts w:ascii="Times New Roman" w:hAnsi="Times New Roman"/>
          <w:b w:val="false"/>
          <w:i/>
          <w:color w:val="000000"/>
          <w:sz w:val="22"/>
        </w:rPr>
        <w:t xml:space="preserve">Resident determination for individuals on active duty military service. </w:t>
      </w:r>
      <w:r>
        <w:rPr>
          <w:rFonts w:ascii="Times New Roman" w:hAnsi="Times New Roman"/>
          <w:b w:val="false"/>
          <w:i w:val="false"/>
          <w:color w:val="000000"/>
          <w:sz w:val="22"/>
        </w:rPr>
        <w:t>The Soldiers and Sailors Civil Relief Act provides in 50 U.S.C. Appx § 574(1) that members of the armed forces of the United States shall not be deemed to have lost a residence or domicile in any state, solely by being absent from that state in compliance with military or naval orders, or to have acquired a residence or domicile in another state while being absent from the state of residence. Thus, residents of Iowa who enter military service will retain their Iowa residence during the tenure of their military service or until they take positive action to change their state of residence.</w:t>
      </w:r>
    </w:p>
    <w:p>
      <w:pPr>
        <w:spacing w:before="0" w:after="0"/>
        <w:ind w:left="120"/>
        <w:jc w:val="both"/>
      </w:pPr>
      <w:r>
        <w:rPr>
          <w:rFonts w:ascii="Times New Roman" w:hAnsi="Times New Roman"/>
          <w:b w:val="false"/>
          <w:i w:val="false"/>
          <w:color w:val="000000"/>
          <w:sz w:val="22"/>
        </w:rPr>
        <w:t xml:space="preserve">For tax years beginning prior to January 1, 2011, residents of Iowa in military service will have Iowa income tax withheld from their military pay except when the military pay is earned in a combat zone and is totally or partially exempt from both federal and state income tax. An Iowa resident in military service can change state of residence for purposes of withholding of state income tax by completing Form DD2058 and designating a state other than Iowa as the individual’s new state of residence. The military payroll officer of the service person will accept the DD2058 form and stop withholding Iowa income tax from the service person’s military pay and start withholding the state income tax of the state of new residence of the service person (assuming the new state of residence has an income tax and assuming the new state of residence requires withholding of income tax from wage payments to its residents in military service). However, the completion of the DD2058 form by the “former Iowa resident” will not be considered as a valid change of residence for Iowa income tax purposes unless the service person was physically residing in the new state of residence at the time the DD2058 form was completed and the service person took other actions to show intent to change state of residence. Other actions to show intent to change state of residence would include: (1) registering to vote in the new state; (2) purchasing real property in the new state; (3) titling and registering vehicles in the new state; (4) notifying the state of previous residence of the state of residence change; (5) preparing a new last will and testament which indicates the new residence; and (6) complying with the tax laws of the state of new residence. For tax years beginning on or after January 1, 2011, see rule </w:t>
      </w:r>
      <w:hyperlink r:id="rId67">
        <w:r>
          <w:rPr>
            <w:rStyle w:val="Hyperlink"/>
            <w:rFonts w:ascii="Times New Roman" w:hAnsi="Times New Roman"/>
            <w:b w:val="false"/>
            <w:i w:val="false"/>
            <w:color w:val="000000"/>
            <w:sz w:val="22"/>
          </w:rPr>
          <w:t>701—302.76</w:t>
        </w:r>
      </w:hyperlink>
      <w:r>
        <w:rPr>
          <w:rFonts w:ascii="Times New Roman" w:hAnsi="Times New Roman"/>
          <w:b w:val="false"/>
          <w:i w:val="false"/>
          <w:color w:val="000000"/>
          <w:sz w:val="22"/>
        </w:rPr>
        <w:t>(422) regarding the exemption of active duty pay for both resident and nonresident members of the armed forces, armed forces military reserve, or the national guard.</w:t>
      </w:r>
    </w:p>
    <w:p>
      <w:pPr>
        <w:spacing w:before="0" w:after="0"/>
        <w:ind w:left="120"/>
        <w:jc w:val="both"/>
      </w:pPr>
      <w:r>
        <w:rPr>
          <w:rFonts w:ascii="Times New Roman" w:hAnsi="Times New Roman"/>
          <w:b w:val="false"/>
          <w:i w:val="false"/>
          <w:color w:val="000000"/>
          <w:sz w:val="22"/>
        </w:rPr>
        <w:t>Military personnel who are residents of other states and who come to Iowa as a result of military or naval orders, but who later decide to become legal or actual residents of Iowa, or military personnel who purchase residential property in Iowa and claim homestead credits or the military exemption for the property for property tax purposes are presumed to be residents of Iowa for income tax purposes.</w:t>
      </w:r>
    </w:p>
    <w:p>
      <w:pPr>
        <w:spacing w:before="0" w:after="0"/>
        <w:ind w:left="120"/>
        <w:jc w:val="both"/>
      </w:pPr>
      <w:r>
        <w:rPr>
          <w:rFonts w:ascii="Times New Roman" w:hAnsi="Times New Roman"/>
          <w:b w:val="false"/>
          <w:i w:val="false"/>
          <w:color w:val="000000"/>
          <w:sz w:val="22"/>
        </w:rPr>
        <w:t>Military personnel who are not residents of the state of Iowa and who receive military pay for service in Iowa shall not be considered to have received this income for services performed within Iowa or from sources within Iowa. These nonresidents of Iowa will be taxable on nonmilitary wages for personal services in Iowa they receive while stationed in Iowa. These individuals will also be taxable to Iowa on incomes they receive from businesses, trades, professions, or occupations operated in Iowa during the time they are stationed in Iowa as well as on nonmilitary incomes from any other sources within Iowa.</w:t>
      </w:r>
    </w:p>
    <w:p>
      <w:pPr>
        <w:spacing w:before="0" w:after="0"/>
        <w:ind w:left="120"/>
        <w:jc w:val="both"/>
      </w:pPr>
      <w:r>
        <w:rPr>
          <w:rFonts w:ascii="Times New Roman" w:hAnsi="Times New Roman"/>
          <w:b w:val="false"/>
          <w:i w:val="false"/>
          <w:color w:val="000000"/>
          <w:sz w:val="22"/>
        </w:rPr>
        <w:t xml:space="preserve">Since military nonresidents of Iowa cannot be taxed on their military pay while they are stationed in Iowa, the military pay cannot be considered for purposes of Iowa’s taxation of nonresidents in accordance with the Servicemembers Civil Relief Act, Public Law 108-189. The military pay of the nonresident of Iowa must be excluded from the computation of the nonresident credit set forth in rule </w:t>
      </w:r>
      <w:hyperlink r:id="rId68">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(422). This exclusion from the computation of the nonresident credit applies to military pay of nonresident servicemembers who are in an active duty status as defined under Title 10 of the United States Code.</w:t>
      </w:r>
    </w:p>
    <w:p>
      <w:pPr>
        <w:spacing w:before="0" w:after="0"/>
        <w:ind w:left="120"/>
        <w:jc w:val="both"/>
      </w:pPr>
      <w:r>
        <w:rPr>
          <w:rFonts w:ascii="Times New Roman" w:hAnsi="Times New Roman"/>
          <w:b w:val="false"/>
          <w:i w:val="false"/>
          <w:color w:val="000000"/>
          <w:sz w:val="22"/>
        </w:rPr>
        <w:t>For tax years beginning before January 1, 2009, spouses of military personnel who earn wages and other incomes from Iowa sources are taxed on these incomes similarly to other nonresidents of Iowa. Spouses of Iowa resident military personnel who were nonresidents of Iowa at the time of the marriages with the Iowa residents will not be considered to be residents of Iowa until they actually reside in Iowa with their husbands or wives. For tax years beginning on or after January 1, 2009, spouses who earn wages from Iowa sources are not subject to Iowa income tax on these wages if one spouse who is present in Iowa is a member of the armed forces, the other spouse is present in Iowa solely to be with the military spouse, and the spouse who is a member of the armed forces maintains a domicile in another state. This treatment for tax years beginning on or after January 1, 2009, is required by the Military Spouses Residency Relief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300.17(4)</w:t>
      </w:r>
      <w:r>
        <w:rPr>
          <w:rFonts w:ascii="Times New Roman" w:hAnsi="Times New Roman"/>
          <w:b w:val="false"/>
          <w:i w:val="false"/>
          <w:color w:val="000000"/>
          <w:sz w:val="22"/>
        </w:rPr>
        <w:t> </w:t>
      </w:r>
      <w:r>
        <w:rPr>
          <w:rFonts w:ascii="Times New Roman" w:hAnsi="Times New Roman"/>
          <w:b w:val="false"/>
          <w:i/>
          <w:color w:val="000000"/>
          <w:sz w:val="22"/>
        </w:rPr>
        <w:t xml:space="preserve">Examples of resident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Fred and Mary were domiciled in Iowa when Fred retired in 1994. They have a house in Iowa and a condominium in Florida. Prior to 1994, Fred and Mary spent approximately four months in Florida and the remaining eight months in Iowa. Fred owned a small business when he retired and was retained as a consultant and remained a member of the board of directors after retirement. Fred and Mary have friends and family in both Iowa and Florida. They are also involved in the activities of the local country club as well as other civic and service organizations in both locations. When Fred retired, he and Mary decided to spend more time in Florida, especially during the winter months. They usually leave for Florida in late October and return to Iowa in early April. They have transferred their automobile registrations to Florida and they have acquired Florida driver’s licenses. They have registered to vote in Florida and have voted in Florida elections. They visit doctors and dentists in both locations as the need arises. They maintain bank accounts in both locations and have mail sent to the location at which they are physically residing. Fred and Mary usually return to Iowa for the Thanksgiving and Christmas holidays and Fred returns once a month to attend board meetings. They do not claim a homestead credit or military tax exemption on their Iowa home, but they do use their Iowa address on most of their legal documents and on their federal tax return. They also travel and vacation during the winter months and oftentimes leave Florida to vacation.</w:t>
      </w:r>
    </w:p>
    <w:p>
      <w:pPr>
        <w:spacing w:before="0" w:after="0"/>
        <w:ind w:left="120"/>
        <w:jc w:val="both"/>
      </w:pPr>
      <w:r>
        <w:rPr>
          <w:rFonts w:ascii="Times New Roman" w:hAnsi="Times New Roman"/>
          <w:b w:val="false"/>
          <w:i w:val="false"/>
          <w:color w:val="000000"/>
          <w:sz w:val="22"/>
        </w:rPr>
        <w:t>Fred and Mary would be considered Iowa residents because they have retained a permanent abode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Susan takes an apartment in Des Moines when her employer assigns her to the region office of a large accounting firm for a temporary period. She spends more than 183 days in Iowa, but she returns to her apartment in Ohio once a month to visit her friends and to check her mail. She intends to return to Ohio when her assignment in Des Moines is terminated. She has retained her Ohio driver’s license and she is registered to vote in Ohio.</w:t>
      </w:r>
    </w:p>
    <w:p>
      <w:pPr>
        <w:spacing w:before="0" w:after="0"/>
        <w:ind w:left="120"/>
        <w:jc w:val="both"/>
      </w:pPr>
      <w:r>
        <w:rPr>
          <w:rFonts w:ascii="Times New Roman" w:hAnsi="Times New Roman"/>
          <w:b w:val="false"/>
          <w:i w:val="false"/>
          <w:color w:val="000000"/>
          <w:sz w:val="22"/>
        </w:rPr>
        <w:t>Susan would not be considered to be an Iowa resident because she has not established a “permanent” place of abode in Iowa, even though she is present in Iowa for more than 183 days. Also, she has not had a definite abandonment of her former domicile. Susan would be taxed on her Iowa income as a nonresident. However, if Susan was assigned to Des Moines on a permanent basis, she may be considered an Iowa resident even though she retains her apartment in Ohio.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John is an over-the-road truck driver and his job takes him out of Iowa for approximately 240 days a year. He is married and his wife, Mary, lives in Marshalltown, Iowa. His two school-age children attend school in that community and Mary also has a part-time job as a nurse for the neighborhood clinic. John gets home for most weekends and for the holidays. He is registered to vote in Iowa and utilizes the Iowa homestead and military tax exemptions. He does not own any other real property except a lakeside cabin in Minnesota, where the family vacations during the summer.</w:t>
      </w:r>
    </w:p>
    <w:p>
      <w:pPr>
        <w:spacing w:before="0" w:after="0"/>
        <w:ind w:left="120"/>
        <w:jc w:val="both"/>
      </w:pPr>
      <w:r>
        <w:rPr>
          <w:rFonts w:ascii="Times New Roman" w:hAnsi="Times New Roman"/>
          <w:b w:val="false"/>
          <w:i w:val="false"/>
          <w:color w:val="000000"/>
          <w:sz w:val="22"/>
        </w:rPr>
        <w:t>John would be considered an Iowa resident even though he is not present in the state for more than 183 days because John intends to return to Iowa whenever he is absent and has not taken any steps to establish residency in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Wilber, who is a resident of Idaho, has a heart attack while vacationing in Iowa. He is hospitalized in the University Hospitals in Iowa City. While there, the doctors also discover that he has a rare blood disorder and Wilber is confined to the hospital for nearly nine months, during which time he receives treatment.</w:t>
      </w:r>
    </w:p>
    <w:p>
      <w:pPr>
        <w:spacing w:before="0" w:after="0"/>
        <w:ind w:left="120"/>
        <w:jc w:val="both"/>
      </w:pPr>
      <w:r>
        <w:rPr>
          <w:rFonts w:ascii="Times New Roman" w:hAnsi="Times New Roman"/>
          <w:b w:val="false"/>
          <w:i w:val="false"/>
          <w:color w:val="000000"/>
          <w:sz w:val="22"/>
        </w:rPr>
        <w:t>Wilber’s presence in Iowa is for a medical emergency. When an individual suffers a medical emergency while present in this state for other purposes and cannot be realistically moved from the state or in situations where an individual is confined to an institution as a result of seeking treatment, the time spent in Iowa would not count toward the 183-day rule. Also, Wilber’s hospital room would not be considered a permanent place of abode.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Chuck and Linda both worked for a major manufacturing company in Iowa and both of them decided to take advantage of an early retirement package offered by their employer. They do not have any children, but Chuck has a brother who lives in Davenport, Iowa, and Linda has a sister who lives in Phoenix, Arizona. After retirement, Chuck and Linda sell their house and purchase a motor home. They spend their time traveling the United States and Canada. They do not have a place of abode in any state as they live in their new vehicle. They do not spend more than 183 days in any state during the year. They retained their Iowa driver’s licenses and their motor home is registered in Iowa. They also have bank accounts in both Iowa and Arizona, and they have their mail sent to Chuck’s brother as well as Linda’s sister. They show Iowa as their state of residence for federal income tax purposes. They are not registered to vote in any state.</w:t>
      </w:r>
    </w:p>
    <w:p>
      <w:pPr>
        <w:spacing w:before="0" w:after="0"/>
        <w:ind w:left="120"/>
        <w:jc w:val="both"/>
      </w:pPr>
      <w:r>
        <w:rPr>
          <w:rFonts w:ascii="Times New Roman" w:hAnsi="Times New Roman"/>
          <w:b w:val="false"/>
          <w:i w:val="false"/>
          <w:color w:val="000000"/>
          <w:sz w:val="22"/>
        </w:rPr>
        <w:t>Chuck and Linda would be considered residents of Iowa. They have not shown an intention to change domicile and remain in another state permanently or indefinitely.</w:t>
      </w:r>
    </w:p>
    <w:p>
      <w:pPr>
        <w:spacing w:before="0" w:after="0"/>
        <w:ind w:left="120"/>
        <w:jc w:val="both"/>
      </w:pPr>
      <w:r>
        <w:rPr>
          <w:rFonts w:ascii="Times New Roman" w:hAnsi="Times New Roman"/>
          <w:b w:val="false"/>
          <w:i w:val="false"/>
          <w:color w:val="000000"/>
          <w:sz w:val="22"/>
        </w:rPr>
        <w:t>This rule is effective for tax years beginning on or after January 1, 1995.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8702B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9822B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701—300.18</w:t>
      </w:r>
      <w:r>
        <w:rPr>
          <w:rFonts w:ascii="Times New Roman" w:hAnsi="Times New Roman"/>
          <w:b/>
          <w:i w:val="false"/>
          <w:color w:val="000000"/>
          <w:sz w:val="22"/>
        </w:rPr>
        <w:t xml:space="preserve">(422) </w:t>
      </w:r>
      <w:r>
        <w:rPr>
          <w:rFonts w:ascii="Times New Roman" w:hAnsi="Times New Roman"/>
          <w:b/>
          <w:i w:val="false"/>
          <w:color w:val="000000"/>
          <w:sz w:val="22"/>
        </w:rPr>
        <w:t xml:space="preserve">Tax treatment of income repaid in current tax year which had been reported on prior Iowa individual income tax return. </w:t>
      </w:r>
      <w:r>
        <w:rPr>
          <w:rFonts w:ascii="Times New Roman" w:hAnsi="Times New Roman"/>
          <w:b w:val="false"/>
          <w:i w:val="false"/>
          <w:color w:val="000000"/>
          <w:sz w:val="22"/>
        </w:rPr>
        <w:t>For tax years beginning on or after January 1, 1992, if a taxpayer repays in the current tax year an amount of income that had been reported on the taxpayer’s Iowa individual income tax return for a prior year that had been filed with the department and the taxpayer would have been eligible for a tax benefit under similar circumstances under Section 1341 of the Internal Revenue Code, the taxpayer will be eligible for a tax benefit on the Iowa return for the current tax year. The tax benefit will be either the reduced tax on the Iowa return for the current tax year due to the deduction of the repaid income or the reduction in tax on the Iowa return or returns for the prior year(s) due to the exclusion of the repaid income. The reduction in tax from the return for the prior year may be claimed as a refundable credit on the return for the current tax year.</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taxpayer reported $7,000 in unemployment benefits on the taxpayer’s 1994 Iowa return that the taxpayer had received in 1994. In early 1995 the taxpayer was notified that $4,000 of the unemployment benefits had to be repaid. The benefits were repaid by the end of 1995. The taxpayer claimed a deduction on the 1995 Iowa return for the amount of unemployment benefits repaid during 1995 which had been reported on the taxpayer’s 1994 Iowa return as that action gave the taxpayer a greater reduction in Iowa income tax liability than the taxpayer would have received from a reduction in tax on the 1994 return by recomputing the liability by excluding the repaid income.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taxpayer had received a $5,000 bonus in 1994 which was reported on the taxpayer’s 1994 Iowa return. In 1995 the taxpayer’s employer advised the employee that the bonus was awarded in error and to be repaid. The $5,000 bonus was repaid to the employer by the end of 1995. The taxpayer claimed a credit of $440 on the 1995 Iowa return for repayment of the bonus in 1995. This represented the reduction in tax for 1994 from recomputing the tax liability for that year without the $5,000 bonus. This provided the taxpayer a greater tax benefit than the taxpayer would have received from claiming a deduction on the 1995 Iowa return from repayment of the bonus.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1996 Iowa Acts, Senate File 2168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12/3/82, Notice 10/27/82—published 12/22/82, effective 1/26/83]</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12/23/87—published 1/13/88, effective 12/23/87]</w:t>
      </w:r>
    </w:p>
    <w:p>
      <w:pPr>
        <w:spacing w:before="0" w:after="0"/>
        <w:ind w:left="120"/>
        <w:jc w:val="center"/>
      </w:pPr>
      <w:r>
        <w:rPr>
          <w:rFonts w:ascii="Times New Roman" w:hAnsi="Times New Roman"/>
          <w:b w:val="false"/>
          <w:i w:val="false"/>
          <w:color w:val="000000"/>
          <w:sz w:val="21"/>
        </w:rPr>
        <w:t>[Filed 2/19/88, Notice 1/13/88—published 3/9/88, effective 4/13/88]</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3/30/90, Notice 2/21/90—published 4/18/90, effective 5/23/90]</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11/18/94, Notice 10/12/94—published 12/7/94, effective 1/11/95]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4/21/95, Notice 3/1/95—published 5/10/95, effective 6/14/95]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1/30/04, Notice 12/24/03—published 2/18/04, effective 3/24/04]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r>
        <w:br/>
      </w:r>
      <w:r>
        <w:rPr>
          <w:rFonts w:ascii="Times New Roman" w:hAnsi="Times New Roman"/>
          <w:b w:val="false"/>
          <w:i w:val="false"/>
          <w:color w:val="000000"/>
          <w:sz w:val="21"/>
        </w:rPr>
        <w:t>[Filed ARC 9104B</w:t>
      </w:r>
      <w:r>
        <w:rPr>
          <w:rFonts w:ascii="Times New Roman" w:hAnsi="Times New Roman"/>
          <w:b w:val="false"/>
          <w:i w:val="false"/>
          <w:color w:val="000000"/>
          <w:sz w:val="21"/>
        </w:rPr>
        <w:t xml:space="preserve"> (Notice ARC 8954B,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9822B</w:t>
      </w:r>
      <w:r>
        <w:rPr>
          <w:rFonts w:ascii="Times New Roman" w:hAnsi="Times New Roman"/>
          <w:b w:val="false"/>
          <w:i w:val="false"/>
          <w:color w:val="000000"/>
          <w:sz w:val="21"/>
        </w:rPr>
        <w:t xml:space="preserve"> (Notice ARC 9739B,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2393C</w:t>
      </w:r>
      <w:r>
        <w:rPr>
          <w:rFonts w:ascii="Times New Roman" w:hAnsi="Times New Roman"/>
          <w:b w:val="false"/>
          <w:i w:val="false"/>
          <w:color w:val="000000"/>
          <w:sz w:val="21"/>
        </w:rPr>
        <w:t xml:space="preserve"> (Notice ARC 2299C,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4118C</w:t>
      </w:r>
      <w:r>
        <w:rPr>
          <w:rFonts w:ascii="Times New Roman" w:hAnsi="Times New Roman"/>
          <w:b w:val="false"/>
          <w:i w:val="false"/>
          <w:color w:val="000000"/>
          <w:sz w:val="21"/>
        </w:rPr>
        <w:t xml:space="preserve"> (Notice ARC 3888C, IAB 7/18/18)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5801C</w:t>
      </w:r>
      <w:r>
        <w:rPr>
          <w:rFonts w:ascii="Times New Roman" w:hAnsi="Times New Roman"/>
          <w:b w:val="false"/>
          <w:i w:val="false"/>
          <w:color w:val="000000"/>
          <w:sz w:val="21"/>
        </w:rPr>
        <w:t xml:space="preserve"> (Notice ARC 5613C,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6904C</w:t>
      </w:r>
      <w:r>
        <w:rPr>
          <w:rFonts w:ascii="Times New Roman" w:hAnsi="Times New Roman"/>
          <w:b w:val="false"/>
          <w:i w:val="false"/>
          <w:color w:val="000000"/>
          <w:sz w:val="21"/>
        </w:rPr>
        <w:t xml:space="preserve"> (Notice ARC 6538C, IAB 9/21/22)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22.4.pdf" Type="http://schemas.openxmlformats.org/officeDocument/2006/relationships/hyperlink" Id="rId6"/>
    <Relationship TargetMode="External" Target="https://www.legis.iowa.gov/docs/ico/chapter/422.4.pdf" Type="http://schemas.openxmlformats.org/officeDocument/2006/relationships/hyperlink" Id="rId7"/>
    <Relationship TargetMode="External" Target="https://www.legis.iowa.gov/docs/ico/chapter/422.3.pdf" Type="http://schemas.openxmlformats.org/officeDocument/2006/relationships/hyperlink" Id="rId8"/>
    <Relationship TargetMode="External" Target="https://www.legis.iowa.gov/docs/ico/chapter/422.4.pdf" Type="http://schemas.openxmlformats.org/officeDocument/2006/relationships/hyperlink" Id="rId9"/>
    <Relationship TargetMode="External" Target="https://www.legis.iowa.gov/docs/ico/chapter/422.16.pdf" Type="http://schemas.openxmlformats.org/officeDocument/2006/relationships/hyperlink" Id="rId10"/>
    <Relationship TargetMode="External" Target="https://www.legis.iowa.gov/docs/ico/chapter/422.25.pdf" Type="http://schemas.openxmlformats.org/officeDocument/2006/relationships/hyperlink" Id="rId11"/>
    <Relationship TargetMode="External" Target="https://www.legis.iowa.gov/docs/ico/chapter/422.25.pdf" Type="http://schemas.openxmlformats.org/officeDocument/2006/relationships/hyperlink" Id="rId12"/>
    <Relationship TargetMode="External" Target="https://www.legis.iowa.gov/docs/ico/chapter/422.5.pdf" Type="http://schemas.openxmlformats.org/officeDocument/2006/relationships/hyperlink" Id="rId13"/>
    <Relationship TargetMode="External" Target="https://www.legis.iowa.gov/docs/ico/chapter/422.16.pdf" Type="http://schemas.openxmlformats.org/officeDocument/2006/relationships/hyperlink" Id="rId14"/>
    <Relationship TargetMode="External" Target="https://www.legis.iowa.gov/docs/iac/rule/701.11.4.pdf" Type="http://schemas.openxmlformats.org/officeDocument/2006/relationships/hyperlink" Id="rId15"/>
    <Relationship TargetMode="External" Target="https://www.legis.iowa.gov/docs/ico/chapter/422.25.pdf" Type="http://schemas.openxmlformats.org/officeDocument/2006/relationships/hyperlink" Id="rId16"/>
    <Relationship TargetMode="External" Target="https://www.legis.iowa.gov/docs/ico/chapter/422.25.pdf" Type="http://schemas.openxmlformats.org/officeDocument/2006/relationships/hyperlink" Id="rId17"/>
    <Relationship TargetMode="External" Target="https://www.legis.iowa.gov/docs/ico/chapter/422.70.pdf" Type="http://schemas.openxmlformats.org/officeDocument/2006/relationships/hyperlink" Id="rId18"/>
    <Relationship TargetMode="External" Target="https://www.legis.iowa.gov/docs/ico/chapter/422.7.pdf" Type="http://schemas.openxmlformats.org/officeDocument/2006/relationships/hyperlink" Id="rId19"/>
    <Relationship TargetMode="External" Target="https://www.legis.iowa.gov/docs/ico/chapter/422.9.pdf" Type="http://schemas.openxmlformats.org/officeDocument/2006/relationships/hyperlink" Id="rId20"/>
    <Relationship TargetMode="External" Target="https://www.legis.iowa.gov/docs/ico/chapter/422.30.pdf" Type="http://schemas.openxmlformats.org/officeDocument/2006/relationships/hyperlink" Id="rId21"/>
    <Relationship TargetMode="External" Target="https://www.legis.iowa.gov/docs/ico/chapter/422.20.pdf" Type="http://schemas.openxmlformats.org/officeDocument/2006/relationships/hyperlink" Id="rId22"/>
    <Relationship TargetMode="External" Target="https://www.legis.iowa.gov/docs/ico/chapter/422.72.pdf" Type="http://schemas.openxmlformats.org/officeDocument/2006/relationships/hyperlink" Id="rId23"/>
    <Relationship TargetMode="External" Target="https://www.legis.iowa.gov/docs/iac/rule/701.5.8.pdf" Type="http://schemas.openxmlformats.org/officeDocument/2006/relationships/hyperlink" Id="rId24"/>
    <Relationship TargetMode="External" Target="https://www.legis.iowa.gov/docs/ico/chapter/422.16.pdf" Type="http://schemas.openxmlformats.org/officeDocument/2006/relationships/hyperlink" Id="rId25"/>
    <Relationship TargetMode="External" Target="https://www.legis.iowa.gov/docs/ico/chapter/422.20.pdf" Type="http://schemas.openxmlformats.org/officeDocument/2006/relationships/hyperlink" Id="rId26"/>
    <Relationship TargetMode="External" Target="https://www.legis.iowa.gov/docs/ico/chapter/422.72.pdf" Type="http://schemas.openxmlformats.org/officeDocument/2006/relationships/hyperlink" Id="rId27"/>
    <Relationship TargetMode="External" Target="https://www.legis.iowa.gov/docs/ico/chapter/422.70.pdf" Type="http://schemas.openxmlformats.org/officeDocument/2006/relationships/hyperlink" Id="rId28"/>
    <Relationship TargetMode="External" Target="https://www.legis.iowa.gov/docs/ico/chapter/422.16.pdf" Type="http://schemas.openxmlformats.org/officeDocument/2006/relationships/hyperlink" Id="rId29"/>
    <Relationship TargetMode="External" Target="https://www.legis.iowa.gov/docs/iac/rule/701.300.9.pdf" Type="http://schemas.openxmlformats.org/officeDocument/2006/relationships/hyperlink" Id="rId30"/>
    <Relationship TargetMode="External" Target="https://www.legis.iowa.gov/docs/ico/chapter/421.27.pdf" Type="http://schemas.openxmlformats.org/officeDocument/2006/relationships/hyperlink" Id="rId31"/>
    <Relationship TargetMode="External" Target="https://www.legis.iowa.gov/docs/iac/rule/701.300.9.pdf" Type="http://schemas.openxmlformats.org/officeDocument/2006/relationships/hyperlink" Id="rId32"/>
    <Relationship TargetMode="External" Target="https://www.legis.iowa.gov/docs/ico/chapter/422.16.pdf" Type="http://schemas.openxmlformats.org/officeDocument/2006/relationships/hyperlink" Id="rId33"/>
    <Relationship TargetMode="External" Target="https://www.legis.iowa.gov/docs/ico/chapter/422.5.pdf" Type="http://schemas.openxmlformats.org/officeDocument/2006/relationships/hyperlink" Id="rId34"/>
    <Relationship TargetMode="External" Target="https://www.legis.iowa.gov/docs/ico/chapter/422.4.pdf" Type="http://schemas.openxmlformats.org/officeDocument/2006/relationships/hyperlink" Id="rId35"/>
    <Relationship TargetMode="External" Target="https://www.legis.iowa.gov/docs/ico/chapter/422.21.pdf" Type="http://schemas.openxmlformats.org/officeDocument/2006/relationships/hyperlink" Id="rId36"/>
    <Relationship TargetMode="External" Target="https://www.legis.iowa.gov/docs/ico/chapter/422.4.pdf" Type="http://schemas.openxmlformats.org/officeDocument/2006/relationships/hyperlink" Id="rId37"/>
    <Relationship TargetMode="External" Target="https://www.legis.iowa.gov/docs/iac/rule/701.302.45.pdf" Type="http://schemas.openxmlformats.org/officeDocument/2006/relationships/hyperlink" Id="rId38"/>
    <Relationship TargetMode="External" Target="https://www.legis.iowa.gov/docs/iac/rule/701.302.45.pdf" Type="http://schemas.openxmlformats.org/officeDocument/2006/relationships/hyperlink" Id="rId39"/>
    <Relationship TargetMode="External" Target="https://www.legis.iowa.gov/docs/ico/chapter/422.8.pdf" Type="http://schemas.openxmlformats.org/officeDocument/2006/relationships/hyperlink" Id="rId40"/>
    <Relationship TargetMode="External" Target="https://www.legis.iowa.gov/docs/iac/rule/701.302.45.pdf" Type="http://schemas.openxmlformats.org/officeDocument/2006/relationships/hyperlink" Id="rId41"/>
    <Relationship TargetMode="External" Target="https://www.legis.iowa.gov/docs/iac/rule/701.302.45.pdf" Type="http://schemas.openxmlformats.org/officeDocument/2006/relationships/hyperlink" Id="rId42"/>
    <Relationship TargetMode="External" Target="https://www.legis.iowa.gov/docs/iac/rule/701.300.13.pdf" Type="http://schemas.openxmlformats.org/officeDocument/2006/relationships/hyperlink" Id="rId43"/>
    <Relationship TargetMode="External" Target="https://www.legis.iowa.gov/docs/ico/chapter/422.8.pdf" Type="http://schemas.openxmlformats.org/officeDocument/2006/relationships/hyperlink" Id="rId44"/>
    <Relationship TargetMode="External" Target="https://www.legis.iowa.gov/docs/ico/chapter/422.15.pdf" Type="http://schemas.openxmlformats.org/officeDocument/2006/relationships/hyperlink" Id="rId45"/>
    <Relationship TargetMode="External" Target="https://www.legis.iowa.gov/docs/iac/rule/701.300.14.pdf" Type="http://schemas.openxmlformats.org/officeDocument/2006/relationships/hyperlink" Id="rId46"/>
    <Relationship TargetMode="External" Target="https://www.legis.iowa.gov/docs/iac/rule/701.300.14.pdf" Type="http://schemas.openxmlformats.org/officeDocument/2006/relationships/hyperlink" Id="rId47"/>
    <Relationship TargetMode="External" Target="https://www.legis.iowa.gov/docs/ico/chapter/422.15.pdf" Type="http://schemas.openxmlformats.org/officeDocument/2006/relationships/hyperlink" Id="rId48"/>
    <Relationship TargetMode="External" Target="https://www.legis.iowa.gov/docs/ico/chapter/422.21.pdf" Type="http://schemas.openxmlformats.org/officeDocument/2006/relationships/hyperlink" Id="rId49"/>
    <Relationship TargetMode="External" Target="https://www.legis.iowa.gov/docs/ico/chapter/422.21.pdf" Type="http://schemas.openxmlformats.org/officeDocument/2006/relationships/hyperlink" Id="rId50"/>
    <Relationship TargetMode="External" Target="https://www.legis.iowa.gov/docs/ico/chapter/422.21.pdf" Type="http://schemas.openxmlformats.org/officeDocument/2006/relationships/hyperlink" Id="rId51"/>
    <Relationship TargetMode="External" Target="https://www.legis.iowa.gov/docs/iac/rule/701.300.15.pdf" Type="http://schemas.openxmlformats.org/officeDocument/2006/relationships/hyperlink" Id="rId52"/>
    <Relationship TargetMode="External" Target="https://www.legis.iowa.gov/docs/ico/chapter/422.21.pdf" Type="http://schemas.openxmlformats.org/officeDocument/2006/relationships/hyperlink" Id="rId53"/>
    <Relationship TargetMode="External" Target="https://www.legis.iowa.gov/docs/ico/chapter/422.21.pdf" Type="http://schemas.openxmlformats.org/officeDocument/2006/relationships/hyperlink" Id="rId54"/>
    <Relationship TargetMode="External" Target="https://www.legis.iowa.gov/docs/ico/chapter/422.21.pdf" Type="http://schemas.openxmlformats.org/officeDocument/2006/relationships/hyperlink" Id="rId55"/>
    <Relationship TargetMode="External" Target="https://www.legis.iowa.gov/docs/ico/chapter/422.21.pdf" Type="http://schemas.openxmlformats.org/officeDocument/2006/relationships/hyperlink" Id="rId56"/>
    <Relationship TargetMode="External" Target="https://www.legis.iowa.gov/docs/ico/chapter/422.21.pdf" Type="http://schemas.openxmlformats.org/officeDocument/2006/relationships/hyperlink" Id="rId57"/>
    <Relationship TargetMode="External" Target="https://www.legis.iowa.gov/docs/ico/chapter/422.21.pdf" Type="http://schemas.openxmlformats.org/officeDocument/2006/relationships/hyperlink" Id="rId58"/>
    <Relationship TargetMode="External" Target="https://www.legis.iowa.gov/docs/ico/chapter/422.21.pdf" Type="http://schemas.openxmlformats.org/officeDocument/2006/relationships/hyperlink" Id="rId59"/>
    <Relationship TargetMode="External" Target="https://www.legis.iowa.gov/docs/ico/chapter/422.21.pdf" Type="http://schemas.openxmlformats.org/officeDocument/2006/relationships/hyperlink" Id="rId60"/>
    <Relationship TargetMode="External" Target="https://www.legis.iowa.gov/docs/iac/chapter/701.7.pdf" Type="http://schemas.openxmlformats.org/officeDocument/2006/relationships/hyperlink" Id="rId61"/>
    <Relationship TargetMode="External" Target="https://www.legis.iowa.gov/docs/iac/rule/701.300.15.pdf" Type="http://schemas.openxmlformats.org/officeDocument/2006/relationships/hyperlink" Id="rId62"/>
    <Relationship TargetMode="External" Target="https://www.legis.iowa.gov/docs/iac/rule/701.300.15.pdf" Type="http://schemas.openxmlformats.org/officeDocument/2006/relationships/hyperlink" Id="rId63"/>
    <Relationship TargetMode="External" Target="https://www.legis.iowa.gov/docs/ico/chapter/422.21.pdf" Type="http://schemas.openxmlformats.org/officeDocument/2006/relationships/hyperlink" Id="rId64"/>
    <Relationship TargetMode="External" Target="https://www.legis.iowa.gov/docs/ico/chapter/422.21.pdf" Type="http://schemas.openxmlformats.org/officeDocument/2006/relationships/hyperlink" Id="rId65"/>
    <Relationship TargetMode="External" Target="https://www.legis.iowa.gov/docs/ico/chapter/421.17.pdf" Type="http://schemas.openxmlformats.org/officeDocument/2006/relationships/hyperlink" Id="rId66"/>
    <Relationship TargetMode="External" Target="https://www.legis.iowa.gov/docs/iac/rule/701.302.76.pdf" Type="http://schemas.openxmlformats.org/officeDocument/2006/relationships/hyperlink" Id="rId67"/>
    <Relationship TargetMode="External" Target="https://www.legis.iowa.gov/docs/iac/rule/701.304.5.pdf" Type="http://schemas.openxmlformats.org/officeDocument/2006/relationships/hyperlink" Id="rId68"/>
    <Relationship TargetMode="External" Target="https://www.legis.iowa.gov/docs/ico/chapter/422.3.pdf" Type="http://schemas.openxmlformats.org/officeDocument/2006/relationships/hyperlink" Id="rId69"/>
    <Relationship TargetMode="External" Target="https://www.legis.iowa.gov/docs/ico/chapter/422.4.pdf" Type="http://schemas.openxmlformats.org/officeDocument/2006/relationships/hyperlink" Id="rId70"/>
    <Relationship TargetMode="External" Target="https://www.legis.iowa.gov/docs/ico/chapter/422.16.pdf" Type="http://schemas.openxmlformats.org/officeDocument/2006/relationships/hyperlink" Id="rId71"/>
    <Relationship TargetMode="External" Target="https://www.legis.iowa.gov/docs/ico/chapter/422.5.pdf" Type="http://schemas.openxmlformats.org/officeDocument/2006/relationships/hyperlink" Id="rId7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