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285</w:t>
      </w:r>
    </w:p>
    <w:p>
      <w:pPr>
        <w:spacing w:before="0" w:after="0"/>
        <w:ind w:left="120"/>
        <w:jc w:val="center"/>
      </w:pPr>
      <w:r>
        <w:rPr>
          <w:rFonts w:ascii="Times New Roman" w:hAnsi="Times New Roman"/>
          <w:b w:val="false"/>
          <w:i w:val="false"/>
          <w:color w:val="000000"/>
          <w:sz w:val="21"/>
        </w:rPr>
        <w:t>TAXABLE AND EXEMPT SALES DETERMINED BY METHOD</w:t>
      </w:r>
      <w:r>
        <w:br/>
      </w:r>
      <w:r>
        <w:rPr>
          <w:rFonts w:ascii="Times New Roman" w:hAnsi="Times New Roman"/>
          <w:b w:val="false"/>
          <w:i w:val="false"/>
          <w:color w:val="000000"/>
          <w:sz w:val="21"/>
        </w:rPr>
        <w:t>OF TRANSACTION OR USAGE</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701—285.1</w:t>
      </w:r>
      <w:r>
        <w:rPr>
          <w:rFonts w:ascii="Times New Roman" w:hAnsi="Times New Roman"/>
          <w:b/>
          <w:i w:val="false"/>
          <w:color w:val="000000"/>
          <w:sz w:val="22"/>
        </w:rPr>
        <w:t xml:space="preserve">(423) </w:t>
      </w:r>
      <w:r>
        <w:rPr>
          <w:rFonts w:ascii="Times New Roman" w:hAnsi="Times New Roman"/>
          <w:b/>
          <w:i w:val="false"/>
          <w:color w:val="000000"/>
          <w:sz w:val="22"/>
        </w:rPr>
        <w:t xml:space="preserve">Auctioneers as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285.1(1)</w:t>
      </w:r>
      <w:r>
        <w:rPr>
          <w:rFonts w:ascii="Times New Roman" w:hAnsi="Times New Roman"/>
          <w:b w:val="false"/>
          <w:i w:val="false"/>
          <w:color w:val="000000"/>
          <w:sz w:val="22"/>
        </w:rPr>
        <w:t> </w:t>
      </w:r>
      <w:r>
        <w:rPr>
          <w:rFonts w:ascii="Times New Roman" w:hAnsi="Times New Roman"/>
          <w:b w:val="false"/>
          <w:i w:val="false"/>
          <w:color w:val="000000"/>
          <w:sz w:val="22"/>
        </w:rPr>
        <w:t>An auctioneer in making a sale, whether of tangible personal property, specified digital products, or realty, is by virtue of this employment making the sale as the agent of the principal.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 auctioneer is conducting a sale and the principal meets the requirement of the casual sale exemption found in Iowa Code section </w:t>
      </w:r>
      <w:hyperlink r:id="rId5">
        <w:r>
          <w:rPr>
            <w:rStyle w:val="Hyperlink"/>
            <w:rFonts w:ascii="Times New Roman" w:hAnsi="Times New Roman"/>
            <w:b w:val="false"/>
            <w:i w:val="false"/>
            <w:color w:val="000000"/>
            <w:sz w:val="22"/>
          </w:rPr>
          <w:t>423.3(39)</w:t>
        </w:r>
      </w:hyperlink>
      <w:r>
        <w:rPr>
          <w:rFonts w:ascii="Times New Roman" w:hAnsi="Times New Roman"/>
          <w:b w:val="false"/>
          <w:i w:val="false"/>
          <w:color w:val="000000"/>
          <w:sz w:val="22"/>
        </w:rPr>
        <w:t>, the sales price from the sale is exempt from sales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701—285.2</w:t>
      </w:r>
      <w:r>
        <w:rPr>
          <w:rFonts w:ascii="Times New Roman" w:hAnsi="Times New Roman"/>
          <w:b/>
          <w:i w:val="false"/>
          <w:color w:val="000000"/>
          <w:sz w:val="22"/>
        </w:rPr>
        <w:t xml:space="preserve">(423) </w:t>
      </w:r>
      <w:r>
        <w:rPr>
          <w:rFonts w:ascii="Times New Roman" w:hAnsi="Times New Roman"/>
          <w:b/>
          <w:i w:val="false"/>
          <w:color w:val="000000"/>
          <w:sz w:val="22"/>
        </w:rPr>
        <w:t xml:space="preserve">Florists.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285.2(1)</w:t>
      </w:r>
      <w:r>
        <w:rPr>
          <w:rFonts w:ascii="Times New Roman" w:hAnsi="Times New Roman"/>
          <w:b w:val="false"/>
          <w:i w:val="false"/>
          <w:color w:val="000000"/>
          <w:sz w:val="22"/>
        </w:rPr>
        <w:t> </w:t>
      </w:r>
      <w:r>
        <w:rPr>
          <w:rFonts w:ascii="Times New Roman" w:hAnsi="Times New Roman"/>
          <w:b w:val="false"/>
          <w:i w:val="false"/>
          <w:color w:val="000000"/>
          <w:sz w:val="22"/>
        </w:rPr>
        <w:t>Florists are engaged in the business of selling tangible personal property and specified digital products at retail. The sales price from the sale of flowers, wreaths, bouquets, potted plants and other items of tangible personal property and specified digital products are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285.2(2)</w:t>
      </w:r>
      <w:r>
        <w:rPr>
          <w:rFonts w:ascii="Times New Roman" w:hAnsi="Times New Roman"/>
          <w:b w:val="false"/>
          <w:i w:val="false"/>
          <w:color w:val="000000"/>
          <w:sz w:val="22"/>
        </w:rPr>
        <w:t> </w:t>
      </w:r>
      <w:r>
        <w:rPr>
          <w:rFonts w:ascii="Times New Roman" w:hAnsi="Times New Roman"/>
          <w:b w:val="false"/>
          <w:i w:val="false"/>
          <w:color w:val="000000"/>
          <w:sz w:val="22"/>
        </w:rPr>
        <w:t>When florists conduct transactions through a florists’ telephonic delivery association, the following rules shall apply when computing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all orders taken by an Iowa florist and telephoned to a second florist in Iowa for delivery in the state, the sending florist shall be liable for tax, based on sales price from the total amount collected from the customer, except the cost of a telegram if separately stated on a bill or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where an Iowa florist receives an order pursuant to which the Iowa florist gives telephonic instructions to a second florist located outside Iowa for delivery to a point outside Iowa, Iowa sales tax is not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cases where Iowa florists receive telephonic instructions from other florists located either within or outside of Iowa for the delivery of flowers, the receiving florist will not be held liable for Iowa sales tax with respect to the transaction.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701—285.3</w:t>
      </w:r>
      <w:r>
        <w:rPr>
          <w:rFonts w:ascii="Times New Roman" w:hAnsi="Times New Roman"/>
          <w:b/>
          <w:i w:val="false"/>
          <w:color w:val="000000"/>
          <w:sz w:val="22"/>
        </w:rPr>
        <w:t xml:space="preserve">(423) </w:t>
      </w:r>
      <w:r>
        <w:rPr>
          <w:rFonts w:ascii="Times New Roman" w:hAnsi="Times New Roman"/>
          <w:b/>
          <w:i w:val="false"/>
          <w:color w:val="000000"/>
          <w:sz w:val="22"/>
        </w:rPr>
        <w:t xml:space="preserve">Student fraternities and sororities.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285.3(1)</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fraternities and sororities are not considered to be engaged in the business of selling tangible personal property at retail when they provide their members with meals and lodging for which a flat rate or lump sum is charged. A person engaged in the selling of foods and beverages to such organizations for use in the preparation of meals is making exempt sales at retail and shall not be liable for tax if the food purchases would be exempt under rule </w:t>
      </w:r>
      <w:hyperlink r:id="rId9">
        <w:r>
          <w:rPr>
            <w:rStyle w:val="Hyperlink"/>
            <w:rFonts w:ascii="Times New Roman" w:hAnsi="Times New Roman"/>
            <w:b w:val="false"/>
            <w:i w:val="false"/>
            <w:color w:val="000000"/>
            <w:sz w:val="22"/>
          </w:rPr>
          <w:t>701—220.5</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285.3(2)</w:t>
      </w:r>
      <w:r>
        <w:rPr>
          <w:rFonts w:ascii="Times New Roman" w:hAnsi="Times New Roman"/>
          <w:b w:val="false"/>
          <w:i w:val="false"/>
          <w:color w:val="000000"/>
          <w:sz w:val="22"/>
        </w:rPr>
        <w:t> </w:t>
      </w:r>
      <w:r>
        <w:rPr>
          <w:rFonts w:ascii="Times New Roman" w:hAnsi="Times New Roman"/>
          <w:b w:val="false"/>
          <w:i w:val="false"/>
          <w:color w:val="000000"/>
          <w:sz w:val="22"/>
        </w:rPr>
        <w:t>Student fraternities or sororities engaged in the business of selling meals or other tangible personal property to persons other than members for which separate charges are made are making taxable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285.3(3)</w:t>
      </w:r>
      <w:r>
        <w:rPr>
          <w:rFonts w:ascii="Times New Roman" w:hAnsi="Times New Roman"/>
          <w:b w:val="false"/>
          <w:i w:val="false"/>
          <w:color w:val="000000"/>
          <w:sz w:val="22"/>
        </w:rPr>
        <w:t> </w:t>
      </w:r>
      <w:r>
        <w:rPr>
          <w:rFonts w:ascii="Times New Roman" w:hAnsi="Times New Roman"/>
          <w:b w:val="false"/>
          <w:i w:val="false"/>
          <w:color w:val="000000"/>
          <w:sz w:val="22"/>
        </w:rPr>
        <w:t>Sales by other food preparers. When student fraternities or sororities do not provide their own meals but meals instead are provided to members by caterers, concessionaires or other persons, such caterers, concessionaires or other persons shall be liable for the collection and remittance of sales tax on the sales price from meals furnished.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423.1(39)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701—285.4</w:t>
      </w:r>
      <w:r>
        <w:rPr>
          <w:rFonts w:ascii="Times New Roman" w:hAnsi="Times New Roman"/>
          <w:b/>
          <w:i w:val="false"/>
          <w:color w:val="000000"/>
          <w:sz w:val="22"/>
        </w:rPr>
        <w:t xml:space="preserve">(423) </w:t>
      </w:r>
      <w:r>
        <w:rPr>
          <w:rFonts w:ascii="Times New Roman" w:hAnsi="Times New Roman"/>
          <w:b/>
          <w:i w:val="false"/>
          <w:color w:val="000000"/>
          <w:sz w:val="22"/>
        </w:rPr>
        <w:t xml:space="preserve">Morticians or funeral directors. </w:t>
      </w:r>
      <w:r>
        <w:rPr>
          <w:rFonts w:ascii="Times New Roman" w:hAnsi="Times New Roman"/>
          <w:b w:val="false"/>
          <w:i w:val="false"/>
          <w:color w:val="000000"/>
          <w:sz w:val="22"/>
        </w:rPr>
        <w:t>A mortician or funeral director is engaged in the business of selling tangible personal property, specified digital products, and funeral services. Examples of the tangible personal property sold by a funeral director include but are not limited to caskets, other burial containers, flowers, and burial clothing. “Funeral services” includes but is not limited to cremation, transportation by hearse and embalming. Tax is due only on the sales price from the sale of tangible personal property, specified digital products, and taxable services, and not on the sales price from the sale of nontaxable services.</w:t>
      </w:r>
    </w:p>
    <w:p>
      <w:pPr>
        <w:spacing w:before="0" w:after="0"/>
        <w:ind w:left="120"/>
        <w:jc w:val="both"/>
      </w:pPr>
      <w:r>
        <w:rPr>
          <w:rFonts w:ascii="Times New Roman" w:hAnsi="Times New Roman"/>
          <w:b w:val="false"/>
          <w:i w:val="false"/>
          <w:color w:val="000000"/>
          <w:sz w:val="22"/>
        </w:rPr>
        <w:t>If a mortician or funeral director separately itemizes charges for tangible personal property, specified digital products, taxable services and nontaxable services, tax is due only upon the sales price from the sales of tangible personal property and taxable services.</w:t>
      </w:r>
    </w:p>
    <w:p>
      <w:pPr>
        <w:spacing w:before="0" w:after="0"/>
        <w:ind w:left="120"/>
        <w:jc w:val="both"/>
      </w:pPr>
      <w:r>
        <w:rPr>
          <w:rFonts w:ascii="Times New Roman" w:hAnsi="Times New Roman"/>
          <w:b w:val="false"/>
          <w:i w:val="false"/>
          <w:color w:val="000000"/>
          <w:sz w:val="22"/>
        </w:rPr>
        <w:t>The mortician or funeral director is considered to be purchasing caskets, outer burial containers, burial clothing, and other items sold to customers for resale, and may purchase these items from suppliers without payment of sales tax.</w:t>
      </w:r>
    </w:p>
    <w:p>
      <w:pPr>
        <w:spacing w:before="0" w:after="0"/>
        <w:ind w:left="120"/>
        <w:jc w:val="both"/>
      </w:pPr>
      <w:r>
        <w:rPr>
          <w:rFonts w:ascii="Times New Roman" w:hAnsi="Times New Roman"/>
          <w:b w:val="false"/>
          <w:i w:val="false"/>
          <w:color w:val="000000"/>
          <w:sz w:val="22"/>
        </w:rPr>
        <w:t>For purposes of this rule, the terms of morticians or funeral directors shall also include cemeteries, cemetery associations and anyone engaged in activities similar to those discussed in the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701—285.5</w:t>
      </w:r>
      <w:r>
        <w:rPr>
          <w:rFonts w:ascii="Times New Roman" w:hAnsi="Times New Roman"/>
          <w:b/>
          <w:i w:val="false"/>
          <w:color w:val="000000"/>
          <w:sz w:val="22"/>
        </w:rPr>
        <w:t xml:space="preserve">(423) </w:t>
      </w:r>
      <w:r>
        <w:rPr>
          <w:rFonts w:ascii="Times New Roman" w:hAnsi="Times New Roman"/>
          <w:b/>
          <w:i w:val="false"/>
          <w:color w:val="000000"/>
          <w:sz w:val="22"/>
        </w:rPr>
        <w:t xml:space="preserve">Physicians, dentists, surgeons, ophthalmologists, optometrists, and opticians. </w:t>
      </w:r>
      <w:r>
        <w:rPr>
          <w:rFonts w:ascii="Times New Roman" w:hAnsi="Times New Roman"/>
          <w:b w:val="false"/>
          <w:i w:val="false"/>
          <w:color w:val="000000"/>
          <w:sz w:val="22"/>
        </w:rPr>
        <w:t>Physicians, dentists, surgeons, ophthalmologists, optometrists, and opticians are not liable for sales tax on services rendered, including but not limited to examinations, consultations, diagnosis, and surgery.</w:t>
      </w:r>
    </w:p>
    <w:p>
      <w:pPr>
        <w:spacing w:before="0" w:after="0"/>
        <w:ind w:left="120"/>
        <w:jc w:val="both"/>
      </w:pPr>
      <w:r>
        <w:rPr>
          <w:rFonts w:ascii="Times New Roman" w:hAnsi="Times New Roman"/>
          <w:b w:val="false"/>
          <w:i w:val="false"/>
          <w:color w:val="000000"/>
          <w:sz w:val="22"/>
        </w:rPr>
        <w:t>The purchase of materials, supplies, and equipment by these persons is subject to tax unless the particular item is exempt from tax when purchased by an individual for the individual’s own use. For example, the purchase of prescription drugs would not be subject to sales tax if purchased for use in the practice of the physician, dentist, surgeon, ophthalmologist, optometrist, or optician. Sales of tangible personal property and specified digital products to dentists, which are to be affixed to the person of a patient as an ingredient or component part of a dental prosthetic device, are exempt from sales tax. These include artificial teeth, and facings, dental crowns, dental mercury and acrylic, porcelain, gold, silver, alloy, and synthetic filling materials.</w:t>
      </w:r>
    </w:p>
    <w:p>
      <w:pPr>
        <w:spacing w:before="0" w:after="0"/>
        <w:ind w:left="120"/>
        <w:jc w:val="both"/>
      </w:pPr>
      <w:r>
        <w:rPr>
          <w:rFonts w:ascii="Times New Roman" w:hAnsi="Times New Roman"/>
          <w:b w:val="false"/>
          <w:i w:val="false"/>
          <w:color w:val="000000"/>
          <w:sz w:val="22"/>
        </w:rPr>
        <w:t>Sales of tangible personal property and specified digital products to physicians or surgeons, which are prescription drugs to be used or consumed by a patient, are exempt from tax.</w:t>
      </w:r>
    </w:p>
    <w:p>
      <w:pPr>
        <w:spacing w:before="0" w:after="0"/>
        <w:ind w:left="120"/>
        <w:jc w:val="both"/>
      </w:pPr>
      <w:r>
        <w:rPr>
          <w:rFonts w:ascii="Times New Roman" w:hAnsi="Times New Roman"/>
          <w:b w:val="false"/>
          <w:i w:val="false"/>
          <w:color w:val="000000"/>
          <w:sz w:val="22"/>
        </w:rPr>
        <w:t>Sales of tangible personal property and specified digital products to ophthalmologists, optometrists, and opticians, which are prosthetic devices designed, manufactured, or adjusted to fit a patient, are exempt from tax. These include prescription eyeglasses, contact lenses, frames, and lenses.</w:t>
      </w:r>
    </w:p>
    <w:p>
      <w:pPr>
        <w:spacing w:before="0" w:after="0"/>
        <w:ind w:left="120"/>
        <w:jc w:val="both"/>
      </w:pPr>
      <w:r>
        <w:rPr>
          <w:rFonts w:ascii="Times New Roman" w:hAnsi="Times New Roman"/>
          <w:b w:val="false"/>
          <w:i w:val="false"/>
          <w:color w:val="000000"/>
          <w:sz w:val="22"/>
        </w:rPr>
        <w:t>The purchase by such persons of materials such as pumice, tongue depressors, stethoscopes, which are not in themselves exempt from tax, would be subject to tax when purchased by such professions.</w:t>
      </w:r>
    </w:p>
    <w:p>
      <w:pPr>
        <w:spacing w:before="0" w:after="0"/>
        <w:ind w:left="120"/>
        <w:jc w:val="both"/>
      </w:pPr>
      <w:r>
        <w:rPr>
          <w:rFonts w:ascii="Times New Roman" w:hAnsi="Times New Roman"/>
          <w:b w:val="false"/>
          <w:i w:val="false"/>
          <w:color w:val="000000"/>
          <w:sz w:val="22"/>
        </w:rPr>
        <w:t>The purchase of equipment, such as an X-ray machine, X-ray photograph or frames for use by such persons is subject to tax. On the other hand, the purchase of equipment that is utilized directly in the care of an illness, injury or disease, which would be exempt if purchased directly by the patient, is not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701—285.6</w:t>
      </w:r>
      <w:r>
        <w:rPr>
          <w:rFonts w:ascii="Times New Roman" w:hAnsi="Times New Roman"/>
          <w:b/>
          <w:i w:val="false"/>
          <w:color w:val="000000"/>
          <w:sz w:val="22"/>
        </w:rPr>
        <w:t xml:space="preserve">(423) </w:t>
      </w:r>
      <w:r>
        <w:rPr>
          <w:rFonts w:ascii="Times New Roman" w:hAnsi="Times New Roman"/>
          <w:b/>
          <w:i w:val="false"/>
          <w:color w:val="000000"/>
          <w:sz w:val="22"/>
        </w:rPr>
        <w:t xml:space="preserve">Warranties and maintenance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285.6(1)</w:t>
      </w:r>
      <w:r>
        <w:rPr>
          <w:rFonts w:ascii="Times New Roman" w:hAnsi="Times New Roman"/>
          <w:b w:val="false"/>
          <w:i w:val="false"/>
          <w:color w:val="000000"/>
          <w:sz w:val="22"/>
        </w:rPr>
        <w:t> </w:t>
      </w:r>
      <w:r>
        <w:rPr>
          <w:rFonts w:ascii="Times New Roman" w:hAnsi="Times New Roman"/>
          <w:b w:val="false"/>
          <w:i w:val="false"/>
          <w:color w:val="000000"/>
          <w:sz w:val="22"/>
        </w:rPr>
        <w:t>Mandatory warranties. A warranty is a mandatory warranty when the buyer, as a condition of the sale, is required to purchase the warranty from the seller. When the sale of tangible personal property, specified digital products, or services includes the furnishing or replacement of parts or materials that are pursuant to the guaranty provisions of the sales contract, a mandatory warranty exists. If the property subject to the warranty is sold at retail, and the measure of the tax includes any amount charged for the guaranty or warranty, whether or not such amount is purported to be separately stated from the purchase price, the sale of replacement parts and materials to the seller furnishing them thereunder is a sale for resale and not taxable. Labor performed under a mandatory warranty that is in connection with an enumerated taxable service is also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285.6(2)</w:t>
      </w:r>
      <w:r>
        <w:rPr>
          <w:rFonts w:ascii="Times New Roman" w:hAnsi="Times New Roman"/>
          <w:b w:val="false"/>
          <w:i w:val="false"/>
          <w:color w:val="000000"/>
          <w:sz w:val="22"/>
        </w:rPr>
        <w:t> </w:t>
      </w:r>
      <w:r>
        <w:rPr>
          <w:rFonts w:ascii="Times New Roman" w:hAnsi="Times New Roman"/>
          <w:b w:val="false"/>
          <w:i w:val="false"/>
          <w:color w:val="000000"/>
          <w:sz w:val="22"/>
        </w:rPr>
        <w:t>Optional warranties. A warranty is an optional warranty when the buyer is not required to purchase the warranty from the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 of optional service or warranty contracts that provide for the furnishing of labor and materials and require the furnishing of any taxable service enumerated under Iowa Code section </w:t>
      </w:r>
      <w:hyperlink r:id="rId1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is considered a sale of tangible personal property the sales price of which is subject to tax at the time of sale except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 of a residential service contract regulated under Iowa Code chapter </w:t>
      </w:r>
      <w:hyperlink r:id="rId17">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is not the sale of tangible personal property, and the sales price from the sales of these service contracts is not subject to tax, and the sales price from taxable services performed for the providers of residential service contracts are now subject to tax. “Residential service contract” is defined in Iowa Code section </w:t>
      </w:r>
      <w:hyperlink r:id="rId18">
        <w:r>
          <w:rPr>
            <w:rStyle w:val="Hyperlink"/>
            <w:rFonts w:ascii="Times New Roman" w:hAnsi="Times New Roman"/>
            <w:b w:val="false"/>
            <w:i w:val="false"/>
            <w:color w:val="000000"/>
            <w:sz w:val="22"/>
          </w:rPr>
          <w:t>523C.1(8)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optional service or warranty contract is a computer software maintenance or support service contract and the contract provides for the furnishing of technical support services only, then no tax is imposed on the furnishing of those services. If a computer software maintenance or support service contract provides for the performance of nontaxable services and the taxable transfer of tangible personal property, and no separate fee is stated for either the performance of the service or the transfer of the property, then sales tax shall be imposed on the sales price from the sale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285.6(3)</w:t>
      </w:r>
      <w:r>
        <w:rPr>
          <w:rFonts w:ascii="Times New Roman" w:hAnsi="Times New Roman"/>
          <w:b w:val="false"/>
          <w:i w:val="false"/>
          <w:color w:val="000000"/>
          <w:sz w:val="22"/>
        </w:rPr>
        <w:t> </w:t>
      </w:r>
      <w:r>
        <w:rPr>
          <w:rFonts w:ascii="Times New Roman" w:hAnsi="Times New Roman"/>
          <w:b w:val="false"/>
          <w:i w:val="false"/>
          <w:color w:val="000000"/>
          <w:sz w:val="22"/>
        </w:rPr>
        <w:t>Additional charges for parts and labor furnished in addition to that covered by a warranty or maintenance contract that are for enumerated taxable services shall be subject to tax. Only parts and not labor will be subject to tax where a nontaxable service is performed if the labor charge is separately stated.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701—285.7</w:t>
      </w:r>
      <w:r>
        <w:rPr>
          <w:rFonts w:ascii="Times New Roman" w:hAnsi="Times New Roman"/>
          <w:b/>
          <w:i w:val="false"/>
          <w:color w:val="000000"/>
          <w:sz w:val="22"/>
        </w:rPr>
        <w:t xml:space="preserve">(423) </w:t>
      </w:r>
      <w:r>
        <w:rPr>
          <w:rFonts w:ascii="Times New Roman" w:hAnsi="Times New Roman"/>
          <w:b/>
          <w:i w:val="false"/>
          <w:color w:val="000000"/>
          <w:sz w:val="22"/>
        </w:rPr>
        <w:t xml:space="preserve">Casual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285.7(1)</w:t>
      </w:r>
      <w:r>
        <w:rPr>
          <w:rFonts w:ascii="Times New Roman" w:hAnsi="Times New Roman"/>
          <w:b w:val="false"/>
          <w:i w:val="false"/>
          <w:color w:val="000000"/>
          <w:sz w:val="22"/>
        </w:rPr>
        <w:t> </w:t>
      </w:r>
      <w:r>
        <w:rPr>
          <w:rFonts w:ascii="Times New Roman" w:hAnsi="Times New Roman"/>
          <w:b w:val="false"/>
          <w:i/>
          <w:color w:val="000000"/>
          <w:sz w:val="22"/>
        </w:rPr>
        <w:t xml:space="preserve">Casual sales by persons not retailers or by retailers outside the regular course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Casual sales are exempt from Iowa sales and use taxes except for the casual sale of vehicles subject to registration, aircraft, and other vehicles listed in Iowa Code section </w:t>
      </w:r>
      <w:hyperlink r:id="rId20">
        <w:r>
          <w:rPr>
            <w:rStyle w:val="Hyperlink"/>
            <w:rFonts w:ascii="Times New Roman" w:hAnsi="Times New Roman"/>
            <w:b w:val="false"/>
            <w:i w:val="false"/>
            <w:color w:val="000000"/>
            <w:sz w:val="22"/>
          </w:rPr>
          <w:t>423.3(39)</w:t>
        </w:r>
      </w:hyperlink>
      <w:r>
        <w:rPr>
          <w:rFonts w:ascii="Times New Roman" w:hAnsi="Times New Roman"/>
          <w:b w:val="false"/>
          <w:i/>
          <w:color w:val="000000"/>
          <w:sz w:val="22"/>
        </w:rPr>
        <w:t>“b.”</w:t>
      </w:r>
      <w:r>
        <w:rPr>
          <w:rFonts w:ascii="Times New Roman" w:hAnsi="Times New Roman"/>
          <w:b w:val="false"/>
          <w:i w:val="false"/>
          <w:color w:val="000000"/>
          <w:sz w:val="22"/>
        </w:rPr>
        <w:t xml:space="preserve"> In order for a casual sale to qualify for exemption under this subrule, two conditions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sale of tangible personal property, specified digital products, or taxable services must be of a nonrecurring 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seller, at the time of the sale, must not be engaged for profit in the business of selling tangible goods or services taxed under Iowa Code section </w:t>
      </w:r>
      <w:hyperlink r:id="rId2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or, if so engaged, the sale must be outside the regular course of the seller’s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Nonrecurring events. </w:t>
      </w:r>
      <w:r>
        <w:rPr>
          <w:rFonts w:ascii="Times New Roman" w:hAnsi="Times New Roman"/>
          <w:b w:val="false"/>
          <w:i w:val="false"/>
          <w:color w:val="000000"/>
          <w:sz w:val="22"/>
        </w:rPr>
        <w:t>Two separate selling events outside the regular course of business within a 12-month period shall be considered nonrecurring. Three such separate selling events within a 12-month period shall be considered as recurring. Tax shall only apply commencing with the third separate selling event. However, in the event that a sale event occurs consistently over a span of years, such sale is recurring and not casual, even though only one sales event occurs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Sales of capital assets. </w:t>
      </w:r>
      <w:r>
        <w:rPr>
          <w:rFonts w:ascii="Times New Roman" w:hAnsi="Times New Roman"/>
          <w:b w:val="false"/>
          <w:i w:val="false"/>
          <w:color w:val="000000"/>
          <w:sz w:val="22"/>
        </w:rPr>
        <w:t>Sales of capital assets such as equipment, machinery, and furnishings that are not sold as inventory shall be deemed outside the regular course of business (including sales of capital assets during a retailer’s liquidation) and the casual sales exemption shall apply as long as such sales are nonrecurring. This will include transactions exempted from state and federal income tax under Section 351 of the Internal Revenue Code.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Corporation A sells the company copy machine at retail to B. At the time of this sale, Corporation A is engaged in the business for profit of selling clothes at retail. Assuming that the sale of the copy machine constitutes a sale of a nonrecurring nature, there is a casual sale because the sale is outside the regular course of Corporation A’s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Corporation C is engaged in the business of lending money secured by collateral. In the course of such business, Corporation C must repossess some collateral and sell it at retail for purposes of payment of loans. Such sales recur from time to time. Notwithstanding that Corporation C is presumably not engaged in the business of selling tangible personal property, specified digital products, or services for a profit, since the sales are recurring, there is no casual sale.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 a farmer, does not sell tangible personal property at retail or engage in the performance of any taxable services. F liquidates the farming business and hires a professional auctioneer to auction off many items of tangible personal property. Assuming this liquidation event is casual, all items sold by the auctioneer at retail are casual sales notwithstanding that many different sales to numerous different buyers may occur. More information is contained in rule </w:t>
      </w:r>
      <w:hyperlink r:id="rId22">
        <w:r>
          <w:rPr>
            <w:rStyle w:val="Hyperlink"/>
            <w:rFonts w:ascii="Times New Roman" w:hAnsi="Times New Roman"/>
            <w:b w:val="false"/>
            <w:i w:val="false"/>
            <w:color w:val="000000"/>
            <w:sz w:val="22"/>
          </w:rPr>
          <w:t>701—285.1(423)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H, an insurance agency, holds a semiannual event to sell its used office furniture. Even though H does not regularly sell tangible personal property at retail, the casual sale exemption does not apply because the selling events are recurring.</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I, a corporation, has one sales event every year whereby it auctions off capital assets that it has no use for or desires to replace. This event has been a planned function of I and is conducted regularly and consistently over a span of years. Even though this sale event occurs only once a year, it is of a recurring nature because of the pattern of repetitiveness present and, therefore, the casual sale exemption would not apply, regardless of the number of items sold at the sale event each year.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J, a corporation engaged in the sale for resale of tangible personal property, sells three capital assets used in J’s trade or business consisting of a copy machine, a desk, and a computer. Each sale is made to different buyers and is unrelated to the other sales. The three sales occur in January, June, and October of the same year. The sale made in October consists of a desk. J has not established a pattern of recurring sales of capital assets prior to aforementioned sales of capital assets. Under these circumstances, the sale of the desk is not a casual sale, but the sales of the copy machine and the computer are casual and exempt.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K, a corporation, is primarily engaged in the business of road construction. From time to time, it sells used capital assets and scrap materials reclaimed from its road construction work to individuals and businesses. It does not advertise itself as a retailer of these assets and materials but sells them as a matter of courtesy to persons who cannot purchase them elsewhere. After 42 years of operation, it decides to liquidate. Pursuant to that decision, K employs two auctioneers to sell its capital assets and ceases operation after its assets are sold. K had only one capital asset sale during the 12 months immediately preceding each liquidation auction sale. The auction sales are exempt casual sales under this subrule (1) because they are nonrecurring, and (2) because K is not a retailer of the capital assets sold during its liquidation.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L, a sole proprietorship, engaged in selling automobile parts at retail, incorporated. The assets of L are sold to the new corporation in exchange for stock and the new corporation now engages in selling automobile parts at retail. The casual sale exemption would apply, but only because of the exemption set out in subrule </w:t>
      </w:r>
      <w:hyperlink r:id="rId23">
        <w:r>
          <w:rPr>
            <w:rStyle w:val="Hyperlink"/>
            <w:rFonts w:ascii="Times New Roman" w:hAnsi="Times New Roman"/>
            <w:b w:val="false"/>
            <w:i w:val="false"/>
            <w:color w:val="000000"/>
            <w:sz w:val="22"/>
          </w:rPr>
          <w:t>285.7(2)</w:t>
        </w:r>
      </w:hyperlink>
      <w:r>
        <w:rPr>
          <w:rFonts w:ascii="Times New Roman" w:hAnsi="Times New Roman"/>
          <w:b w:val="false"/>
          <w:i w:val="false"/>
          <w:color w:val="000000"/>
          <w:sz w:val="22"/>
        </w:rPr>
        <w:t xml:space="preserve"> infra, since the transfer involves a liquidation of L’s business and the sale of L’s inventory to another person (the corporation), which will continue to engage in a similar trade or business.</w:t>
      </w:r>
    </w:p>
    <w:p>
      <w:pPr>
        <w:spacing w:before="0" w:after="0"/>
        <w:ind w:left="120"/>
        <w:jc w:val="both"/>
      </w:pPr>
      <w:r>
        <w:rPr>
          <w:rFonts w:ascii="Times New Roman" w:hAnsi="Times New Roman"/>
          <w:b w:val="false"/>
          <w:i w:val="false"/>
          <w:color w:val="000000"/>
          <w:sz w:val="22"/>
        </w:rPr>
        <w:t>The above examples are not the only ones pertaining to the questions of whether a casual sale did or did not occur. However, because of the myriad of factual situations that can and do exist, it is not possible to formulate more detailed rules on this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285.7(2)</w:t>
      </w:r>
      <w:r>
        <w:rPr>
          <w:rFonts w:ascii="Times New Roman" w:hAnsi="Times New Roman"/>
          <w:b w:val="false"/>
          <w:i w:val="false"/>
          <w:color w:val="000000"/>
          <w:sz w:val="22"/>
        </w:rPr>
        <w:t> </w:t>
      </w:r>
      <w:r>
        <w:rPr>
          <w:rFonts w:ascii="Times New Roman" w:hAnsi="Times New Roman"/>
          <w:b w:val="false"/>
          <w:i/>
          <w:color w:val="000000"/>
          <w:sz w:val="22"/>
        </w:rPr>
        <w:t xml:space="preserve">Special rules for casual sales involving the liquidation of a trade or business. </w:t>
      </w:r>
      <w:r>
        <w:rPr>
          <w:rFonts w:ascii="Times New Roman" w:hAnsi="Times New Roman"/>
          <w:b w:val="false"/>
          <w:i w:val="false"/>
          <w:color w:val="000000"/>
          <w:sz w:val="22"/>
        </w:rPr>
        <w:t xml:space="preserve">When retailers sell all or substantially all of the tangible personal property held or used in the course of the trade or business for which retailers are required to hold a sales tax permit, the casual sale exemption will apply to exempt those sales only when the following circumstances exist: (1) the trade or business must be transferred to another person, and (2) the transferee must engage in a similar trade or business. The trade or business transferred refers to the place where the business is located since each taxable retail business must have a sales tax permit at each location. For purposes of this casual sale circumstance, it is irrelevant whether the retailer actually has a sales tax permit or not; rather, the relevant circumstance is that the retailer was required to have a sales tax permit. One effect of this is that a retailer who is closing as opposed to transferring a business and is selling inventory in the process of this closing is not entitled to claim the casual sale exemption under this subrule, but see subrule </w:t>
      </w:r>
      <w:hyperlink r:id="rId24">
        <w:r>
          <w:rPr>
            <w:rStyle w:val="Hyperlink"/>
            <w:rFonts w:ascii="Times New Roman" w:hAnsi="Times New Roman"/>
            <w:b w:val="false"/>
            <w:i w:val="false"/>
            <w:color w:val="000000"/>
            <w:sz w:val="22"/>
          </w:rPr>
          <w:t>285.7(1)</w:t>
        </w:r>
      </w:hyperlink>
      <w:r>
        <w:rPr>
          <w:rFonts w:ascii="Times New Roman" w:hAnsi="Times New Roman"/>
          <w:b w:val="false"/>
          <w:i w:val="false"/>
          <w:color w:val="000000"/>
          <w:sz w:val="22"/>
        </w:rPr>
        <w:t>, and the resale exemption is always potentially applicable to sales of inventory. The examples below contain further explanation.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L, a hardware store, desires to liquidate the business. L had been selling tangible personal property at retail and was required to have an Iowa retail sales tax permit. L hires a professional auctioneer and all items of inventory, equipment, and fixtures are sold to various purchasers. These items consist of all or substantially all of the tangible personal property held or used by L in the course of the business for which a sales tax permit was required to be held. L, however, does not transfer the trade or business to anyone else. Under these circumstances, the casual sales exemption does not apply to the sale of the inventory, but see subrule </w:t>
      </w:r>
      <w:hyperlink r:id="rId25">
        <w:r>
          <w:rPr>
            <w:rStyle w:val="Hyperlink"/>
            <w:rFonts w:ascii="Times New Roman" w:hAnsi="Times New Roman"/>
            <w:b w:val="false"/>
            <w:i w:val="false"/>
            <w:color w:val="000000"/>
            <w:sz w:val="22"/>
          </w:rPr>
          <w:t>285.7(1)</w:t>
        </w:r>
      </w:hyperlink>
      <w:r>
        <w:rPr>
          <w:rFonts w:ascii="Times New Roman" w:hAnsi="Times New Roman"/>
          <w:b w:val="false"/>
          <w:i w:val="false"/>
          <w:color w:val="000000"/>
          <w:sz w:val="22"/>
        </w:rPr>
        <w:t xml:space="preserve"> for criteria that determine whether the casual sales exemption applies to the equipment and fixtures.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The facts are the same as those in the previous example, except that L is liquidating its business because it attempted to build a new store and its entire inventory was destroyed by fire while in storage. An auctioneer sells L’s equipment and trade fixtures to various purchasers. The auctioneer’s sale of the equipment and trade fixtures is an exempt casual sale of the type described in subrule </w:t>
      </w:r>
      <w:hyperlink r:id="rId26">
        <w:r>
          <w:rPr>
            <w:rStyle w:val="Hyperlink"/>
            <w:rFonts w:ascii="Times New Roman" w:hAnsi="Times New Roman"/>
            <w:b w:val="false"/>
            <w:i w:val="false"/>
            <w:color w:val="000000"/>
            <w:sz w:val="22"/>
          </w:rPr>
          <w:t>285.7(2)</w:t>
        </w:r>
      </w:hyperlink>
      <w:r>
        <w:rPr>
          <w:rFonts w:ascii="Times New Roman" w:hAnsi="Times New Roman"/>
          <w:b w:val="false"/>
          <w:i w:val="false"/>
          <w:color w:val="000000"/>
          <w:sz w:val="22"/>
        </w:rPr>
        <w:t xml:space="preserve"> because (1) it is nonrecurring, and (2) it is outside the usual course of L’s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M, a sole proprietorship, incorporated. The assets of M are sold to the new corporation for stock. The new corporation engaged in a similar business. The casual sale exemption would apply.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N, an oil company, sells all or substantially all of the tangible personal property of ten company-owned service stations that were held or used in the course of its business, for which N was required to hold a sales tax permit, by bulk sales or otherwise. The sales were made to O, P, and Q and occurred at different times during the same year, each sale being unrelated. N was required to have a sales tax permit for each service station. N transferred its trade or business (each service station) to O, P, and Q, each of whom will engage in the same business N did, i.e., operation of service stations. Even though under these circumstances, the sales by N are recurring, the casual sales exemption would apply since each trade or business was transferred to another person who did engage in a similar trade or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R, an operator of a restaurant, auctions off to various purchasers who are not engaged in the restaurant business all or substantially all of the tangible personal property held or used in the business for which R was required to hold a retail sales tax permit. R transfers the trade or business to S who then operates a restaurant at the same location R did. Even if S did not purchase any of the tangible personal property, under these circumstances, the casual sales exemption applies. The tangible personal property held or used in the trade or business need not be sold to the same person to whom the trade or business is sold for the exemption to apply.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T, a restaurant, sells all of its tangible personal property held or used in the course of its business for which it was required to hold a sales tax permit to U. T also sells its trade or business to U. U engages in the business of operation of a dance hall and does not continue to operate the restaurant. This subrule’s casual sales exemption will not apply, but see subrule </w:t>
      </w:r>
      <w:hyperlink r:id="rId27">
        <w:r>
          <w:rPr>
            <w:rStyle w:val="Hyperlink"/>
            <w:rFonts w:ascii="Times New Roman" w:hAnsi="Times New Roman"/>
            <w:b w:val="false"/>
            <w:i w:val="false"/>
            <w:color w:val="000000"/>
            <w:sz w:val="22"/>
          </w:rPr>
          <w:t>285.7(1)</w:t>
        </w:r>
      </w:hyperlink>
      <w:r>
        <w:rPr>
          <w:rFonts w:ascii="Times New Roman" w:hAnsi="Times New Roman"/>
          <w:b w:val="false"/>
          <w:i w:val="false"/>
          <w:color w:val="000000"/>
          <w:sz w:val="22"/>
        </w:rPr>
        <w:t xml:space="preserve"> for the criteria of a casual sale exemption that could apply.</w:t>
      </w:r>
    </w:p>
    <w:p>
      <w:pPr>
        <w:spacing w:before="0" w:after="0"/>
        <w:ind w:left="120"/>
        <w:jc w:val="both"/>
      </w:pPr>
      <w:r>
        <w:rPr>
          <w:rFonts w:ascii="Times New Roman" w:hAnsi="Times New Roman"/>
          <w:b w:val="false"/>
          <w:i w:val="false"/>
          <w:color w:val="000000"/>
          <w:sz w:val="22"/>
        </w:rPr>
        <w:t>The above examples are not the only ones pertaining to the question of whether a casual sale did or did not occur. However, because of the myriad of factual situations that can and do exist, it is not possible to formulate more detailed rules on this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285.7(3)</w:t>
      </w:r>
      <w:r>
        <w:rPr>
          <w:rFonts w:ascii="Times New Roman" w:hAnsi="Times New Roman"/>
          <w:b w:val="false"/>
          <w:i w:val="false"/>
          <w:color w:val="000000"/>
          <w:sz w:val="22"/>
        </w:rPr>
        <w:t> </w:t>
      </w:r>
      <w:r>
        <w:rPr>
          <w:rFonts w:ascii="Times New Roman" w:hAnsi="Times New Roman"/>
          <w:b w:val="false"/>
          <w:i/>
          <w:color w:val="000000"/>
          <w:sz w:val="22"/>
        </w:rPr>
        <w:t xml:space="preserve">Casual sales of services. </w:t>
      </w:r>
      <w:r>
        <w:rPr>
          <w:rFonts w:ascii="Times New Roman" w:hAnsi="Times New Roman"/>
          <w:b w:val="false"/>
          <w:i w:val="false"/>
          <w:color w:val="000000"/>
          <w:sz w:val="22"/>
        </w:rPr>
        <w:t>The “casual sale” of an enumerated service has occurred if the following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was rendered, furnished, or performed on a nonrecurring basis by a seller who, at the time of the sale of the service, is not engaged for profit in the business of selling tangible goods or services taxed under Iowa Code section </w:t>
      </w:r>
      <w:hyperlink r:id="rId2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or, if so engaged, the sale was outside the regular course of the seller’s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sales of all, or substantially all of the services held or used by a retailer in the course of the retailer’s trade or business for which the retailer is required to hold a sales tax permit, if the retailer sells or otherwise transfers the trade or business to another person who engages in a similar trade or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V ordinarily engages in janitorial and building maintenance or cleaning, which are taxable services. Once, as a favor to customer W, V cut customer W’s lawn and otherwise performed the taxable service of “lawn care” for customer W. Since this performance of lawn care was not “within V’s regular course of business” and was not “recurring,” the sales price from the lawn care is not subject to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Corporation X rents a piece of equipment from Y. Y does not otherwise rent equipment and does not engage in the business for profit of selling tangible personal property, specified digital products, or taxable enumerated services. A casual sale qualifying for the exemption exists.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423.3(39)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701—285.8</w:t>
      </w:r>
      <w:r>
        <w:rPr>
          <w:rFonts w:ascii="Times New Roman" w:hAnsi="Times New Roman"/>
          <w:b/>
          <w:i w:val="false"/>
          <w:color w:val="000000"/>
          <w:sz w:val="22"/>
        </w:rPr>
        <w:t xml:space="preserve">(423) </w:t>
      </w:r>
      <w:r>
        <w:rPr>
          <w:rFonts w:ascii="Times New Roman" w:hAnsi="Times New Roman"/>
          <w:b/>
          <w:i w:val="false"/>
          <w:color w:val="000000"/>
          <w:sz w:val="22"/>
        </w:rPr>
        <w:t xml:space="preserve">Taxation of Native Americans.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Americans” </w:t>
      </w:r>
      <w:r>
        <w:rPr>
          <w:rFonts w:ascii="Times New Roman" w:hAnsi="Times New Roman"/>
          <w:b w:val="false"/>
          <w:i w:val="false"/>
          <w:color w:val="000000"/>
          <w:sz w:val="22"/>
        </w:rPr>
        <w:t>means all persons who are descendants of and who are members of any recognized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“Settlement” </w:t>
      </w:r>
      <w:r>
        <w:rPr>
          <w:rFonts w:ascii="Times New Roman" w:hAnsi="Times New Roman"/>
          <w:b w:val="false"/>
          <w:i w:val="false"/>
          <w:color w:val="000000"/>
          <w:sz w:val="22"/>
        </w:rPr>
        <w:t>means all lands recognized as a tribal government settlement or reservation within the boundaries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285.8(2)</w:t>
      </w:r>
      <w:r>
        <w:rPr>
          <w:rFonts w:ascii="Times New Roman" w:hAnsi="Times New Roman"/>
          <w:b w:val="false"/>
          <w:i w:val="false"/>
          <w:color w:val="000000"/>
          <w:sz w:val="22"/>
        </w:rPr>
        <w:t> </w:t>
      </w:r>
      <w:r>
        <w:rPr>
          <w:rFonts w:ascii="Times New Roman" w:hAnsi="Times New Roman"/>
          <w:b w:val="false"/>
          <w:i/>
          <w:color w:val="000000"/>
          <w:sz w:val="22"/>
        </w:rPr>
        <w:t xml:space="preserve">Retail sales tax—tangible personal property. </w:t>
      </w:r>
      <w:r>
        <w:rPr>
          <w:rFonts w:ascii="Times New Roman" w:hAnsi="Times New Roman"/>
          <w:b w:val="false"/>
          <w:i w:val="false"/>
          <w:color w:val="000000"/>
          <w:sz w:val="22"/>
        </w:rPr>
        <w:t>Retail sales of tangible personal property made on a recognized settlement to Native Americans who are members of the tribe located on that settlement, where delivery occurs on the settlement, are exempt from tax. Retail sales of tangible personal property made on a recognized settlement to Native Americans where delivery occurs off the settlement are subject to tax. Retail sales of tangible personal property made to non-Native Americans on a recognized settlement are subject to tax regardless of where the delivery occurs. Sales made to non-Native Americans are taxable even though the seller may be a member of a recognized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285.8(3)</w:t>
      </w:r>
      <w:r>
        <w:rPr>
          <w:rFonts w:ascii="Times New Roman" w:hAnsi="Times New Roman"/>
          <w:b w:val="false"/>
          <w:i w:val="false"/>
          <w:color w:val="000000"/>
          <w:sz w:val="22"/>
        </w:rPr>
        <w:t> </w:t>
      </w:r>
      <w:r>
        <w:rPr>
          <w:rFonts w:ascii="Times New Roman" w:hAnsi="Times New Roman"/>
          <w:b w:val="false"/>
          <w:i/>
          <w:color w:val="000000"/>
          <w:sz w:val="22"/>
        </w:rPr>
        <w:t xml:space="preserve">Retail sales tax—services. </w:t>
      </w:r>
      <w:r>
        <w:rPr>
          <w:rFonts w:ascii="Times New Roman" w:hAnsi="Times New Roman"/>
          <w:b w:val="false"/>
          <w:i w:val="false"/>
          <w:color w:val="000000"/>
          <w:sz w:val="22"/>
        </w:rPr>
        <w:t>Sales of enumerated taxable services and sales made by municipal corporations furnishing gas, electricity, water, heat, or communication services to Native Americans who are members of the tribe located on the recognized settlement where delivery of the service occurs are exempt from tax. Sales of enumerated taxable services or sales made by municipal corporations furnishing gas, electricity, water, heat, or communication services to Native Americans where delivery of the services occurs off a recognized settlement are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285.8(4)</w:t>
      </w:r>
      <w:r>
        <w:rPr>
          <w:rFonts w:ascii="Times New Roman" w:hAnsi="Times New Roman"/>
          <w:b w:val="false"/>
          <w:i w:val="false"/>
          <w:color w:val="000000"/>
          <w:sz w:val="22"/>
        </w:rPr>
        <w:t> </w:t>
      </w:r>
      <w:r>
        <w:rPr>
          <w:rFonts w:ascii="Times New Roman" w:hAnsi="Times New Roman"/>
          <w:b w:val="false"/>
          <w:i/>
          <w:color w:val="000000"/>
          <w:sz w:val="22"/>
        </w:rPr>
        <w:t xml:space="preserve">Off-settlement purchases. </w:t>
      </w:r>
      <w:r>
        <w:rPr>
          <w:rFonts w:ascii="Times New Roman" w:hAnsi="Times New Roman"/>
          <w:b w:val="false"/>
          <w:i w:val="false"/>
          <w:color w:val="000000"/>
          <w:sz w:val="22"/>
        </w:rPr>
        <w:t>Purchases made by Native Americans off a recognized settlement are subject to tax if delivery occurs off the settlement. Purchases made by Native Americans off a recognized settlement are not subject to tax if delivery is made on the settlement to Native Americans who are members of the tribe located on that settlement.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701—285.9</w:t>
      </w:r>
      <w:r>
        <w:rPr>
          <w:rFonts w:ascii="Times New Roman" w:hAnsi="Times New Roman"/>
          <w:b/>
          <w:i w:val="false"/>
          <w:color w:val="000000"/>
          <w:sz w:val="22"/>
        </w:rPr>
        <w:t xml:space="preserve">(423) </w:t>
      </w:r>
      <w:r>
        <w:rPr>
          <w:rFonts w:ascii="Times New Roman" w:hAnsi="Times New Roman"/>
          <w:b/>
          <w:i w:val="false"/>
          <w:color w:val="000000"/>
          <w:sz w:val="22"/>
        </w:rPr>
        <w:t xml:space="preserve">Computer software and hardware.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tax. </w:t>
      </w:r>
      <w:r>
        <w:rPr>
          <w:rFonts w:ascii="Times New Roman" w:hAnsi="Times New Roman"/>
          <w:b w:val="false"/>
          <w:i w:val="false"/>
          <w:color w:val="000000"/>
          <w:sz w:val="22"/>
        </w:rPr>
        <w:t xml:space="preserve">For the purposes of this rule, the sales price of the tangible personal property, specified digital products, and services found within Iowa Code section </w:t>
      </w:r>
      <w:hyperlink r:id="rId3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is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is interchangeable with the term “software”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“Rental or lease” </w:t>
      </w:r>
      <w:r>
        <w:rPr>
          <w:rFonts w:ascii="Times New Roman" w:hAnsi="Times New Roman"/>
          <w:b w:val="false"/>
          <w:i w:val="false"/>
          <w:color w:val="000000"/>
          <w:sz w:val="22"/>
        </w:rPr>
        <w:t xml:space="preserve">means the same as defined in Iowa Code section </w:t>
      </w:r>
      <w:hyperlink r:id="rId32">
        <w:r>
          <w:rPr>
            <w:rStyle w:val="Hyperlink"/>
            <w:rFonts w:ascii="Times New Roman" w:hAnsi="Times New Roman"/>
            <w:b w:val="false"/>
            <w:i w:val="false"/>
            <w:color w:val="000000"/>
            <w:sz w:val="22"/>
          </w:rPr>
          <w:t>423.1(24)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285.9(2)</w:t>
      </w:r>
      <w:r>
        <w:rPr>
          <w:rFonts w:ascii="Times New Roman" w:hAnsi="Times New Roman"/>
          <w:b w:val="false"/>
          <w:i w:val="false"/>
          <w:color w:val="000000"/>
          <w:sz w:val="22"/>
        </w:rPr>
        <w:t> </w:t>
      </w:r>
      <w:r>
        <w:rPr>
          <w:rFonts w:ascii="Times New Roman" w:hAnsi="Times New Roman"/>
          <w:b w:val="false"/>
          <w:i/>
          <w:color w:val="000000"/>
          <w:sz w:val="22"/>
        </w:rPr>
        <w:t xml:space="preserve">Taxable sales, rentals or leases,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of equipment. </w:t>
      </w:r>
      <w:r>
        <w:rPr>
          <w:rFonts w:ascii="Times New Roman" w:hAnsi="Times New Roman"/>
          <w:b w:val="false"/>
          <w:i w:val="false"/>
          <w:color w:val="000000"/>
          <w:sz w:val="22"/>
        </w:rPr>
        <w:t>Tax applies to sales of automatic data processing equipment and related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Rental or leasing of equipment. </w:t>
      </w:r>
      <w:r>
        <w:rPr>
          <w:rFonts w:ascii="Times New Roman" w:hAnsi="Times New Roman"/>
          <w:b w:val="false"/>
          <w:i w:val="false"/>
          <w:color w:val="000000"/>
          <w:sz w:val="22"/>
        </w:rPr>
        <w:t>Where a lease includes a contract for the use of equipment, the rental or lease payments are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Training materials. </w:t>
      </w:r>
      <w:r>
        <w:rPr>
          <w:rFonts w:ascii="Times New Roman" w:hAnsi="Times New Roman"/>
          <w:b w:val="false"/>
          <w:i w:val="false"/>
          <w:color w:val="000000"/>
          <w:sz w:val="22"/>
        </w:rPr>
        <w:t>Persons who sell or lease data processing equipment may provide a number of training services with the sale or rental of their equipment. Training services, per se, are not subject to tax. Training materials, such as books, furnished to the trainees for a specific charge are 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Services a part of the sale or lease of equipment. </w:t>
      </w:r>
      <w:r>
        <w:rPr>
          <w:rFonts w:ascii="Times New Roman" w:hAnsi="Times New Roman"/>
          <w:b w:val="false"/>
          <w:i w:val="false"/>
          <w:color w:val="000000"/>
          <w:sz w:val="22"/>
        </w:rPr>
        <w:t>Where services, such as programming, or training are provided to those who purchase or lease software on a mandatory basis as an inseparable part of the sale or taxable lease of the equipment, charges for the furnishing of the services are includable in the measure of tax from the sale or lease of the equipment whether or not the charges are separately stated. (Where the purchaser or lessee has the option to acquire the equipment either with the services or without the services, charges for the services may not be excluded from the measure of tax if they are taxable enumerated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Mailing services. </w:t>
      </w:r>
      <w:r>
        <w:rPr>
          <w:rFonts w:ascii="Times New Roman" w:hAnsi="Times New Roman"/>
          <w:b w:val="false"/>
          <w:i w:val="false"/>
          <w:color w:val="000000"/>
          <w:sz w:val="22"/>
        </w:rPr>
        <w:t>Addressing (including labels) for mailing. Where a service provider addresses, through the use of its software or otherwise, material to be mailed, with names and addresses furnished by the customer or maintained by the service provider for the customer, tax does not apply to the charge for addressing. Similarly, where the service provider prepares, through the use of its software or otherwise, labels to be affixed to material to be mailed, with names and addresses furnished by the customer or maintained by the service provider for the customer, tax does not apply to the charge for producing the labels, regardless of whether the service provider itself affixes the labels to the material to be mailed. However, tax would be due on any tangible personal property, such as labels, consumed by the service provider. Mailing lists that are attached to envelopes and placed in the mail by a service bureau constitute tangible personal property and are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701—285.10</w:t>
      </w:r>
      <w:r>
        <w:rPr>
          <w:rFonts w:ascii="Times New Roman" w:hAnsi="Times New Roman"/>
          <w:b/>
          <w:i w:val="false"/>
          <w:color w:val="000000"/>
          <w:sz w:val="22"/>
        </w:rPr>
        <w:t xml:space="preserve">(423) </w:t>
      </w:r>
      <w:r>
        <w:rPr>
          <w:rFonts w:ascii="Times New Roman" w:hAnsi="Times New Roman"/>
          <w:b/>
          <w:i w:val="false"/>
          <w:color w:val="000000"/>
          <w:sz w:val="22"/>
        </w:rPr>
        <w:t xml:space="preserve">Envelopes for advertising. </w:t>
      </w:r>
      <w:r>
        <w:rPr>
          <w:rFonts w:ascii="Times New Roman" w:hAnsi="Times New Roman"/>
          <w:b w:val="false"/>
          <w:i w:val="false"/>
          <w:color w:val="000000"/>
          <w:sz w:val="22"/>
        </w:rPr>
        <w:t>Some envelopes that contain advertising are exempt from tax. Envelopes that are not primarily used for advertising are taxable. The primary use of the envelopes should control whether they will be taxable or exempt.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XYZ mails coupons and advertisements to persons giving discounts on a certain item that is sold at retail. The envelope used to package these materials is exempt from tax since it is primarily used to contain advertising materials.</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XYZ mails a monthly billing statement to its charge account customers. In addition to the billing statement, XYZ encloses an advertisement in the envelope. The envelope has a dual purpose: (1) the collection of accounts receivable and (2) the distribution of advertising. However, the envelope is not primarily used for advertising but for billing the customer, therefore, the exemption does not apply.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423.3(42)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701—285.11</w:t>
      </w:r>
      <w:r>
        <w:rPr>
          <w:rFonts w:ascii="Times New Roman" w:hAnsi="Times New Roman"/>
          <w:b/>
          <w:i w:val="false"/>
          <w:color w:val="000000"/>
          <w:sz w:val="22"/>
        </w:rPr>
        <w:t xml:space="preserve">(423) </w:t>
      </w:r>
      <w:r>
        <w:rPr>
          <w:rFonts w:ascii="Times New Roman" w:hAnsi="Times New Roman"/>
          <w:b/>
          <w:i w:val="false"/>
          <w:color w:val="000000"/>
          <w:sz w:val="22"/>
        </w:rPr>
        <w:t xml:space="preserve">Newspapers, free newspapers and shoppers’ guides.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285.11(1)</w:t>
      </w:r>
      <w:r>
        <w:rPr>
          <w:rFonts w:ascii="Times New Roman" w:hAnsi="Times New Roman"/>
          <w:b w:val="false"/>
          <w:i w:val="false"/>
          <w:color w:val="000000"/>
          <w:sz w:val="22"/>
        </w:rPr>
        <w:t> </w:t>
      </w:r>
      <w:r>
        <w:rPr>
          <w:rFonts w:ascii="Times New Roman" w:hAnsi="Times New Roman"/>
          <w:b w:val="false"/>
          <w:i/>
          <w:color w:val="000000"/>
          <w:sz w:val="22"/>
        </w:rPr>
        <w:t xml:space="preserve">Sales price of newspapers. </w:t>
      </w:r>
      <w:r>
        <w:rPr>
          <w:rFonts w:ascii="Times New Roman" w:hAnsi="Times New Roman"/>
          <w:b w:val="false"/>
          <w:i w:val="false"/>
          <w:color w:val="000000"/>
          <w:sz w:val="22"/>
        </w:rPr>
        <w:t>The sales price from the sales of newspapers, free newspapers, and shoppers’ guides are exempt from tax. The sales price from the sales of magazines, newsletters, and other periodicals that are not newspapers are taxable.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285.11(2)</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of a newspaper. </w:t>
      </w:r>
      <w:r>
        <w:rPr>
          <w:rFonts w:ascii="Times New Roman" w:hAnsi="Times New Roman"/>
          <w:b w:val="false"/>
          <w:i w:val="false"/>
          <w:color w:val="000000"/>
          <w:sz w:val="22"/>
        </w:rPr>
        <w:t>“Newspaper” is a term with a common definition. A “newspaper” is a periodical, published at short, stated, and regular intervals, usually daily or weekly. It is printed on newsprint with news ink. The format of a newspaper is that of sheets folded loosely together without stapling. A newspaper is admitted to the U.S. mails as second-class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285.11(3)</w:t>
      </w:r>
      <w:r>
        <w:rPr>
          <w:rFonts w:ascii="Times New Roman" w:hAnsi="Times New Roman"/>
          <w:b w:val="false"/>
          <w:i w:val="false"/>
          <w:color w:val="000000"/>
          <w:sz w:val="22"/>
        </w:rPr>
        <w:t> </w:t>
      </w:r>
      <w:r>
        <w:rPr>
          <w:rFonts w:ascii="Times New Roman" w:hAnsi="Times New Roman"/>
          <w:b w:val="false"/>
          <w:i/>
          <w:color w:val="000000"/>
          <w:sz w:val="22"/>
        </w:rPr>
        <w:t xml:space="preserve">Characteristics of newspaper publishing companies. </w:t>
      </w:r>
      <w:r>
        <w:rPr>
          <w:rFonts w:ascii="Times New Roman" w:hAnsi="Times New Roman"/>
          <w:b w:val="false"/>
          <w:i w:val="false"/>
          <w:color w:val="000000"/>
          <w:sz w:val="22"/>
        </w:rPr>
        <w:t>Companies in the business of publishing newspapers are differently structured from other companies. Often, companies publishing larger newspapers will subscribe to various syndicates or “wire services.” A larger newspaper will employ a general editor and a number of subordinate editors as well, for example, sports and lifestyle editors; business, local, agricultural, national, and world news editors; and editorial page editors. A larger newspaper will also employ a variety of reporters and staff writers. Smaller newspapers may or may not have these characteristics or may consolidate these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285.11(4)</w:t>
      </w:r>
      <w:r>
        <w:rPr>
          <w:rFonts w:ascii="Times New Roman" w:hAnsi="Times New Roman"/>
          <w:b w:val="false"/>
          <w:i w:val="false"/>
          <w:color w:val="000000"/>
          <w:sz w:val="22"/>
        </w:rPr>
        <w:t> </w:t>
      </w:r>
      <w:r>
        <w:rPr>
          <w:rFonts w:ascii="Times New Roman" w:hAnsi="Times New Roman"/>
          <w:b w:val="false"/>
          <w:i/>
          <w:color w:val="000000"/>
          <w:sz w:val="22"/>
        </w:rPr>
        <w:t xml:space="preserve">Characteristics that distinguish a newsletter from a newspaper. </w:t>
      </w:r>
      <w:r>
        <w:rPr>
          <w:rFonts w:ascii="Times New Roman" w:hAnsi="Times New Roman"/>
          <w:b w:val="false"/>
          <w:i w:val="false"/>
          <w:color w:val="000000"/>
          <w:sz w:val="22"/>
        </w:rPr>
        <w:t>A “newsletter” is generally distributed to members or employees of a single organization and not usually to a large cross section of the general public. It is often published at irregular intervals by a volunteer, rather than the paid individual who usually publishes a newspaper. A newsletter is often printed on sheets that are held together at one point only by a staple, rather than folded together.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423.3(55)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701—285.12</w:t>
      </w:r>
      <w:r>
        <w:rPr>
          <w:rFonts w:ascii="Times New Roman" w:hAnsi="Times New Roman"/>
          <w:b/>
          <w:i w:val="false"/>
          <w:color w:val="000000"/>
          <w:sz w:val="22"/>
        </w:rPr>
        <w:t xml:space="preserve">(423) </w:t>
      </w:r>
      <w:r>
        <w:rPr>
          <w:rFonts w:ascii="Times New Roman" w:hAnsi="Times New Roman"/>
          <w:b/>
          <w:i w:val="false"/>
          <w:color w:val="000000"/>
          <w:sz w:val="22"/>
        </w:rPr>
        <w:t xml:space="preserve">Maintenance or repair of fabric or clothing.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285.12(1)</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chemicals, solvents, sorbents, or reagents consumed in the maintenance or repair of fabric or clothing are exempt from tax. See rule </w:t>
      </w:r>
      <w:hyperlink r:id="rId36">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for definitions of the terms “chemical,” “solvent,” “sorbent” or “reagent.” This subrule’s exemption is mainly applicable to dry-cleaning and laundry establishments; however, it is also applicable to soap or any chemical or solvent used to clean carpeting. The department presumes that a substance is “directly used” in the maintenance or repair of fabric or clothing if the substance comes in contact with the fabric or clothing during the maintenance or repair process. Substances that do not come into direct contact with fabric or clothing may, under appropriate circumstances, be directly used in the maintenance or repair of the fabric or clothing but direct use will not be presumed.</w:t>
      </w:r>
    </w:p>
    <w:p>
      <w:pPr>
        <w:spacing w:before="0" w:after="0"/>
        <w:ind w:left="120"/>
        <w:jc w:val="both"/>
      </w:pPr>
      <w:r>
        <w:rPr>
          <w:rFonts w:ascii="Times New Roman" w:hAnsi="Times New Roman"/>
          <w:b w:val="false"/>
          <w:i w:val="false"/>
          <w:color w:val="000000"/>
          <w:sz w:val="22"/>
        </w:rPr>
        <w:t>The following are examples of substances directly used and consumed in the maintenance or repair of fabric or clothing: perchloroethylene “perch” or petroleum solvents used in dry-cleaning machines and coming in direct contact with the clothing being dry-cleaned. Substances used to clean or filter the “perch” or petroleum solvents would also be exempt from tax, even though these substances do not come in direct contact with the clothing being cleaned. The sale of soap or detergents especially made for mixing with “perch” or petroleum solvents is exempt. The sale of stain removers to dry cleaners is exempt from tax.</w:t>
      </w:r>
    </w:p>
    <w:p>
      <w:pPr>
        <w:spacing w:before="0" w:after="0"/>
        <w:ind w:left="120"/>
        <w:jc w:val="both"/>
      </w:pPr>
      <w:r>
        <w:rPr>
          <w:rFonts w:ascii="Times New Roman" w:hAnsi="Times New Roman"/>
          <w:b w:val="false"/>
          <w:i w:val="false"/>
          <w:color w:val="000000"/>
          <w:sz w:val="22"/>
        </w:rPr>
        <w:t>A commercial laundry’s purchase of detergents, bleaches, and fabric softeners is exempt from tax. A commercial laundry’s purchase of water, which is a solvent, is also exempt from tax if purchased for use in the cleaning of clothing.</w:t>
      </w:r>
    </w:p>
    <w:p>
      <w:pPr>
        <w:spacing w:before="0" w:after="0"/>
        <w:ind w:left="120"/>
        <w:jc w:val="both"/>
      </w:pPr>
      <w:r>
        <w:rPr>
          <w:rFonts w:ascii="Times New Roman" w:hAnsi="Times New Roman"/>
          <w:b w:val="false"/>
          <w:i w:val="false"/>
          <w:color w:val="000000"/>
          <w:sz w:val="22"/>
        </w:rPr>
        <w:t>The purchase of starch by laundries and “sizing” by dry cleaners is not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285.12(2)</w:t>
      </w:r>
      <w:r>
        <w:rPr>
          <w:rFonts w:ascii="Times New Roman" w:hAnsi="Times New Roman"/>
          <w:b w:val="false"/>
          <w:i w:val="false"/>
          <w:color w:val="000000"/>
          <w:sz w:val="22"/>
        </w:rPr>
        <w:t> </w:t>
      </w:r>
      <w:r>
        <w:rPr>
          <w:rFonts w:ascii="Times New Roman" w:hAnsi="Times New Roman"/>
          <w:b w:val="false"/>
          <w:i w:val="false"/>
          <w:color w:val="000000"/>
          <w:sz w:val="22"/>
        </w:rPr>
        <w:t>The sale of property that is a container, label, or similar article or receptacle for transfer in association with the maintenance or repair of fabric or clothing is exempt from tax. In general, the sale of any article that protects dry-cleaned or laundered clothing from dirt or helps the dry-cleaned or laundered clothing to maintain its proper shape or form in the same fashion as a container does would be exempt from tax under this subrule. By way of nonexclusive example, the sale of plastic garment bags, which protect clothing from dirt, is exempt from tax. The sale of “shirt boards” and garment hangers, both of which help clothing to maintain its proper shape, would also be exempt.</w:t>
      </w:r>
    </w:p>
    <w:p>
      <w:pPr>
        <w:spacing w:before="0" w:after="0"/>
        <w:ind w:left="120"/>
        <w:jc w:val="both"/>
      </w:pPr>
      <w:r>
        <w:rPr>
          <w:rFonts w:ascii="Times New Roman" w:hAnsi="Times New Roman"/>
          <w:b w:val="false"/>
          <w:i w:val="false"/>
          <w:color w:val="000000"/>
          <w:sz w:val="22"/>
        </w:rPr>
        <w:t>A container, label, or similar article’s sale is exempt from tax only if the item is transferred to the customer of a commercial laundry, dry cleaner, or other retailer. Thus, “bundle bags” and “Meese carts,” used to transfer or transport clothing within a dry-cleaning establishment, are not subject to the exemption because these bags and carts remain with the dry cleaner and are not transferred to a customer.</w:t>
      </w:r>
    </w:p>
    <w:p>
      <w:pPr>
        <w:spacing w:before="0" w:after="0"/>
        <w:ind w:left="120"/>
        <w:jc w:val="both"/>
      </w:pPr>
      <w:r>
        <w:rPr>
          <w:rFonts w:ascii="Times New Roman" w:hAnsi="Times New Roman"/>
          <w:b w:val="false"/>
          <w:i w:val="false"/>
          <w:color w:val="000000"/>
          <w:sz w:val="22"/>
        </w:rPr>
        <w:t>Concerning labels, the sale of which would be exempt from tax, these labels must be affixed to the dry-cleaned or laundered clothing and transferred to the customer of the dry-cleaning or laundering establishment. By way of nonexclusive example, the sale to dry cleaners of “special attention,” “invoice” and “sorry” tags would be exempt from tax.</w:t>
      </w:r>
    </w:p>
    <w:p>
      <w:pPr>
        <w:spacing w:before="0" w:after="0"/>
        <w:ind w:left="120"/>
        <w:jc w:val="both"/>
      </w:pPr>
      <w:r>
        <w:rPr>
          <w:rFonts w:ascii="Times New Roman" w:hAnsi="Times New Roman"/>
          <w:b w:val="false"/>
          <w:i w:val="false"/>
          <w:color w:val="000000"/>
          <w:sz w:val="22"/>
        </w:rPr>
        <w:t>The sale of safety pins and other types of clips used to hang skirts and other garments from hangers would not be exempt from tax. These items do not sufficiently resemble containers or labels to the extent that their sale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423.3(45)</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701—285.13</w:t>
      </w:r>
      <w:r>
        <w:rPr>
          <w:rFonts w:ascii="Times New Roman" w:hAnsi="Times New Roman"/>
          <w:b/>
          <w:i w:val="false"/>
          <w:color w:val="000000"/>
          <w:sz w:val="22"/>
        </w:rPr>
        <w:t xml:space="preserve">(423) </w:t>
      </w:r>
      <w:r>
        <w:rPr>
          <w:rFonts w:ascii="Times New Roman" w:hAnsi="Times New Roman"/>
          <w:b/>
          <w:i w:val="false"/>
          <w:color w:val="000000"/>
          <w:sz w:val="22"/>
        </w:rPr>
        <w:t xml:space="preserve">Drop shipment sales. </w:t>
      </w:r>
      <w:r>
        <w:rPr>
          <w:rFonts w:ascii="Times New Roman" w:hAnsi="Times New Roman"/>
          <w:b w:val="false"/>
          <w:i w:val="false"/>
          <w:color w:val="000000"/>
          <w:sz w:val="22"/>
        </w:rPr>
        <w:t>A “drop shipment” generally involves two transactions and three parties. The first party is a consumer located inside Iowa. The second party is a retailer located outside the state. The third party is a supplier who may be located inside or outside of Iowa. A drop shipment sale occurs when the consumer places an order for the purchase of tangible personal property with the out-of-state retailer. The retailer does not own the property ordered at the same time the consumer’s order is placed. The retailer then purchases the property from the supplier. The supplier ships the property directly to the consumer in Iowa. The supplier in a drop shipment sale is not required to collect sales or use tax from the consumer, even if the requisite nexus to require collection exists.</w:t>
      </w:r>
    </w:p>
    <w:p>
      <w:pPr>
        <w:spacing w:before="0" w:after="0"/>
        <w:ind w:left="120"/>
        <w:jc w:val="both"/>
      </w:pPr>
      <w:r>
        <w:rPr>
          <w:rFonts w:ascii="Times New Roman" w:hAnsi="Times New Roman"/>
          <w:b w:val="false"/>
          <w:i w:val="false"/>
          <w:color w:val="000000"/>
          <w:sz w:val="22"/>
        </w:rPr>
        <w:t>If delivery of goods under a contract for sale occurs outside of Iowa, sale of the goods occurs outside of Iowa. If delivery of the goods under the contract for sale occurs within Iowa, the sale occurs in Iowa. If the sale occurs in Iowa and the retailer possesses the requisite nexus to require it to collect Iowa sales tax, the retailer is obligated to collect Iowa sales tax upon the sales price from its sale of the goods to the consumer. If the sale occurs in Iowa but the retailer does not have nexus sufficient to require it to collect Iowa sales or use tax, or if the retailer fails to collect sales tax, the consumer is obligated to pay use tax directly to the department.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 consumer in Des Moines, Iowa, purchases goods from a retailer in Minneapolis, Minnesota. The Minneapolis retailer contracts with a supplier in Iowa to manufacture and ship the goods to the consumer. The retailer has nexus with Iowa, and delivery under the contract for sale has occurred in this state. In this case, the consumer is obligated to pay and the retailer is obligated to collect Iowa sales tax. The supplier is not obligated to collect any Iowa tax.</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A consumer in Des Moines, Iowa, purchases goods from a retailer in Minneapolis, Minnesota. The Minnesota retailer contracts with a supplier in Iowa to manufacture and ship the goods to the consumer. The retailer has no nexus with Iowa. Delivery under the contract of sale is in Iowa. Under these circumstances, the consumer is obligated to pay use tax directly to the department. Neither the retailer nor the supplier is obligated to collect any Iowa tax.</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A consumer in Des Moines, Iowa, purchases goods from a retailer in Minneapolis, Minnesota. The retailer contracts with a supplier in Minneapolis to manufacture and ship the goods to the consumer in Des Moines. The retailer has nexus with this state; delivery under the contract for sale is in Minnesota. Under the circumstances, the consumer is obligated to pay and the retailer is obligated to collect Iowa use tax. The supplier is not obligated to collect or pay any Iowa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423.14</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423.14A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1/9/76, Notice 12/1/75—published 1/26/76, effective 3/1/76]</w:t>
      </w:r>
    </w:p>
    <w:p>
      <w:pPr>
        <w:spacing w:before="0" w:after="0"/>
        <w:ind w:left="120"/>
        <w:jc w:val="center"/>
      </w:pPr>
      <w:r>
        <w:rPr>
          <w:rFonts w:ascii="Times New Roman" w:hAnsi="Times New Roman"/>
          <w:b w:val="false"/>
          <w:i w:val="false"/>
          <w:color w:val="000000"/>
          <w:sz w:val="21"/>
        </w:rPr>
        <w:t>[Filed 11/5/76, Notice 9/22/76—published 12/1/76, effective 1/5/77]</w:t>
      </w:r>
    </w:p>
    <w:p>
      <w:pPr>
        <w:spacing w:before="0" w:after="0"/>
        <w:ind w:left="120"/>
        <w:jc w:val="center"/>
      </w:pPr>
      <w:r>
        <w:rPr>
          <w:rFonts w:ascii="Times New Roman" w:hAnsi="Times New Roman"/>
          <w:b w:val="false"/>
          <w:i w:val="false"/>
          <w:color w:val="000000"/>
          <w:sz w:val="21"/>
        </w:rPr>
        <w:t>[Filed 9/2/77, Notice 6/15/77—published 9/21/77, effective 10/26/77]</w:t>
      </w:r>
    </w:p>
    <w:p>
      <w:pPr>
        <w:spacing w:before="0" w:after="0"/>
        <w:ind w:left="120"/>
        <w:jc w:val="center"/>
      </w:pPr>
      <w:r>
        <w:rPr>
          <w:rFonts w:ascii="Times New Roman" w:hAnsi="Times New Roman"/>
          <w:b w:val="false"/>
          <w:i w:val="false"/>
          <w:color w:val="000000"/>
          <w:sz w:val="21"/>
        </w:rPr>
        <w:t>[Filed effective date change 10/20/77—published 11/2/77, effective 10/20/77]</w:t>
      </w:r>
    </w:p>
    <w:p>
      <w:pPr>
        <w:spacing w:before="0" w:after="0"/>
        <w:ind w:left="120"/>
        <w:jc w:val="center"/>
      </w:pPr>
      <w:r>
        <w:rPr>
          <w:rFonts w:ascii="Times New Roman" w:hAnsi="Times New Roman"/>
          <w:b w:val="false"/>
          <w:i w:val="false"/>
          <w:color w:val="000000"/>
          <w:sz w:val="21"/>
        </w:rPr>
        <w:t>[Filed 4/28/78, Notice 3/22/78—published 5/17/78, effective 7/1/78]</w:t>
      </w:r>
    </w:p>
    <w:p>
      <w:pPr>
        <w:spacing w:before="0" w:after="0"/>
        <w:ind w:left="120"/>
        <w:jc w:val="center"/>
      </w:pPr>
      <w:r>
        <w:rPr>
          <w:rFonts w:ascii="Times New Roman" w:hAnsi="Times New Roman"/>
          <w:b w:val="false"/>
          <w:i w:val="false"/>
          <w:color w:val="000000"/>
          <w:sz w:val="21"/>
        </w:rPr>
        <w:t>[Filed 1/5/79, Notice 11/29/78—published 1/24/79, effective 2/28/79]</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3/20/79, Notice 1/10/79—published 4/4/79, effective 5/9/79]</w:t>
      </w:r>
    </w:p>
    <w:p>
      <w:pPr>
        <w:spacing w:before="0" w:after="0"/>
        <w:ind w:left="120"/>
        <w:jc w:val="center"/>
      </w:pPr>
      <w:r>
        <w:rPr>
          <w:rFonts w:ascii="Times New Roman" w:hAnsi="Times New Roman"/>
          <w:b w:val="false"/>
          <w:i w:val="false"/>
          <w:color w:val="000000"/>
          <w:sz w:val="21"/>
        </w:rPr>
        <w:t>[Filed 1/18/80, Notice 12/12/79—published 2/6/80, effective 3/12/80]</w:t>
      </w:r>
    </w:p>
    <w:p>
      <w:pPr>
        <w:spacing w:before="0" w:after="0"/>
        <w:ind w:left="120"/>
        <w:jc w:val="center"/>
      </w:pPr>
      <w:r>
        <w:rPr>
          <w:rFonts w:ascii="Times New Roman" w:hAnsi="Times New Roman"/>
          <w:b w:val="false"/>
          <w:i w:val="false"/>
          <w:color w:val="000000"/>
          <w:sz w:val="21"/>
        </w:rPr>
        <w:t>[Filed 3/28/80, Notice 2/20/80—published 4/16/80, effective 5/21/80]</w:t>
      </w:r>
    </w:p>
    <w:p>
      <w:pPr>
        <w:spacing w:before="0" w:after="0"/>
        <w:ind w:left="120"/>
        <w:jc w:val="center"/>
      </w:pPr>
      <w:r>
        <w:rPr>
          <w:rFonts w:ascii="Times New Roman" w:hAnsi="Times New Roman"/>
          <w:b w:val="false"/>
          <w:i w:val="false"/>
          <w:color w:val="000000"/>
          <w:sz w:val="21"/>
        </w:rPr>
        <w:t>[Filed 5/23/80, Notice 4/16/80—published 6/11/80, effective 7/16/80]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8/1/80, Notice 6/25/80—published 8/20/80, effective 9/24/80]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21"/>
        </w:rPr>
        <w:t>[Filed 6/5/81, Notice 4/29/81—published 6/24/81, effective 7/29/81]</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3/25/82, Notice 2/17/82—published 4/14/82, effective 5/19/82]</w:t>
      </w:r>
    </w:p>
    <w:p>
      <w:pPr>
        <w:spacing w:before="0" w:after="0"/>
        <w:ind w:left="120"/>
        <w:jc w:val="center"/>
      </w:pPr>
      <w:r>
        <w:rPr>
          <w:rFonts w:ascii="Times New Roman" w:hAnsi="Times New Roman"/>
          <w:b w:val="false"/>
          <w:i w:val="false"/>
          <w:color w:val="000000"/>
          <w:sz w:val="21"/>
        </w:rPr>
        <w:t>[Filed emergency 2/9/83—published 3/2/83, effective 3/1/83]</w:t>
      </w:r>
    </w:p>
    <w:p>
      <w:pPr>
        <w:spacing w:before="0" w:after="0"/>
        <w:ind w:left="120"/>
        <w:jc w:val="center"/>
      </w:pPr>
      <w:r>
        <w:rPr>
          <w:rFonts w:ascii="Times New Roman" w:hAnsi="Times New Roman"/>
          <w:b w:val="false"/>
          <w:i w:val="false"/>
          <w:color w:val="000000"/>
          <w:sz w:val="21"/>
        </w:rPr>
        <w:t>[Filed 4/22/83, Notices 3/2/83, 3/16/83—published 5/11/83, effective 6/15/83]</w:t>
      </w:r>
    </w:p>
    <w:p>
      <w:pPr>
        <w:spacing w:before="0" w:after="0"/>
        <w:ind w:left="120"/>
        <w:jc w:val="center"/>
      </w:pPr>
      <w:r>
        <w:rPr>
          <w:rFonts w:ascii="Times New Roman" w:hAnsi="Times New Roman"/>
          <w:b w:val="false"/>
          <w:i w:val="false"/>
          <w:color w:val="000000"/>
          <w:sz w:val="21"/>
        </w:rPr>
        <w:t>[Filed emergency 7/29/83—published 8/17/83, effective 7/29/83]</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11/30/84, Notice 7/18/84—published 12/19/84, effective 1/23/85]</w:t>
      </w:r>
    </w:p>
    <w:p>
      <w:pPr>
        <w:spacing w:before="0" w:after="0"/>
        <w:ind w:left="120"/>
        <w:jc w:val="center"/>
      </w:pPr>
      <w:r>
        <w:rPr>
          <w:rFonts w:ascii="Times New Roman" w:hAnsi="Times New Roman"/>
          <w:b w:val="false"/>
          <w:i w:val="false"/>
          <w:color w:val="000000"/>
          <w:sz w:val="21"/>
        </w:rPr>
        <w:t>[Filed 12/14/84, Notice 9/26/84—published 1/2/85, effective 2/6/85]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10/18/85, Notice 9/11/85—published 11/6/85, effective 12/11/85]</w:t>
      </w:r>
    </w:p>
    <w:p>
      <w:pPr>
        <w:spacing w:before="0" w:after="0"/>
        <w:ind w:left="120"/>
        <w:jc w:val="center"/>
      </w:pPr>
      <w:r>
        <w:rPr>
          <w:rFonts w:ascii="Times New Roman" w:hAnsi="Times New Roman"/>
          <w:b w:val="false"/>
          <w:i w:val="false"/>
          <w:color w:val="000000"/>
          <w:sz w:val="21"/>
        </w:rPr>
        <w:t>[Filed 12/13/85, Notice 11/6/85—published 1/1/86, effective 2/5/86]</w:t>
      </w:r>
    </w:p>
    <w:p>
      <w:pPr>
        <w:spacing w:before="0" w:after="0"/>
        <w:ind w:left="120"/>
        <w:jc w:val="center"/>
      </w:pPr>
      <w:r>
        <w:rPr>
          <w:rFonts w:ascii="Times New Roman" w:hAnsi="Times New Roman"/>
          <w:b w:val="false"/>
          <w:i w:val="false"/>
          <w:color w:val="000000"/>
          <w:sz w:val="21"/>
        </w:rPr>
        <w:t>[Filed 1/10/86, Notice 9/11/85—published 1/29/86, effective 3/5/86]</w:t>
      </w:r>
    </w:p>
    <w:p>
      <w:pPr>
        <w:spacing w:before="0" w:after="0"/>
        <w:ind w:left="120"/>
        <w:jc w:val="center"/>
      </w:pPr>
      <w:r>
        <w:rPr>
          <w:rFonts w:ascii="Times New Roman" w:hAnsi="Times New Roman"/>
          <w:b w:val="false"/>
          <w:i w:val="false"/>
          <w:color w:val="000000"/>
          <w:sz w:val="21"/>
        </w:rPr>
        <w:t>[Filed 3/21/86, Notice 2/12/86—published 4/9/86, effective 5/14/86]</w:t>
      </w:r>
    </w:p>
    <w:p>
      <w:pPr>
        <w:spacing w:before="0" w:after="0"/>
        <w:ind w:left="120"/>
        <w:jc w:val="center"/>
      </w:pPr>
      <w:r>
        <w:rPr>
          <w:rFonts w:ascii="Times New Roman" w:hAnsi="Times New Roman"/>
          <w:b w:val="false"/>
          <w:i w:val="false"/>
          <w:color w:val="000000"/>
          <w:sz w:val="21"/>
        </w:rPr>
        <w:t>[Filed 3/21/86, Notice 9/11/85—published 4/9/86, effective 5/14/86]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10/31/86, Notice 9/24/86—published 11/19/86, effective 12/24/86]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12/29/86, Notice 11/19/86—published 1/14/87, effective 2/18/87]</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10/30/87, Notice 9/23/87—published 11/18/87, effective 12/23/87]</w:t>
      </w:r>
    </w:p>
    <w:p>
      <w:pPr>
        <w:spacing w:before="0" w:after="0"/>
        <w:ind w:left="120"/>
        <w:jc w:val="center"/>
      </w:pPr>
      <w:r>
        <w:rPr>
          <w:rFonts w:ascii="Times New Roman" w:hAnsi="Times New Roman"/>
          <w:b w:val="false"/>
          <w:i w:val="false"/>
          <w:color w:val="000000"/>
          <w:sz w:val="21"/>
        </w:rPr>
        <w:t>[Filed 12/23/87, Notice 10/7/87—published 1/13/88, effective 2/17/88]</w:t>
      </w:r>
    </w:p>
    <w:p>
      <w:pPr>
        <w:spacing w:before="0" w:after="0"/>
        <w:ind w:left="120"/>
        <w:jc w:val="center"/>
      </w:pPr>
      <w:r>
        <w:rPr>
          <w:rFonts w:ascii="Times New Roman" w:hAnsi="Times New Roman"/>
          <w:b w:val="false"/>
          <w:i w:val="false"/>
          <w:color w:val="000000"/>
          <w:sz w:val="21"/>
        </w:rPr>
        <w:t>[Filed 1/7/88, Notice 12/2/87—published 1/27/88, effective 3/2/88]</w:t>
      </w:r>
    </w:p>
    <w:p>
      <w:pPr>
        <w:spacing w:before="0" w:after="0"/>
        <w:ind w:left="120"/>
        <w:jc w:val="center"/>
      </w:pPr>
      <w:r>
        <w:rPr>
          <w:rFonts w:ascii="Times New Roman" w:hAnsi="Times New Roman"/>
          <w:b w:val="false"/>
          <w:i w:val="false"/>
          <w:color w:val="000000"/>
          <w:sz w:val="21"/>
        </w:rPr>
        <w:t>[Filed 2/5/88, Notice 10/21/87—published 2/24/88, effective 3/30/88]</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10/14/88, Notice 9/7/88—published 11/2/88, effective 12/7/88]</w:t>
      </w:r>
    </w:p>
    <w:p>
      <w:pPr>
        <w:spacing w:before="0" w:after="0"/>
        <w:ind w:left="120"/>
        <w:jc w:val="center"/>
      </w:pPr>
      <w:r>
        <w:rPr>
          <w:rFonts w:ascii="Times New Roman" w:hAnsi="Times New Roman"/>
          <w:b w:val="false"/>
          <w:i w:val="false"/>
          <w:color w:val="000000"/>
          <w:sz w:val="21"/>
        </w:rPr>
        <w:t>[Filed emergency 12/23/88—published 1/11/89, effective 1/2/89]</w:t>
      </w:r>
    </w:p>
    <w:p>
      <w:pPr>
        <w:spacing w:before="0" w:after="0"/>
        <w:ind w:left="120"/>
        <w:jc w:val="center"/>
      </w:pPr>
      <w:r>
        <w:rPr>
          <w:rFonts w:ascii="Times New Roman" w:hAnsi="Times New Roman"/>
          <w:b w:val="false"/>
          <w:i w:val="false"/>
          <w:color w:val="000000"/>
          <w:sz w:val="21"/>
        </w:rPr>
        <w:t>[Filed 3/3/89, Notice 1/25/89—published 3/22/89, effective 4/26/89]</w:t>
      </w:r>
    </w:p>
    <w:p>
      <w:pPr>
        <w:spacing w:before="0" w:after="0"/>
        <w:ind w:left="120"/>
        <w:jc w:val="center"/>
      </w:pPr>
      <w:r>
        <w:rPr>
          <w:rFonts w:ascii="Times New Roman" w:hAnsi="Times New Roman"/>
          <w:b w:val="false"/>
          <w:i w:val="false"/>
          <w:color w:val="000000"/>
          <w:sz w:val="21"/>
        </w:rPr>
        <w:t>[Filed 3/31/89, Notice 2/22/89—published 4/19/89, effective 5/24/89]</w:t>
      </w:r>
    </w:p>
    <w:p>
      <w:pPr>
        <w:spacing w:before="0" w:after="0"/>
        <w:ind w:left="120"/>
        <w:jc w:val="center"/>
      </w:pPr>
      <w:r>
        <w:rPr>
          <w:rFonts w:ascii="Times New Roman" w:hAnsi="Times New Roman"/>
          <w:b w:val="false"/>
          <w:i w:val="false"/>
          <w:color w:val="000000"/>
          <w:sz w:val="21"/>
        </w:rPr>
        <w:t>[Filed 8/16/89, Notice 7/12/89—published 9/6/89, effective 10/11/89]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10/26/89, Notice 9/20/89—published 11/15/89, effective 12/20/89]</w:t>
      </w:r>
    </w:p>
    <w:p>
      <w:pPr>
        <w:spacing w:before="0" w:after="0"/>
        <w:ind w:left="120"/>
        <w:jc w:val="center"/>
      </w:pPr>
      <w:r>
        <w:rPr>
          <w:rFonts w:ascii="Times New Roman" w:hAnsi="Times New Roman"/>
          <w:b w:val="false"/>
          <w:i w:val="false"/>
          <w:color w:val="000000"/>
          <w:sz w:val="21"/>
        </w:rPr>
        <w:t>[Filed 11/22/89, Notice 10/18/89—published 12/13/89, effective 1/17/90]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1/5/90, Notice 11/29/89—published 1/24/90, effective 2/28/90]</w:t>
      </w:r>
    </w:p>
    <w:p>
      <w:pPr>
        <w:spacing w:before="0" w:after="0"/>
        <w:ind w:left="120"/>
        <w:jc w:val="center"/>
      </w:pPr>
      <w:r>
        <w:rPr>
          <w:rFonts w:ascii="Times New Roman" w:hAnsi="Times New Roman"/>
          <w:b w:val="false"/>
          <w:i w:val="false"/>
          <w:color w:val="000000"/>
          <w:sz w:val="21"/>
        </w:rPr>
        <w:t>[Filed 4/26/90, Notice 3/21/90—published 5/16/90, effective 6/20/90]</w:t>
      </w:r>
    </w:p>
    <w:p>
      <w:pPr>
        <w:spacing w:before="0" w:after="0"/>
        <w:ind w:left="120"/>
        <w:jc w:val="center"/>
      </w:pPr>
      <w:r>
        <w:rPr>
          <w:rFonts w:ascii="Times New Roman" w:hAnsi="Times New Roman"/>
          <w:b w:val="false"/>
          <w:i w:val="false"/>
          <w:color w:val="000000"/>
          <w:sz w:val="21"/>
        </w:rPr>
        <w:t>[Filed 8/30/90, Notice 7/25/90—published 9/19/90, effective 10/24/90]</w:t>
      </w:r>
    </w:p>
    <w:p>
      <w:pPr>
        <w:spacing w:before="0" w:after="0"/>
        <w:ind w:left="120"/>
        <w:jc w:val="center"/>
      </w:pPr>
      <w:r>
        <w:rPr>
          <w:rFonts w:ascii="Times New Roman" w:hAnsi="Times New Roman"/>
          <w:b w:val="false"/>
          <w:i w:val="false"/>
          <w:color w:val="000000"/>
          <w:sz w:val="21"/>
        </w:rPr>
        <w:t>[Filed 9/28/90, Notice 8/22/90—published 10/17/90, effective 11/21/90]</w:t>
      </w:r>
    </w:p>
    <w:p>
      <w:pPr>
        <w:spacing w:before="0" w:after="0"/>
        <w:ind w:left="120"/>
        <w:jc w:val="center"/>
      </w:pPr>
      <w:r>
        <w:rPr>
          <w:rFonts w:ascii="Times New Roman" w:hAnsi="Times New Roman"/>
          <w:b w:val="false"/>
          <w:i w:val="false"/>
          <w:color w:val="000000"/>
          <w:sz w:val="21"/>
        </w:rPr>
        <w:t>[Filed 7/5/91, Notice 5/29/91—published 7/24/91, effective 8/28/91]</w:t>
      </w:r>
    </w:p>
    <w:p>
      <w:pPr>
        <w:spacing w:before="0" w:after="0"/>
        <w:ind w:left="120"/>
        <w:jc w:val="center"/>
      </w:pPr>
      <w:r>
        <w:rPr>
          <w:rFonts w:ascii="Times New Roman" w:hAnsi="Times New Roman"/>
          <w:b w:val="false"/>
          <w:i w:val="false"/>
          <w:color w:val="000000"/>
          <w:sz w:val="21"/>
        </w:rPr>
        <w:t>[Filed 10/11/91, Notice 9/4/91—published 10/30/91, effective 12/4/91]</w:t>
      </w:r>
    </w:p>
    <w:p>
      <w:pPr>
        <w:spacing w:before="0" w:after="0"/>
        <w:ind w:left="120"/>
        <w:jc w:val="center"/>
      </w:pPr>
      <w:r>
        <w:rPr>
          <w:rFonts w:ascii="Times New Roman" w:hAnsi="Times New Roman"/>
          <w:b w:val="false"/>
          <w:i w:val="false"/>
          <w:color w:val="000000"/>
          <w:sz w:val="21"/>
        </w:rPr>
        <w:t>[Filed 3/13/92, Notice 2/5/92—published 4/1/92, effective 5/6/92]</w:t>
      </w:r>
    </w:p>
    <w:p>
      <w:pPr>
        <w:spacing w:before="0" w:after="0"/>
        <w:ind w:left="120"/>
        <w:jc w:val="center"/>
      </w:pPr>
      <w:r>
        <w:rPr>
          <w:rFonts w:ascii="Times New Roman" w:hAnsi="Times New Roman"/>
          <w:b w:val="false"/>
          <w:i w:val="false"/>
          <w:color w:val="000000"/>
          <w:sz w:val="21"/>
        </w:rPr>
        <w:t>[Filed emergency 3/26/92—published 4/15/92, effective 4/1/92]</w:t>
      </w:r>
    </w:p>
    <w:p>
      <w:pPr>
        <w:spacing w:before="0" w:after="0"/>
        <w:ind w:left="120"/>
        <w:jc w:val="center"/>
      </w:pPr>
      <w:r>
        <w:rPr>
          <w:rFonts w:ascii="Times New Roman" w:hAnsi="Times New Roman"/>
          <w:b w:val="false"/>
          <w:i w:val="false"/>
          <w:color w:val="000000"/>
          <w:sz w:val="21"/>
        </w:rPr>
        <w:t>[Filed 6/5/92, Notice 4/15/92—published 6/24/92, effective 7/29/92]</w:t>
      </w:r>
    </w:p>
    <w:p>
      <w:pPr>
        <w:spacing w:before="0" w:after="0"/>
        <w:ind w:left="120"/>
        <w:jc w:val="center"/>
      </w:pPr>
      <w:r>
        <w:rPr>
          <w:rFonts w:ascii="Times New Roman" w:hAnsi="Times New Roman"/>
          <w:b w:val="false"/>
          <w:i w:val="false"/>
          <w:color w:val="000000"/>
          <w:sz w:val="21"/>
        </w:rPr>
        <w:t>[Filed 9/23/92, Notice 8/19/92—published 10/14/92, effective 11/18/92]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10/8/93, Notice 9/1/93—published 10/27/93, effective 12/1/93]</w:t>
      </w:r>
    </w:p>
    <w:p>
      <w:pPr>
        <w:spacing w:before="0" w:after="0"/>
        <w:ind w:left="120"/>
        <w:jc w:val="center"/>
      </w:pPr>
      <w:r>
        <w:rPr>
          <w:rFonts w:ascii="Times New Roman" w:hAnsi="Times New Roman"/>
          <w:b w:val="false"/>
          <w:i w:val="false"/>
          <w:color w:val="000000"/>
          <w:sz w:val="21"/>
        </w:rPr>
        <w:t>[Filed 12/30/94, Notice 11/23/94—published 1/18/95, effective 2/22/95]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2/9/96, Notice 1/3/96—published 2/28/96, effective 4/3/96]</w:t>
      </w:r>
    </w:p>
    <w:p>
      <w:pPr>
        <w:spacing w:before="0" w:after="0"/>
        <w:ind w:left="120"/>
        <w:jc w:val="center"/>
      </w:pPr>
      <w:r>
        <w:rPr>
          <w:rFonts w:ascii="Times New Roman" w:hAnsi="Times New Roman"/>
          <w:b w:val="false"/>
          <w:i w:val="false"/>
          <w:color w:val="000000"/>
          <w:sz w:val="21"/>
        </w:rPr>
        <w:t>[Filed 5/16/96, Notice 4/10/96—published 6/5/96, effective 7/10/96]</w:t>
      </w:r>
    </w:p>
    <w:p>
      <w:pPr>
        <w:spacing w:before="0" w:after="0"/>
        <w:ind w:left="120"/>
        <w:jc w:val="center"/>
      </w:pPr>
      <w:r>
        <w:rPr>
          <w:rFonts w:ascii="Times New Roman" w:hAnsi="Times New Roman"/>
          <w:b w:val="false"/>
          <w:i w:val="false"/>
          <w:color w:val="000000"/>
          <w:sz w:val="21"/>
        </w:rPr>
        <w:t>[Filed 10/31/96, Notice 9/25/96—published 11/20/96, effective 12/25/96]</w:t>
      </w:r>
    </w:p>
    <w:p>
      <w:pPr>
        <w:spacing w:before="0" w:after="0"/>
        <w:ind w:left="120"/>
        <w:jc w:val="center"/>
      </w:pPr>
      <w:r>
        <w:rPr>
          <w:rFonts w:ascii="Times New Roman" w:hAnsi="Times New Roman"/>
          <w:b w:val="false"/>
          <w:i w:val="false"/>
          <w:color w:val="000000"/>
          <w:sz w:val="21"/>
        </w:rPr>
        <w:t>[Filed 12/19/96, Notices 10/9/96, 11/20/96—published 1/15/97, effective 2/19/97]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4/17/98, Notice 12/3/97—published 5/6/98, effective 6/10/98]</w:t>
      </w:r>
    </w:p>
    <w:p>
      <w:pPr>
        <w:spacing w:before="0" w:after="0"/>
        <w:ind w:left="120"/>
        <w:jc w:val="center"/>
      </w:pPr>
      <w:r>
        <w:rPr>
          <w:rFonts w:ascii="Times New Roman" w:hAnsi="Times New Roman"/>
          <w:b w:val="false"/>
          <w:i w:val="false"/>
          <w:color w:val="000000"/>
          <w:sz w:val="21"/>
        </w:rPr>
        <w:t>[Filed 10/15/98, Notice 9/9/98—published 11/4/98, effective 12/9/98]</w:t>
      </w:r>
    </w:p>
    <w:p>
      <w:pPr>
        <w:spacing w:before="0" w:after="0"/>
        <w:ind w:left="120"/>
        <w:jc w:val="center"/>
      </w:pPr>
      <w:r>
        <w:rPr>
          <w:rFonts w:ascii="Times New Roman" w:hAnsi="Times New Roman"/>
          <w:b w:val="false"/>
          <w:i w:val="false"/>
          <w:color w:val="000000"/>
          <w:sz w:val="21"/>
        </w:rPr>
        <w:t>[Filed 3/19/99, Notice 2/10/99—published 4/7/99, effective 5/12/99]</w:t>
      </w:r>
    </w:p>
    <w:p>
      <w:pPr>
        <w:spacing w:before="0" w:after="0"/>
        <w:ind w:left="120"/>
        <w:jc w:val="center"/>
      </w:pPr>
      <w:r>
        <w:rPr>
          <w:rFonts w:ascii="Times New Roman" w:hAnsi="Times New Roman"/>
          <w:b w:val="false"/>
          <w:i w:val="false"/>
          <w:color w:val="000000"/>
          <w:sz w:val="21"/>
        </w:rPr>
        <w:t>[Filed emergency 6/22/99—published 7/14/99, effective 7/1/99]</w:t>
      </w:r>
    </w:p>
    <w:p>
      <w:pPr>
        <w:spacing w:before="0" w:after="0"/>
        <w:ind w:left="120"/>
        <w:jc w:val="center"/>
      </w:pPr>
      <w:r>
        <w:rPr>
          <w:rFonts w:ascii="Times New Roman" w:hAnsi="Times New Roman"/>
          <w:b w:val="false"/>
          <w:i w:val="false"/>
          <w:color w:val="000000"/>
          <w:sz w:val="21"/>
        </w:rPr>
        <w:t>[Filed 7/9/99, Notice 6/2/99—published 7/28/99, effective 9/1/99]</w:t>
      </w:r>
    </w:p>
    <w:p>
      <w:pPr>
        <w:spacing w:before="0" w:after="0"/>
        <w:ind w:left="120"/>
        <w:jc w:val="center"/>
      </w:pPr>
      <w:r>
        <w:rPr>
          <w:rFonts w:ascii="Times New Roman" w:hAnsi="Times New Roman"/>
          <w:b w:val="false"/>
          <w:i w:val="false"/>
          <w:color w:val="000000"/>
          <w:sz w:val="21"/>
        </w:rPr>
        <w:t>[Filed 12/10/99, Notice 11/3/99—published 12/29/99, effective 2/2/00]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10/27/00, Notice 9/20/00—published 11/15/00, effective 12/20/00]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12/22/00, Notice 11/15/00—published 1/10/01, effective 2/14/01]</w:t>
      </w:r>
    </w:p>
    <w:p>
      <w:pPr>
        <w:spacing w:before="0" w:after="0"/>
        <w:ind w:left="120"/>
        <w:jc w:val="center"/>
      </w:pPr>
      <w:r>
        <w:rPr>
          <w:rFonts w:ascii="Times New Roman" w:hAnsi="Times New Roman"/>
          <w:b w:val="false"/>
          <w:i w:val="false"/>
          <w:color w:val="000000"/>
          <w:sz w:val="21"/>
        </w:rPr>
        <w:t>[Filed 10/26/01, Notice 9/19/01—published 11/14/01, effective 12/19/01]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1/18/02, Notice 12/12/01—published 2/6/02, effective 3/13/02]</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8021B</w:t>
      </w:r>
      <w:r>
        <w:rPr>
          <w:rFonts w:ascii="Times New Roman" w:hAnsi="Times New Roman"/>
          <w:b w:val="false"/>
          <w:i w:val="false"/>
          <w:color w:val="000000"/>
          <w:sz w:val="21"/>
        </w:rPr>
        <w:t xml:space="preserve"> (Notice ARC 7832B,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9814B</w:t>
      </w:r>
      <w:r>
        <w:rPr>
          <w:rFonts w:ascii="Times New Roman" w:hAnsi="Times New Roman"/>
          <w:b w:val="false"/>
          <w:i w:val="false"/>
          <w:color w:val="000000"/>
          <w:sz w:val="21"/>
        </w:rPr>
        <w:t xml:space="preserve"> (Notice ARC 9675B, IAB 8/10/11)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2349C</w:t>
      </w:r>
      <w:r>
        <w:rPr>
          <w:rFonts w:ascii="Times New Roman" w:hAnsi="Times New Roman"/>
          <w:b w:val="false"/>
          <w:i w:val="false"/>
          <w:color w:val="000000"/>
          <w:sz w:val="21"/>
        </w:rPr>
        <w:t xml:space="preserve"> (Amended Notice ARC 2239C, IAB 11/11/15; </w:t>
      </w:r>
      <w:r>
        <w:rPr>
          <w:rFonts w:ascii="Times New Roman" w:hAnsi="Times New Roman"/>
          <w:b w:val="false"/>
          <w:i w:val="false"/>
          <w:color w:val="000000"/>
          <w:sz w:val="21"/>
        </w:rPr>
        <w:t>Notice ARC 2178C, IAB 9/30/15)</w:t>
      </w:r>
      <w:r>
        <w:rPr>
          <w:rFonts w:ascii="Times New Roman" w:hAnsi="Times New Roman"/>
          <w:b w:val="false"/>
          <w:i w:val="false"/>
          <w:color w:val="000000"/>
          <w:sz w:val="21"/>
        </w:rPr>
        <w:t>, IAB 1/6/16, effective 2/10/16]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2768C</w:t>
      </w:r>
      <w:r>
        <w:rPr>
          <w:rFonts w:ascii="Times New Roman" w:hAnsi="Times New Roman"/>
          <w:b w:val="false"/>
          <w:i w:val="false"/>
          <w:color w:val="000000"/>
          <w:sz w:val="21"/>
        </w:rPr>
        <w:t xml:space="preserve"> (Notice ARC 2636C,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4117C</w:t>
      </w:r>
      <w:r>
        <w:rPr>
          <w:rFonts w:ascii="Times New Roman" w:hAnsi="Times New Roman"/>
          <w:b w:val="false"/>
          <w:i w:val="false"/>
          <w:color w:val="000000"/>
          <w:sz w:val="21"/>
        </w:rPr>
        <w:t xml:space="preserve"> (Notice ARC 3886C, IAB 7/18/18; </w:t>
      </w:r>
      <w:r>
        <w:rPr>
          <w:rFonts w:ascii="Times New Roman" w:hAnsi="Times New Roman"/>
          <w:b w:val="false"/>
          <w:i w:val="false"/>
          <w:color w:val="000000"/>
          <w:sz w:val="21"/>
        </w:rPr>
        <w:t>Amended Notice ARC 4003C, IAB 9/12/18)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4309C</w:t>
      </w:r>
      <w:r>
        <w:rPr>
          <w:rFonts w:ascii="Times New Roman" w:hAnsi="Times New Roman"/>
          <w:b w:val="false"/>
          <w:i w:val="false"/>
          <w:color w:val="000000"/>
          <w:sz w:val="21"/>
        </w:rPr>
        <w:t xml:space="preserve"> (Notice ARC 4176C,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[Rescinded definitions of “computer” editorially removed, IAC Supplement 7/29/20]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5201C</w:t>
      </w:r>
      <w:r>
        <w:rPr>
          <w:rFonts w:ascii="Times New Roman" w:hAnsi="Times New Roman"/>
          <w:b w:val="false"/>
          <w:i w:val="false"/>
          <w:color w:val="000000"/>
          <w:sz w:val="21"/>
        </w:rPr>
        <w:t xml:space="preserve"> (Notice ARC 5077C, IAB 7/15/20)</w:t>
      </w:r>
      <w:r>
        <w:rPr>
          <w:rFonts w:ascii="Times New Roman" w:hAnsi="Times New Roman"/>
          <w:b w:val="false"/>
          <w:i w:val="false"/>
          <w:color w:val="000000"/>
          <w:sz w:val="21"/>
        </w:rPr>
        <w:t>, IAB 10/7/20, effective 11/11/20]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5530C</w:t>
      </w:r>
      <w:r>
        <w:rPr>
          <w:rFonts w:ascii="Times New Roman" w:hAnsi="Times New Roman"/>
          <w:b w:val="false"/>
          <w:i w:val="false"/>
          <w:color w:val="000000"/>
          <w:sz w:val="21"/>
        </w:rPr>
        <w:t xml:space="preserve"> (Notice ARC 5358C, IAB 12/30/20)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5798C</w:t>
      </w:r>
      <w:r>
        <w:rPr>
          <w:rFonts w:ascii="Times New Roman" w:hAnsi="Times New Roman"/>
          <w:b w:val="false"/>
          <w:i w:val="false"/>
          <w:color w:val="000000"/>
          <w:sz w:val="21"/>
        </w:rPr>
        <w:t xml:space="preserve"> (Notice ARC 5659C,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8157C</w:t>
      </w:r>
      <w:r>
        <w:rPr>
          <w:rFonts w:ascii="Times New Roman" w:hAnsi="Times New Roman"/>
          <w:b w:val="false"/>
          <w:i w:val="false"/>
          <w:color w:val="000000"/>
          <w:sz w:val="21"/>
        </w:rPr>
        <w:t xml:space="preserve"> (Notice ARC 7199C, IAB 12/27/23)</w:t>
      </w:r>
      <w:r>
        <w:rPr>
          <w:rFonts w:ascii="Times New Roman" w:hAnsi="Times New Roman"/>
          <w:b w:val="false"/>
          <w:i w:val="false"/>
          <w:color w:val="000000"/>
          <w:sz w:val="21"/>
        </w:rPr>
        <w:t>, IAB 7/24/24, effective 8/28/24]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18.20(5) and 18.20(6) delayed 70 days by the Administrative Rules Review Committee at its meeting held February 10, 1997.</w:t>
      </w:r>
    </w:p>
    <w:p>
      <w:pPr>
        <w:pBdr>
          <w:bottom w:space="2"/>
        </w:pBdr>
        <w:spacing w:before="0" w:after="0"/>
        <w:ind w:left="120"/>
        <w:jc w:val="both"/>
      </w:pPr>
      <w:r>
        <w:rPr>
          <w:rFonts w:ascii="Times New Roman" w:hAnsi="Times New Roman"/>
          <w:b w:val="false"/>
          <w:i w:val="false"/>
          <w:color w:val="000000"/>
          <w:sz w:val="22"/>
        </w:rPr>
        <w:t xml:space="preserve">Amendments to 18.29(7) and 18.58, introductory paragraph, (ARC 2349C, Items 2 and 3) rescinded by </w:t>
      </w:r>
      <w:r>
        <w:rPr>
          <w:rFonts w:ascii="Times New Roman" w:hAnsi="Times New Roman"/>
          <w:b w:val="false"/>
          <w:i w:val="false"/>
          <w:color w:val="000000"/>
          <w:sz w:val="22"/>
        </w:rPr>
        <w:t>2016 Iowa Acts, House File 2433, section 6</w:t>
      </w:r>
      <w:r>
        <w:rPr>
          <w:rFonts w:ascii="Times New Roman" w:hAnsi="Times New Roman"/>
          <w:b w:val="false"/>
          <w:i w:val="false"/>
          <w:color w:val="000000"/>
          <w:sz w:val="22"/>
        </w:rPr>
        <w:t>, on 3/21/16. Amendments removed and prior language restored IAC Supplement 4/27/16.</w:t>
      </w:r>
    </w:p>
    <w:p>
      <w:pPr>
        <w:pBdr>
          <w:bottom w:space="2"/>
        </w:pBdr>
        <w:spacing w:before="0" w:after="0"/>
        <w:ind w:left="120"/>
        <w:jc w:val="both"/>
      </w:pPr>
      <w:r>
        <w:rPr>
          <w:rFonts w:ascii="Times New Roman" w:hAnsi="Times New Roman"/>
          <w:b w:val="false"/>
          <w:i w:val="false"/>
          <w:color w:val="000000"/>
          <w:sz w:val="22"/>
        </w:rPr>
        <w:t>The definition of “computer” in subparagraph 18.34(1)“b”(1), subrule 18.45(1), and subrule 18.58(1) rescinded by 2020 Iowa Acts, House File 2641, section 97, effective July 1, 2020.</w:t>
      </w:r>
    </w:p>
    <w:p>
      <w:pPr>
        <w:pBdr>
          <w:bottom w:space="2"/>
        </w:pBdr>
        <w:spacing w:before="0" w:after="0"/>
        <w:ind w:left="120"/>
        <w:jc w:val="both"/>
      </w:pPr>
      <w:r>
        <w:rPr>
          <w:rFonts w:ascii="Times New Roman" w:hAnsi="Times New Roman"/>
          <w:b w:val="false"/>
          <w:i w:val="false"/>
          <w:color w:val="000000"/>
          <w:sz w:val="22"/>
        </w:rPr>
        <w:t>November 11, 2020, effective date of 18.32 (ARC 5201C) delayed until the adjournment of the 2021 session of the General Assembly by the Administrative Rules Review Committee at its meeting held November 10,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3.pdf" Type="http://schemas.openxmlformats.org/officeDocument/2006/relationships/hyperlink" Id="rId5"/>
    <Relationship TargetMode="External" Target="https://www.legis.iowa.gov/docs/ico/chapter/423.2.pdf" Type="http://schemas.openxmlformats.org/officeDocument/2006/relationships/hyperlink" Id="rId6"/>
    <Relationship TargetMode="External" Target="https://www.legis.iowa.gov/docs/ico/chapter/423.3.pdf" Type="http://schemas.openxmlformats.org/officeDocument/2006/relationships/hyperlink" Id="rId7"/>
    <Relationship TargetMode="External" Target="https://www.legis.iowa.gov/docs/ico/chapter/423.2.pdf" Type="http://schemas.openxmlformats.org/officeDocument/2006/relationships/hyperlink" Id="rId8"/>
    <Relationship TargetMode="External" Target="https://www.legis.iowa.gov/docs/iac/rule/701.220.5.pdf" Type="http://schemas.openxmlformats.org/officeDocument/2006/relationships/hyperlink" Id="rId9"/>
    <Relationship TargetMode="External" Target="https://www.legis.iowa.gov/docs/ico/chapter/423.1.pdf" Type="http://schemas.openxmlformats.org/officeDocument/2006/relationships/hyperlink" Id="rId10"/>
    <Relationship TargetMode="External" Target="https://www.legis.iowa.gov/docs/ico/chapter/423.1.pdf" Type="http://schemas.openxmlformats.org/officeDocument/2006/relationships/hyperlink" Id="rId11"/>
    <Relationship TargetMode="External" Target="https://www.legis.iowa.gov/docs/ico/chapter/423.2.pdf" Type="http://schemas.openxmlformats.org/officeDocument/2006/relationships/hyperlink" Id="rId12"/>
    <Relationship TargetMode="External" Target="https://www.legis.iowa.gov/docs/ico/chapter/423.5.pdf" Type="http://schemas.openxmlformats.org/officeDocument/2006/relationships/hyperlink" Id="rId13"/>
    <Relationship TargetMode="External" Target="https://www.legis.iowa.gov/docs/ico/chapter/423.2.pdf" Type="http://schemas.openxmlformats.org/officeDocument/2006/relationships/hyperlink" Id="rId14"/>
    <Relationship TargetMode="External" Target="https://www.legis.iowa.gov/docs/ico/chapter/423.2.pdf" Type="http://schemas.openxmlformats.org/officeDocument/2006/relationships/hyperlink" Id="rId15"/>
    <Relationship TargetMode="External" Target="https://www.legis.iowa.gov/docs/ico/chapter/423.2.pdf" Type="http://schemas.openxmlformats.org/officeDocument/2006/relationships/hyperlink" Id="rId16"/>
    <Relationship TargetMode="External" Target="https://www.legis.iowa.gov/docs/ico/chapter/523C.pdf" Type="http://schemas.openxmlformats.org/officeDocument/2006/relationships/hyperlink" Id="rId17"/>
    <Relationship TargetMode="External" Target="https://www.legis.iowa.gov/docs/ico/chapter/523C.1.pdf" Type="http://schemas.openxmlformats.org/officeDocument/2006/relationships/hyperlink" Id="rId18"/>
    <Relationship TargetMode="External" Target="https://www.legis.iowa.gov/docs/ico/chapter/423.2.pdf" Type="http://schemas.openxmlformats.org/officeDocument/2006/relationships/hyperlink" Id="rId19"/>
    <Relationship TargetMode="External" Target="https://www.legis.iowa.gov/docs/ico/chapter/423.3.pdf" Type="http://schemas.openxmlformats.org/officeDocument/2006/relationships/hyperlink" Id="rId20"/>
    <Relationship TargetMode="External" Target="https://www.legis.iowa.gov/docs/ico/chapter/423.2.pdf" Type="http://schemas.openxmlformats.org/officeDocument/2006/relationships/hyperlink" Id="rId21"/>
    <Relationship TargetMode="External" Target="https://www.legis.iowa.gov/docs/iac/rule/701.285.1.pdf" Type="http://schemas.openxmlformats.org/officeDocument/2006/relationships/hyperlink" Id="rId22"/>
    <Relationship TargetMode="External" Target="https://www.legis.iowa.gov/docs/iac/rule/701.285.7.pdf" Type="http://schemas.openxmlformats.org/officeDocument/2006/relationships/hyperlink" Id="rId23"/>
    <Relationship TargetMode="External" Target="https://www.legis.iowa.gov/docs/iac/rule/701.285.7.pdf" Type="http://schemas.openxmlformats.org/officeDocument/2006/relationships/hyperlink" Id="rId24"/>
    <Relationship TargetMode="External" Target="https://www.legis.iowa.gov/docs/iac/rule/701.285.7.pdf" Type="http://schemas.openxmlformats.org/officeDocument/2006/relationships/hyperlink" Id="rId25"/>
    <Relationship TargetMode="External" Target="https://www.legis.iowa.gov/docs/iac/rule/701.285.7.pdf" Type="http://schemas.openxmlformats.org/officeDocument/2006/relationships/hyperlink" Id="rId26"/>
    <Relationship TargetMode="External" Target="https://www.legis.iowa.gov/docs/iac/rule/701.285.7.pdf" Type="http://schemas.openxmlformats.org/officeDocument/2006/relationships/hyperlink" Id="rId27"/>
    <Relationship TargetMode="External" Target="https://www.legis.iowa.gov/docs/ico/chapter/423.2.pdf" Type="http://schemas.openxmlformats.org/officeDocument/2006/relationships/hyperlink" Id="rId28"/>
    <Relationship TargetMode="External" Target="https://www.legis.iowa.gov/docs/ico/chapter/423.3.pdf" Type="http://schemas.openxmlformats.org/officeDocument/2006/relationships/hyperlink" Id="rId29"/>
    <Relationship TargetMode="External" Target="https://www.legis.iowa.gov/docs/ico/chapter/423.3.pdf" Type="http://schemas.openxmlformats.org/officeDocument/2006/relationships/hyperlink" Id="rId30"/>
    <Relationship TargetMode="External" Target="https://www.legis.iowa.gov/docs/ico/chapter/423.2.pdf" Type="http://schemas.openxmlformats.org/officeDocument/2006/relationships/hyperlink" Id="rId31"/>
    <Relationship TargetMode="External" Target="https://www.legis.iowa.gov/docs/ico/chapter/423.1.pdf" Type="http://schemas.openxmlformats.org/officeDocument/2006/relationships/hyperlink" Id="rId32"/>
    <Relationship TargetMode="External" Target="https://www.legis.iowa.gov/docs/ico/chapter/423.3.pdf" Type="http://schemas.openxmlformats.org/officeDocument/2006/relationships/hyperlink" Id="rId33"/>
    <Relationship TargetMode="External" Target="https://www.legis.iowa.gov/docs/ico/chapter/423.3.pdf" Type="http://schemas.openxmlformats.org/officeDocument/2006/relationships/hyperlink" Id="rId34"/>
    <Relationship TargetMode="External" Target="https://www.legis.iowa.gov/docs/ico/chapter/423.3.pdf" Type="http://schemas.openxmlformats.org/officeDocument/2006/relationships/hyperlink" Id="rId35"/>
    <Relationship TargetMode="External" Target="https://www.legis.iowa.gov/docs/iac/rule/701.200.1.pdf" Type="http://schemas.openxmlformats.org/officeDocument/2006/relationships/hyperlink" Id="rId36"/>
    <Relationship TargetMode="External" Target="https://www.legis.iowa.gov/docs/ico/chapter/423.3.pdf" Type="http://schemas.openxmlformats.org/officeDocument/2006/relationships/hyperlink" Id="rId37"/>
    <Relationship TargetMode="External" Target="https://www.legis.iowa.gov/docs/ico/chapter/423.3.pdf" Type="http://schemas.openxmlformats.org/officeDocument/2006/relationships/hyperlink" Id="rId38"/>
    <Relationship TargetMode="External" Target="https://www.legis.iowa.gov/docs/ico/chapter/423.1.pdf" Type="http://schemas.openxmlformats.org/officeDocument/2006/relationships/hyperlink" Id="rId39"/>
    <Relationship TargetMode="External" Target="https://www.legis.iowa.gov/docs/ico/chapter/423.14.pdf" Type="http://schemas.openxmlformats.org/officeDocument/2006/relationships/hyperlink" Id="rId40"/>
    <Relationship TargetMode="External" Target="https://www.legis.iowa.gov/docs/ico/chapter/423.14A.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