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278</w:t>
      </w:r>
    </w:p>
    <w:p>
      <w:pPr>
        <w:spacing w:before="0" w:after="0"/>
        <w:ind w:left="120"/>
        <w:jc w:val="center"/>
      </w:pPr>
      <w:r>
        <w:rPr>
          <w:rFonts w:ascii="Times New Roman" w:hAnsi="Times New Roman"/>
          <w:b w:val="false"/>
          <w:i w:val="false"/>
          <w:color w:val="000000"/>
          <w:sz w:val="21"/>
        </w:rPr>
        <w:t xml:space="preserve">REFUNDS FOR ELIGIBLE BUSINESSES UNDER ECONOMIC DEVELOPMENT </w:t>
      </w:r>
      <w:r>
        <w:br/>
      </w:r>
      <w:r>
        <w:rPr>
          <w:rFonts w:ascii="Times New Roman" w:hAnsi="Times New Roman"/>
          <w:b w:val="false"/>
          <w:i w:val="false"/>
          <w:color w:val="000000"/>
          <w:sz w:val="21"/>
        </w:rPr>
        <w:t>AUTHORITY PROGRAMS</w:t>
      </w:r>
    </w:p>
    <w:p>
      <w:pPr>
        <w:spacing w:before="0" w:after="0"/>
        <w:ind w:left="120"/>
        <w:jc w:val="center"/>
      </w:pPr>
      <w:r>
        <w:rPr>
          <w:rFonts w:ascii="Times New Roman" w:hAnsi="Times New Roman"/>
          <w:b w:val="false"/>
          <w:i w:val="false"/>
          <w:color w:val="000000"/>
          <w:sz w:val="14"/>
        </w:rPr>
        <w:t>[Prior to 7/13/22, see rule 701—12.19(15)]</w:t>
      </w:r>
    </w:p>
    <w:p>
      <w:pPr>
        <w:spacing w:before="0" w:after="0"/>
        <w:ind w:left="120"/>
        <w:jc w:val="center"/>
      </w:pPr>
      <w:r>
        <w:rPr>
          <w:rFonts w:ascii="Times New Roman" w:hAnsi="Times New Roman"/>
          <w:b w:val="false"/>
          <w:i w:val="false"/>
          <w:color w:val="000000"/>
          <w:sz w:val="14"/>
        </w:rPr>
        <w:t>[Prior to 9/7/22, see Revenue Department[701] Ch 258]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3/13/29</w:t>
      </w:r>
    </w:p>
    <w:p>
      <w:pPr>
        <w:spacing w:before="0" w:after="0"/>
        <w:ind w:left="120"/>
        <w:jc w:val="both"/>
      </w:pPr>
      <w:r>
        <w:rPr>
          <w:rFonts w:ascii="Times New Roman" w:hAnsi="Times New Roman"/>
          <w:b/>
          <w:i w:val="false"/>
          <w:color w:val="000000"/>
          <w:sz w:val="22"/>
        </w:rPr>
        <w:t>701—278.1</w:t>
      </w:r>
      <w:r>
        <w:rPr>
          <w:rFonts w:ascii="Times New Roman" w:hAnsi="Times New Roman"/>
          <w:b/>
          <w:i w:val="false"/>
          <w:color w:val="000000"/>
          <w:sz w:val="22"/>
        </w:rPr>
        <w:t xml:space="preserve">(15) </w:t>
      </w:r>
      <w:r>
        <w:rPr>
          <w:rFonts w:ascii="Times New Roman" w:hAnsi="Times New Roman"/>
          <w:b/>
          <w:i w:val="false"/>
          <w:color w:val="000000"/>
          <w:sz w:val="22"/>
        </w:rPr>
        <w:t xml:space="preserve">Sales and use tax refund for eligible businesses. </w:t>
      </w:r>
      <w:r>
        <w:rPr>
          <w:rFonts w:ascii="Times New Roman" w:hAnsi="Times New Roman"/>
          <w:b w:val="false"/>
          <w:i w:val="false"/>
          <w:color w:val="000000"/>
          <w:sz w:val="22"/>
        </w:rPr>
        <w:t>For eligible businesses approved under the high quality jobs program or workforce housing tax incentives program by the economic development authority, a refund of sales and use tax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278.1(1)</w:t>
      </w:r>
      <w:r>
        <w:rPr>
          <w:rFonts w:ascii="Times New Roman" w:hAnsi="Times New Roman"/>
          <w:b w:val="false"/>
          <w:i w:val="false"/>
          <w:color w:val="000000"/>
          <w:sz w:val="22"/>
        </w:rPr>
        <w:t> </w:t>
      </w:r>
      <w:r>
        <w:rPr>
          <w:rFonts w:ascii="Times New Roman" w:hAnsi="Times New Roman"/>
          <w:b w:val="false"/>
          <w:i/>
          <w:color w:val="000000"/>
          <w:sz w:val="22"/>
        </w:rPr>
        <w:t xml:space="preserve">Sales and use tax eligible for refund. </w:t>
      </w:r>
      <w:r>
        <w:rPr>
          <w:rFonts w:ascii="Times New Roman" w:hAnsi="Times New Roman"/>
          <w:b w:val="false"/>
          <w:i w:val="false"/>
          <w:color w:val="000000"/>
          <w:sz w:val="22"/>
        </w:rPr>
        <w:t xml:space="preserve">Eligible businesses can receive a refund of the sales and use tax paid for those items listed in Iowa Code section </w:t>
      </w:r>
      <w:hyperlink r:id="rId5">
        <w:r>
          <w:rPr>
            <w:rStyle w:val="Hyperlink"/>
            <w:rFonts w:ascii="Times New Roman" w:hAnsi="Times New Roman"/>
            <w:b w:val="false"/>
            <w:i w:val="false"/>
            <w:color w:val="000000"/>
            <w:sz w:val="22"/>
          </w:rPr>
          <w:t>15.331A</w:t>
        </w:r>
      </w:hyperlink>
      <w:r>
        <w:rPr>
          <w:rFonts w:ascii="Times New Roman" w:hAnsi="Times New Roman"/>
          <w:b w:val="false"/>
          <w:i w:val="false"/>
          <w:color w:val="000000"/>
          <w:sz w:val="22"/>
        </w:rPr>
        <w:t xml:space="preserve"> to the extent applicable for purposes of the particular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278.1(2)</w:t>
      </w:r>
      <w:r>
        <w:rPr>
          <w:rFonts w:ascii="Times New Roman" w:hAnsi="Times New Roman"/>
          <w:b w:val="false"/>
          <w:i w:val="false"/>
          <w:color w:val="000000"/>
          <w:sz w:val="22"/>
        </w:rPr>
        <w:t> </w:t>
      </w:r>
      <w:r>
        <w:rPr>
          <w:rFonts w:ascii="Times New Roman" w:hAnsi="Times New Roman"/>
          <w:b w:val="false"/>
          <w:i/>
          <w:color w:val="000000"/>
          <w:sz w:val="22"/>
        </w:rPr>
        <w:t xml:space="preserve">Sales and use tax ineligible for refund. </w:t>
      </w:r>
      <w:r>
        <w:rPr>
          <w:rFonts w:ascii="Times New Roman" w:hAnsi="Times New Roman"/>
          <w:b w:val="false"/>
          <w:i w:val="false"/>
          <w:color w:val="000000"/>
          <w:sz w:val="22"/>
        </w:rPr>
        <w:t>The sales and use tax for which the eligible business cannot receive a refund consists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local option sales tax paid is not eligible for the refund. The refund is limited to the state sales and use tax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sales and use tax attributable to intangible property, furniture, or furnishings is not eligible for the refund. “Furnishings” means any furniture, appliances, equipment, and accessories that are movable and with which a room or building is furnished for comfort, convenience, or aesthetic value. Examples include rugs, décor, and window coverings. “Furnishings” does not include installed flooring such as hardwood, carpet, ceramic, stone, laminate, or vinyl.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278.1(3)</w:t>
      </w:r>
      <w:r>
        <w:rPr>
          <w:rFonts w:ascii="Times New Roman" w:hAnsi="Times New Roman"/>
          <w:b w:val="false"/>
          <w:i w:val="false"/>
          <w:color w:val="000000"/>
          <w:sz w:val="22"/>
        </w:rPr>
        <w:t> </w:t>
      </w:r>
      <w:r>
        <w:rPr>
          <w:rFonts w:ascii="Times New Roman" w:hAnsi="Times New Roman"/>
          <w:b w:val="false"/>
          <w:i/>
          <w:color w:val="000000"/>
          <w:sz w:val="22"/>
        </w:rPr>
        <w:t xml:space="preserve">When to claim the refund. </w:t>
      </w:r>
      <w:r>
        <w:rPr>
          <w:rFonts w:ascii="Times New Roman" w:hAnsi="Times New Roman"/>
          <w:b w:val="false"/>
          <w:i w:val="false"/>
          <w:color w:val="000000"/>
          <w:sz w:val="22"/>
        </w:rPr>
        <w:t>To receive a refund, the eligible business must file a claim for refund within the following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High quality jobs program. </w:t>
      </w:r>
      <w:r>
        <w:rPr>
          <w:rFonts w:ascii="Times New Roman" w:hAnsi="Times New Roman"/>
          <w:b w:val="false"/>
          <w:i w:val="false"/>
          <w:color w:val="000000"/>
          <w:sz w:val="22"/>
        </w:rPr>
        <w:t xml:space="preserve">The first date the eligible business may file a claim for refund is after the contract completion as defined in Iowa Code section </w:t>
      </w:r>
      <w:hyperlink r:id="rId6">
        <w:r>
          <w:rPr>
            <w:rStyle w:val="Hyperlink"/>
            <w:rFonts w:ascii="Times New Roman" w:hAnsi="Times New Roman"/>
            <w:b w:val="false"/>
            <w:i w:val="false"/>
            <w:color w:val="000000"/>
            <w:sz w:val="22"/>
          </w:rPr>
          <w:t>15.331A</w:t>
        </w:r>
      </w:hyperlink>
      <w:r>
        <w:rPr>
          <w:rFonts w:ascii="Times New Roman" w:hAnsi="Times New Roman"/>
          <w:b w:val="false"/>
          <w:i w:val="false"/>
          <w:color w:val="000000"/>
          <w:sz w:val="22"/>
        </w:rPr>
        <w:t xml:space="preserve">. The last date the eligible business may file a claim for refund is one year after the project completion date as defined in Iowa Code section </w:t>
      </w:r>
      <w:hyperlink r:id="rId7">
        <w:r>
          <w:rPr>
            <w:rStyle w:val="Hyperlink"/>
            <w:rFonts w:ascii="Times New Roman" w:hAnsi="Times New Roman"/>
            <w:b w:val="false"/>
            <w:i w:val="false"/>
            <w:color w:val="000000"/>
            <w:sz w:val="22"/>
          </w:rPr>
          <w:t>15.329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Workforce housing tax incentives program. </w:t>
      </w:r>
      <w:r>
        <w:rPr>
          <w:rFonts w:ascii="Times New Roman" w:hAnsi="Times New Roman"/>
          <w:b w:val="false"/>
          <w:i w:val="false"/>
          <w:color w:val="000000"/>
          <w:sz w:val="22"/>
        </w:rPr>
        <w:t xml:space="preserve">The first date the eligible business may file a claim for refund is after the agreement completion date as defined in Iowa Code section </w:t>
      </w:r>
      <w:hyperlink r:id="rId8">
        <w:r>
          <w:rPr>
            <w:rStyle w:val="Hyperlink"/>
            <w:rFonts w:ascii="Times New Roman" w:hAnsi="Times New Roman"/>
            <w:b w:val="false"/>
            <w:i w:val="false"/>
            <w:color w:val="000000"/>
            <w:sz w:val="22"/>
          </w:rPr>
          <w:t>15.355</w:t>
        </w:r>
      </w:hyperlink>
      <w:r>
        <w:rPr>
          <w:rFonts w:ascii="Times New Roman" w:hAnsi="Times New Roman"/>
          <w:b w:val="false"/>
          <w:i w:val="false"/>
          <w:color w:val="000000"/>
          <w:sz w:val="22"/>
        </w:rPr>
        <w:t xml:space="preserve">. The last date the eligible business may file a claim for refund is one year after the agreement completion date as defined in Iowa Code section </w:t>
      </w:r>
      <w:hyperlink r:id="rId9">
        <w:r>
          <w:rPr>
            <w:rStyle w:val="Hyperlink"/>
            <w:rFonts w:ascii="Times New Roman" w:hAnsi="Times New Roman"/>
            <w:b w:val="false"/>
            <w:i w:val="false"/>
            <w:color w:val="000000"/>
            <w:sz w:val="22"/>
          </w:rPr>
          <w:t>15.355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278.1(4)</w:t>
      </w:r>
      <w:r>
        <w:rPr>
          <w:rFonts w:ascii="Times New Roman" w:hAnsi="Times New Roman"/>
          <w:b w:val="false"/>
          <w:i w:val="false"/>
          <w:color w:val="000000"/>
          <w:sz w:val="22"/>
        </w:rPr>
        <w:t> </w:t>
      </w:r>
      <w:r>
        <w:rPr>
          <w:rFonts w:ascii="Times New Roman" w:hAnsi="Times New Roman"/>
          <w:b w:val="false"/>
          <w:i/>
          <w:color w:val="000000"/>
          <w:sz w:val="22"/>
        </w:rPr>
        <w:t xml:space="preserve">How to claim the refund.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Gas, electric, water, or sewer utility services. </w:t>
      </w:r>
      <w:r>
        <w:rPr>
          <w:rFonts w:ascii="Times New Roman" w:hAnsi="Times New Roman"/>
          <w:b w:val="false"/>
          <w:i w:val="false"/>
          <w:color w:val="000000"/>
          <w:sz w:val="22"/>
        </w:rPr>
        <w:t>To request a refund of the sales and use tax paid for gas, electric, water, or sewer utility services used during construction, the eligible business must file Form IA 843, Refund Return, with the department of revenue. The claim shall include the tax credit certificate number given by the Iowa economic development authority, along with copies of invoices or a schedule to support the refund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Contractor or subcontractor. </w:t>
      </w:r>
      <w:r>
        <w:rPr>
          <w:rFonts w:ascii="Times New Roman" w:hAnsi="Times New Roman"/>
          <w:b w:val="false"/>
          <w:i w:val="false"/>
          <w:color w:val="000000"/>
          <w:sz w:val="22"/>
        </w:rPr>
        <w:t>To request a refund of the sales and use tax paid on tangible personal property, or on services rendered to, furnished to, or performed for a contractor or subcontractor relating to the construction or equipping of a facility, the eligible business must file the Construction Contract Claim for Refund form, along with the Iowa Contractor’s Statement, with the department of revenue. The Construction Contract Claim for Refund form shall include the tax credit certificate number given by the Iowa economic development authority. It is not necessary to attach invoices to the Construction Contract Claim for Refund form, but the department of revenue reserves the right to request invoices when reviewing the refund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Racks, shelving, and conveyor equipment. </w:t>
      </w:r>
      <w:r>
        <w:rPr>
          <w:rFonts w:ascii="Times New Roman" w:hAnsi="Times New Roman"/>
          <w:b w:val="false"/>
          <w:i w:val="false"/>
          <w:color w:val="000000"/>
          <w:sz w:val="22"/>
        </w:rPr>
        <w:t xml:space="preserve">To request a refund of the sales and use tax attributable to racks, shelving, and conveyor equipment, the eligible business must file Form IA 843, Refund Return, with the department of revenue. The claim shall include the tax credit certificate number given by the Iowa economic development authority, along with copies of invoices or a schedule to support the refund amount.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7628C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This rule is intended to implement Iowa Code chapter </w:t>
      </w:r>
      <w:hyperlink r:id="rId10">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6398C, IAB 7/13/22, effective 7/1/22]</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7628C</w:t>
      </w:r>
      <w:r>
        <w:rPr>
          <w:rFonts w:ascii="Times New Roman" w:hAnsi="Times New Roman"/>
          <w:b w:val="false"/>
          <w:i w:val="false"/>
          <w:color w:val="000000"/>
          <w:sz w:val="21"/>
        </w:rPr>
        <w:t xml:space="preserve"> (Notice ARC 7155C, IAB 12/13/23)</w:t>
      </w:r>
      <w:r>
        <w:rPr>
          <w:rFonts w:ascii="Times New Roman" w:hAnsi="Times New Roman"/>
          <w:b w:val="false"/>
          <w:i w:val="false"/>
          <w:color w:val="000000"/>
          <w:sz w:val="21"/>
        </w:rPr>
        <w:t>, IAB 2/7/24, effective 3/13/24]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331A.pdf" Type="http://schemas.openxmlformats.org/officeDocument/2006/relationships/hyperlink" Id="rId5"/>
    <Relationship TargetMode="External" Target="https://www.legis.iowa.gov/docs/ico/chapter/15.331A.pdf" Type="http://schemas.openxmlformats.org/officeDocument/2006/relationships/hyperlink" Id="rId6"/>
    <Relationship TargetMode="External" Target="https://www.legis.iowa.gov/docs/ico/chapter/15.329.pdf" Type="http://schemas.openxmlformats.org/officeDocument/2006/relationships/hyperlink" Id="rId7"/>
    <Relationship TargetMode="External" Target="https://www.legis.iowa.gov/docs/ico/chapter/15.355.pdf" Type="http://schemas.openxmlformats.org/officeDocument/2006/relationships/hyperlink" Id="rId8"/>
    <Relationship TargetMode="External" Target="https://www.legis.iowa.gov/docs/ico/chapter/15.355.pdf" Type="http://schemas.openxmlformats.org/officeDocument/2006/relationships/hyperlink" Id="rId9"/>
    <Relationship TargetMode="External" Target="https://www.legis.iowa.gov/docs/ico/chapter/15.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