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270</w:t>
      </w:r>
    </w:p>
    <w:p>
      <w:pPr>
        <w:spacing w:before="0" w:after="0"/>
        <w:ind w:left="120"/>
        <w:jc w:val="center"/>
      </w:pPr>
      <w:r>
        <w:rPr>
          <w:rFonts w:ascii="Times New Roman" w:hAnsi="Times New Roman"/>
          <w:b w:val="false"/>
          <w:i w:val="false"/>
          <w:color w:val="000000"/>
          <w:sz w:val="21"/>
        </w:rPr>
        <w:t>LOCAL OPTION SALES AND SERVICES TAX</w:t>
      </w:r>
    </w:p>
    <w:p>
      <w:pPr>
        <w:spacing w:before="0" w:after="0"/>
        <w:ind w:left="120"/>
        <w:jc w:val="center"/>
      </w:pPr>
      <w:r>
        <w:rPr>
          <w:rFonts w:ascii="Times New Roman" w:hAnsi="Times New Roman"/>
          <w:b w:val="false"/>
          <w:i w:val="false"/>
          <w:color w:val="000000"/>
          <w:sz w:val="14"/>
        </w:rPr>
        <w:t>[Prior to 12/17/86, Revenue Department [730]]</w:t>
      </w:r>
    </w:p>
    <w:p>
      <w:pPr>
        <w:spacing w:before="0" w:after="0"/>
        <w:ind w:left="120"/>
        <w:jc w:val="center"/>
      </w:pPr>
      <w:r>
        <w:rPr>
          <w:rFonts w:ascii="Times New Roman" w:hAnsi="Times New Roman"/>
          <w:b w:val="false"/>
          <w:i w:val="false"/>
          <w:color w:val="000000"/>
          <w:sz w:val="14"/>
        </w:rPr>
        <w:t>[Prior to 9/7/22, see Revenue Department[701] Ch 107]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3/13/29</w:t>
      </w:r>
    </w:p>
    <w:p>
      <w:pPr>
        <w:spacing w:before="0" w:after="0"/>
        <w:ind w:left="120"/>
        <w:jc w:val="both"/>
      </w:pPr>
      <w:r>
        <w:rPr>
          <w:rFonts w:ascii="Times New Roman" w:hAnsi="Times New Roman"/>
          <w:b/>
          <w:i w:val="false"/>
          <w:color w:val="000000"/>
          <w:sz w:val="22"/>
        </w:rPr>
        <w:t>701—270.1</w:t>
      </w:r>
      <w:r>
        <w:rPr>
          <w:rFonts w:ascii="Times New Roman" w:hAnsi="Times New Roman"/>
          <w:b/>
          <w:i w:val="false"/>
          <w:color w:val="000000"/>
          <w:sz w:val="22"/>
        </w:rPr>
        <w:t xml:space="preserve">(423B)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270.1(1)</w:t>
      </w:r>
      <w:r>
        <w:rPr>
          <w:rFonts w:ascii="Times New Roman" w:hAnsi="Times New Roman"/>
          <w:b w:val="false"/>
          <w:i w:val="false"/>
          <w:color w:val="000000"/>
          <w:sz w:val="22"/>
        </w:rPr>
        <w:t> </w:t>
      </w:r>
      <w:r>
        <w:rPr>
          <w:rFonts w:ascii="Times New Roman" w:hAnsi="Times New Roman"/>
          <w:b w:val="false"/>
          <w:i/>
          <w:color w:val="000000"/>
          <w:sz w:val="22"/>
        </w:rPr>
        <w:t xml:space="preserve">Incorporation of definitions. </w:t>
      </w:r>
      <w:r>
        <w:rPr>
          <w:rFonts w:ascii="Times New Roman" w:hAnsi="Times New Roman"/>
          <w:b w:val="false"/>
          <w:i w:val="false"/>
          <w:color w:val="000000"/>
          <w:sz w:val="22"/>
        </w:rPr>
        <w:t xml:space="preserve">To the extent it is consistent with Iowa Code chapter </w:t>
      </w:r>
      <w:hyperlink r:id="rId5">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xml:space="preserve"> and this chapter, all other words and phrases used in this chapter shall mean the same as defined in Iowa Code section </w:t>
      </w:r>
      <w:hyperlink r:id="rId6">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xml:space="preserve"> and rule </w:t>
      </w:r>
      <w:hyperlink r:id="rId8">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270.1(2)</w:t>
      </w:r>
      <w:r>
        <w:rPr>
          <w:rFonts w:ascii="Times New Roman" w:hAnsi="Times New Roman"/>
          <w:b w:val="false"/>
          <w:i w:val="false"/>
          <w:color w:val="000000"/>
          <w:sz w:val="22"/>
        </w:rPr>
        <w:t> </w:t>
      </w:r>
      <w:r>
        <w:rPr>
          <w:rFonts w:ascii="Times New Roman" w:hAnsi="Times New Roman"/>
          <w:b w:val="false"/>
          <w:i/>
          <w:color w:val="000000"/>
          <w:sz w:val="22"/>
        </w:rPr>
        <w:t xml:space="preserve">Chapter-specific 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“City”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362.2(4)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option tax”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“local option taxes” </w:t>
      </w:r>
      <w:r>
        <w:rPr>
          <w:rFonts w:ascii="Times New Roman" w:hAnsi="Times New Roman"/>
          <w:b w:val="false"/>
          <w:i w:val="false"/>
          <w:color w:val="000000"/>
          <w:sz w:val="22"/>
        </w:rPr>
        <w:t xml:space="preserve">means the taxes imposed by Iowa Code chapter </w:t>
      </w:r>
      <w:hyperlink r:id="rId10">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“Most recent certified federal census” </w:t>
      </w:r>
      <w:r>
        <w:rPr>
          <w:rFonts w:ascii="Times New Roman" w:hAnsi="Times New Roman"/>
          <w:b w:val="false"/>
          <w:i w:val="false"/>
          <w:color w:val="000000"/>
          <w:sz w:val="22"/>
        </w:rPr>
        <w:t>means the final count from the most recent decennial census conducted by the United States Department of Commerce, Bureau of the Census, as modified by subsequent certifications from the Bureau of the Census. If a subsequent certified census occurs that modifies the “most recent certified federal census” for a participating jurisdiction, then the formula set forth in this rule for computations for distribution of the tax shall reflect any population adjustments reported by the subsequent certified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“Unincorporated area of the county” </w:t>
      </w:r>
      <w:r>
        <w:rPr>
          <w:rFonts w:ascii="Times New Roman" w:hAnsi="Times New Roman"/>
          <w:b w:val="false"/>
          <w:i w:val="false"/>
          <w:color w:val="000000"/>
          <w:sz w:val="22"/>
        </w:rPr>
        <w:t>means all areas of a county that are outside the corporate limits of all cities that are located within the geographical area of the county.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423B.7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7623C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701—270.2</w:t>
      </w:r>
      <w:r>
        <w:rPr>
          <w:rFonts w:ascii="Times New Roman" w:hAnsi="Times New Roman"/>
          <w:b/>
          <w:i w:val="false"/>
          <w:color w:val="000000"/>
          <w:sz w:val="22"/>
        </w:rPr>
        <w:t xml:space="preserve">(423B) </w:t>
      </w:r>
      <w:r>
        <w:rPr>
          <w:rFonts w:ascii="Times New Roman" w:hAnsi="Times New Roman"/>
          <w:b/>
          <w:i w:val="false"/>
          <w:color w:val="000000"/>
          <w:sz w:val="22"/>
        </w:rPr>
        <w:t xml:space="preserve">Imposition of local option taxes and notification to the department. </w:t>
      </w:r>
      <w:r>
        <w:rPr>
          <w:rFonts w:ascii="Times New Roman" w:hAnsi="Times New Roman"/>
          <w:b w:val="false"/>
          <w:i w:val="false"/>
          <w:color w:val="000000"/>
          <w:sz w:val="22"/>
        </w:rPr>
        <w:t xml:space="preserve">This rule describes notification and other requirements as related to the department. More information on election forms and instructions can be found in </w:t>
      </w:r>
      <w:hyperlink r:id="rId12">
        <w:r>
          <w:rPr>
            <w:rStyle w:val="Hyperlink"/>
            <w:rFonts w:ascii="Times New Roman" w:hAnsi="Times New Roman"/>
            <w:b w:val="false"/>
            <w:i w:val="false"/>
            <w:color w:val="000000"/>
            <w:sz w:val="22"/>
          </w:rPr>
          <w:t>721—Chapter 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270.2(1)</w:t>
      </w:r>
      <w:r>
        <w:rPr>
          <w:rFonts w:ascii="Times New Roman" w:hAnsi="Times New Roman"/>
          <w:b w:val="false"/>
          <w:i w:val="false"/>
          <w:color w:val="000000"/>
          <w:sz w:val="22"/>
        </w:rPr>
        <w:t> </w:t>
      </w:r>
      <w:r>
        <w:rPr>
          <w:rFonts w:ascii="Times New Roman" w:hAnsi="Times New Roman"/>
          <w:b w:val="false"/>
          <w:i/>
          <w:color w:val="000000"/>
          <w:sz w:val="22"/>
        </w:rPr>
        <w:t xml:space="preserve">Notice to the department. </w:t>
      </w:r>
      <w:r>
        <w:rPr>
          <w:rFonts w:ascii="Times New Roman" w:hAnsi="Times New Roman"/>
          <w:b w:val="false"/>
          <w:i w:val="false"/>
          <w:color w:val="000000"/>
          <w:sz w:val="22"/>
        </w:rPr>
        <w:t>Within ten days of the election at which a majority of those voting on the question of imposition, repeal, or change in the rate of tax vote in favor, the county auditor must give notice of the election results to the director by sending a copy of the abstract of votes and a copy of the sample ballot from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270.2(2)</w:t>
      </w:r>
      <w:r>
        <w:rPr>
          <w:rFonts w:ascii="Times New Roman" w:hAnsi="Times New Roman"/>
          <w:b w:val="false"/>
          <w:i w:val="false"/>
          <w:color w:val="000000"/>
          <w:sz w:val="22"/>
        </w:rPr>
        <w:t> </w:t>
      </w:r>
      <w:r>
        <w:rPr>
          <w:rFonts w:ascii="Times New Roman" w:hAnsi="Times New Roman"/>
          <w:b w:val="false"/>
          <w:i/>
          <w:color w:val="000000"/>
          <w:sz w:val="22"/>
        </w:rPr>
        <w:t xml:space="preserve">Avoiding a lapse in tax due to expiration of a former local option tax. </w:t>
      </w:r>
      <w:r>
        <w:rPr>
          <w:rFonts w:ascii="Times New Roman" w:hAnsi="Times New Roman"/>
          <w:b w:val="false"/>
          <w:i w:val="false"/>
          <w:color w:val="000000"/>
          <w:sz w:val="22"/>
        </w:rPr>
        <w:t>A jurisdiction that has a local option tax that is set to expire may vote to impose another local option tax. However, due to the required imposition dates previously set forth, there may be a lapse in the tax because of an expiration of the former local option tax and the required imposition dates for imposition of a local option tax. A local option jurisdiction may avoid a lapse in local option tax. To avoid a lapse in the tax, a jurisdiction may place on the ballot that the new local option tax will continue without repeal of the prior tax. If the required vote is in favor of imposition of the local option tax, the continued local option tax can be imposed so there is no lapse in the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423B.6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7623C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701—270.3</w:t>
      </w:r>
      <w:r>
        <w:rPr>
          <w:rFonts w:ascii="Times New Roman" w:hAnsi="Times New Roman"/>
          <w:b/>
          <w:i w:val="false"/>
          <w:color w:val="000000"/>
          <w:sz w:val="22"/>
        </w:rPr>
        <w:t xml:space="preserve">(423B)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270.3(1)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The department is charged with the administration of the tax, once imposed, and must administer the tax as nearly as possible in conjunction with the administration of the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270.3(2)</w:t>
      </w:r>
      <w:r>
        <w:rPr>
          <w:rFonts w:ascii="Times New Roman" w:hAnsi="Times New Roman"/>
          <w:b w:val="false"/>
          <w:i w:val="false"/>
          <w:color w:val="000000"/>
          <w:sz w:val="22"/>
        </w:rPr>
        <w:t> </w:t>
      </w:r>
      <w:r>
        <w:rPr>
          <w:rFonts w:ascii="Times New Roman" w:hAnsi="Times New Roman"/>
          <w:b w:val="false"/>
          <w:i/>
          <w:color w:val="000000"/>
          <w:sz w:val="22"/>
        </w:rPr>
        <w:t xml:space="preserve">Incorporation of 701—Chapter 11. </w:t>
      </w:r>
      <w:r>
        <w:rPr>
          <w:rFonts w:ascii="Times New Roman" w:hAnsi="Times New Roman"/>
          <w:b w:val="false"/>
          <w:i w:val="false"/>
          <w:color w:val="000000"/>
          <w:sz w:val="22"/>
        </w:rPr>
        <w:t xml:space="preserve">Except as otherwise stated in this chapter, the requirements of </w:t>
      </w:r>
      <w:hyperlink r:id="rId14">
        <w:r>
          <w:rPr>
            <w:rStyle w:val="Hyperlink"/>
            <w:rFonts w:ascii="Times New Roman" w:hAnsi="Times New Roman"/>
            <w:b w:val="false"/>
            <w:i w:val="false"/>
            <w:color w:val="000000"/>
            <w:sz w:val="22"/>
          </w:rPr>
          <w:t>701—Chapter 11</w:t>
        </w:r>
      </w:hyperlink>
      <w:r>
        <w:rPr>
          <w:rFonts w:ascii="Times New Roman" w:hAnsi="Times New Roman"/>
          <w:b w:val="false"/>
          <w:i w:val="false"/>
          <w:color w:val="000000"/>
          <w:sz w:val="22"/>
        </w:rPr>
        <w:t xml:space="preserve"> apply to retailers required to collect local option taxes in the same manner that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423B.6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7623C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701—270.4</w:t>
      </w:r>
      <w:r>
        <w:rPr>
          <w:rFonts w:ascii="Times New Roman" w:hAnsi="Times New Roman"/>
          <w:b/>
          <w:i w:val="false"/>
          <w:color w:val="000000"/>
          <w:sz w:val="22"/>
        </w:rPr>
        <w:t xml:space="preserve">(423B) </w:t>
      </w:r>
      <w:r>
        <w:rPr>
          <w:rFonts w:ascii="Times New Roman" w:hAnsi="Times New Roman"/>
          <w:b/>
          <w:i w:val="false"/>
          <w:color w:val="000000"/>
          <w:sz w:val="22"/>
        </w:rPr>
        <w:t xml:space="preserve">Filing returns; payment of tax; penalty and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270.4(1)</w:t>
      </w:r>
      <w:r>
        <w:rPr>
          <w:rFonts w:ascii="Times New Roman" w:hAnsi="Times New Roman"/>
          <w:b w:val="false"/>
          <w:i w:val="false"/>
          <w:color w:val="000000"/>
          <w:sz w:val="22"/>
        </w:rPr>
        <w:t> </w:t>
      </w:r>
      <w:r>
        <w:rPr>
          <w:rFonts w:ascii="Times New Roman" w:hAnsi="Times New Roman"/>
          <w:b w:val="false"/>
          <w:i/>
          <w:color w:val="000000"/>
          <w:sz w:val="22"/>
        </w:rPr>
        <w:t xml:space="preserve">Incorporation of 701—Chapter 202. </w:t>
      </w:r>
      <w:r>
        <w:rPr>
          <w:rFonts w:ascii="Times New Roman" w:hAnsi="Times New Roman"/>
          <w:b w:val="false"/>
          <w:i w:val="false"/>
          <w:color w:val="000000"/>
          <w:sz w:val="22"/>
        </w:rPr>
        <w:t xml:space="preserve">Except as otherwise stated in this chapter, the requirements of </w:t>
      </w:r>
      <w:hyperlink r:id="rId16">
        <w:r>
          <w:rPr>
            <w:rStyle w:val="Hyperlink"/>
            <w:rFonts w:ascii="Times New Roman" w:hAnsi="Times New Roman"/>
            <w:b w:val="false"/>
            <w:i w:val="false"/>
            <w:color w:val="000000"/>
            <w:sz w:val="22"/>
          </w:rPr>
          <w:t>701—Chapter 202</w:t>
        </w:r>
      </w:hyperlink>
      <w:r>
        <w:rPr>
          <w:rFonts w:ascii="Times New Roman" w:hAnsi="Times New Roman"/>
          <w:b w:val="false"/>
          <w:i w:val="false"/>
          <w:color w:val="000000"/>
          <w:sz w:val="22"/>
        </w:rPr>
        <w:t xml:space="preserve"> apply to retailers required to collect local option tax in the same manner as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270.4(2)</w:t>
      </w:r>
      <w:r>
        <w:rPr>
          <w:rFonts w:ascii="Times New Roman" w:hAnsi="Times New Roman"/>
          <w:b w:val="false"/>
          <w:i w:val="false"/>
          <w:color w:val="000000"/>
          <w:sz w:val="22"/>
        </w:rPr>
        <w:t> </w:t>
      </w:r>
      <w:r>
        <w:rPr>
          <w:rFonts w:ascii="Times New Roman" w:hAnsi="Times New Roman"/>
          <w:b w:val="false"/>
          <w:i/>
          <w:color w:val="000000"/>
          <w:sz w:val="22"/>
        </w:rPr>
        <w:t xml:space="preserve">Local tax collections not included to determine filing frequency. </w:t>
      </w:r>
      <w:r>
        <w:rPr>
          <w:rFonts w:ascii="Times New Roman" w:hAnsi="Times New Roman"/>
          <w:b w:val="false"/>
          <w:i w:val="false"/>
          <w:color w:val="000000"/>
          <w:sz w:val="22"/>
        </w:rPr>
        <w:t xml:space="preserve">Local option tax collections are included in computation of the total tax to determine frequency of filing under Iowa Code section </w:t>
      </w:r>
      <w:hyperlink r:id="rId17">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423B.6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7623C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701—270.5</w:t>
      </w:r>
      <w:r>
        <w:rPr>
          <w:rFonts w:ascii="Times New Roman" w:hAnsi="Times New Roman"/>
          <w:b/>
          <w:i w:val="false"/>
          <w:color w:val="000000"/>
          <w:sz w:val="22"/>
        </w:rPr>
        <w:t xml:space="preserve">(423B) </w:t>
      </w:r>
      <w:r>
        <w:rPr>
          <w:rFonts w:ascii="Times New Roman" w:hAnsi="Times New Roman"/>
          <w:b/>
          <w:i w:val="false"/>
          <w:color w:val="000000"/>
          <w:sz w:val="22"/>
        </w:rPr>
        <w:t xml:space="preserve">Permits. </w:t>
      </w:r>
      <w:r>
        <w:rPr>
          <w:rFonts w:ascii="Times New Roman" w:hAnsi="Times New Roman"/>
          <w:b w:val="false"/>
          <w:i w:val="false"/>
          <w:color w:val="000000"/>
          <w:sz w:val="22"/>
        </w:rPr>
        <w:t xml:space="preserve">Except as otherwise stated in this chapter, the requirements of </w:t>
      </w:r>
      <w:hyperlink r:id="rId19">
        <w:r>
          <w:rPr>
            <w:rStyle w:val="Hyperlink"/>
            <w:rFonts w:ascii="Times New Roman" w:hAnsi="Times New Roman"/>
            <w:b w:val="false"/>
            <w:i w:val="false"/>
            <w:color w:val="000000"/>
            <w:sz w:val="22"/>
          </w:rPr>
          <w:t>701—Chapter 201</w:t>
        </w:r>
      </w:hyperlink>
      <w:r>
        <w:rPr>
          <w:rFonts w:ascii="Times New Roman" w:hAnsi="Times New Roman"/>
          <w:b w:val="false"/>
          <w:i w:val="false"/>
          <w:color w:val="000000"/>
          <w:sz w:val="22"/>
        </w:rPr>
        <w:t xml:space="preserve"> apply to retailers required to collect local option tax in the same manner that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423B.6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7623C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701—270.6</w:t>
      </w:r>
      <w:r>
        <w:rPr>
          <w:rFonts w:ascii="Times New Roman" w:hAnsi="Times New Roman"/>
          <w:b/>
          <w:i w:val="false"/>
          <w:color w:val="000000"/>
          <w:sz w:val="22"/>
        </w:rPr>
        <w:t xml:space="preserve">(423B) </w:t>
      </w:r>
      <w:r>
        <w:rPr>
          <w:rFonts w:ascii="Times New Roman" w:hAnsi="Times New Roman"/>
          <w:b/>
          <w:i w:val="false"/>
          <w:color w:val="000000"/>
          <w:sz w:val="22"/>
        </w:rPr>
        <w:t xml:space="preserve">Sales subject to local option sales and services tax. </w:t>
      </w:r>
      <w:r>
        <w:rPr>
          <w:rFonts w:ascii="Times New Roman" w:hAnsi="Times New Roman"/>
          <w:b w:val="false"/>
          <w:i w:val="false"/>
          <w:color w:val="000000"/>
          <w:sz w:val="22"/>
        </w:rPr>
        <w:t xml:space="preserve">All sales subject to sales tax under Iowa Code chapter </w:t>
      </w:r>
      <w:hyperlink r:id="rId21">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are subject to local option sales and services tax. There is no local option use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270.6(1)</w:t>
      </w:r>
      <w:r>
        <w:rPr>
          <w:rFonts w:ascii="Times New Roman" w:hAnsi="Times New Roman"/>
          <w:b w:val="false"/>
          <w:i w:val="false"/>
          <w:color w:val="000000"/>
          <w:sz w:val="22"/>
        </w:rPr>
        <w:t> </w:t>
      </w:r>
      <w:r>
        <w:rPr>
          <w:rFonts w:ascii="Times New Roman" w:hAnsi="Times New Roman"/>
          <w:b w:val="false"/>
          <w:i/>
          <w:color w:val="000000"/>
          <w:sz w:val="22"/>
        </w:rPr>
        <w:t xml:space="preserve">Sourcing. </w:t>
      </w:r>
      <w:r>
        <w:rPr>
          <w:rFonts w:ascii="Times New Roman" w:hAnsi="Times New Roman"/>
          <w:b w:val="false"/>
          <w:i w:val="false"/>
          <w:color w:val="000000"/>
          <w:sz w:val="22"/>
        </w:rPr>
        <w:t xml:space="preserve">The general sourcing rules described in Iowa Code section </w:t>
      </w:r>
      <w:hyperlink r:id="rId22">
        <w:r>
          <w:rPr>
            <w:rStyle w:val="Hyperlink"/>
            <w:rFonts w:ascii="Times New Roman" w:hAnsi="Times New Roman"/>
            <w:b w:val="false"/>
            <w:i w:val="false"/>
            <w:color w:val="000000"/>
            <w:sz w:val="22"/>
          </w:rPr>
          <w:t>423.15</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701—Chapter 205</w:t>
        </w:r>
      </w:hyperlink>
      <w:r>
        <w:rPr>
          <w:rFonts w:ascii="Times New Roman" w:hAnsi="Times New Roman"/>
          <w:b w:val="false"/>
          <w:i w:val="false"/>
          <w:color w:val="000000"/>
          <w:sz w:val="22"/>
        </w:rPr>
        <w:t xml:space="preserve"> are used to determine whether a sale is subject to local option taxes and, if so, in what jurisdiction. A local sales and services tax is not applicable to transactions sourced to a place of business, as defined in Iowa Code section </w:t>
      </w:r>
      <w:hyperlink r:id="rId24">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of a retailer if such place of business is located in part within a city or unincorporated area of the county where the tax is not imposed.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270.6(2)</w:t>
      </w:r>
      <w:r>
        <w:rPr>
          <w:rFonts w:ascii="Times New Roman" w:hAnsi="Times New Roman"/>
          <w:b w:val="false"/>
          <w:i w:val="false"/>
          <w:color w:val="000000"/>
          <w:sz w:val="22"/>
        </w:rPr>
        <w:t> </w:t>
      </w:r>
      <w:r>
        <w:rPr>
          <w:rFonts w:ascii="Times New Roman" w:hAnsi="Times New Roman"/>
          <w:b w:val="false"/>
          <w:i/>
          <w:color w:val="000000"/>
          <w:sz w:val="22"/>
        </w:rPr>
        <w:t xml:space="preserve">Sellers responsible for collecting local option sales and services tax. </w:t>
      </w:r>
      <w:r>
        <w:rPr>
          <w:rFonts w:ascii="Times New Roman" w:hAnsi="Times New Roman"/>
          <w:b w:val="false"/>
          <w:i w:val="false"/>
          <w:color w:val="000000"/>
          <w:sz w:val="22"/>
        </w:rPr>
        <w:t xml:space="preserve">Sales sourced to Iowa and made by sellers subject to Iowa Code section </w:t>
      </w:r>
      <w:hyperlink r:id="rId25">
        <w:r>
          <w:rPr>
            <w:rStyle w:val="Hyperlink"/>
            <w:rFonts w:ascii="Times New Roman" w:hAnsi="Times New Roman"/>
            <w:b w:val="false"/>
            <w:i w:val="false"/>
            <w:color w:val="000000"/>
            <w:sz w:val="22"/>
          </w:rPr>
          <w:t>423.1(48)</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423.14A</w:t>
        </w:r>
      </w:hyperlink>
      <w:r>
        <w:rPr>
          <w:rFonts w:ascii="Times New Roman" w:hAnsi="Times New Roman"/>
          <w:b w:val="false"/>
          <w:i w:val="false"/>
          <w:color w:val="000000"/>
          <w:sz w:val="22"/>
        </w:rPr>
        <w:t xml:space="preserve"> are subject to local option sales and services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423B.5(1)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7623C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701—270.7</w:t>
      </w:r>
      <w:r>
        <w:rPr>
          <w:rFonts w:ascii="Times New Roman" w:hAnsi="Times New Roman"/>
          <w:b/>
          <w:i w:val="false"/>
          <w:color w:val="000000"/>
          <w:sz w:val="22"/>
        </w:rPr>
        <w:t xml:space="preserve">(423B,423E) </w:t>
      </w:r>
      <w:r>
        <w:rPr>
          <w:rFonts w:ascii="Times New Roman" w:hAnsi="Times New Roman"/>
          <w:b/>
          <w:i w:val="false"/>
          <w:color w:val="000000"/>
          <w:sz w:val="22"/>
        </w:rPr>
        <w:t xml:space="preserve">Sales not subject to local option tax, including transactions subject to Iowa use tax. </w:t>
      </w:r>
      <w:r>
        <w:rPr>
          <w:rFonts w:ascii="Times New Roman" w:hAnsi="Times New Roman"/>
          <w:b w:val="false"/>
          <w:i w:val="false"/>
          <w:color w:val="000000"/>
          <w:sz w:val="22"/>
        </w:rPr>
        <w:t>The local option sales and services tax is imposed upon the same basis as the Iowa state sales and services tax, with the following 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Local option tax is not imposed on the sales price from the sale of tangible personal property and services that are excluded from local option tax as described in Iowa Code section </w:t>
      </w:r>
      <w:hyperlink r:id="rId28">
        <w:r>
          <w:rPr>
            <w:rStyle w:val="Hyperlink"/>
            <w:rFonts w:ascii="Times New Roman" w:hAnsi="Times New Roman"/>
            <w:b w:val="false"/>
            <w:i w:val="false"/>
            <w:color w:val="000000"/>
            <w:sz w:val="22"/>
          </w:rPr>
          <w:t>423B.5(1)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local taxing jurisdiction is prohibited from taxing the sales price from a pay television service consisting of a direct-to-home satellite service to the extent precluded by Section 602 of the Telecommunications Act of 1996. A “local taxing jurisdiction” is any municipality, city, county, township, parish, transportation district, or assessment jurisdiction, or any other local jurisdiction in the territorial jurisdiction of the United States, with the authority to impose a tax or fee, but does not include a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Sales subject to Iowa use tax. Since the local option tax is imposed only on the same basis and not on any greater basis than the Iowa sales and services tax, local option tax is not imposed on any transactions subject to Iowa use tax, including the one-time registration fee applicable to vehicles subject to registration or subject only to the issuance of a certificate of title. Also, exemptions that are applicable only to Iowa use tax cannot be claimed to exempt any transaction subject to local option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423B.5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7623C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701—270.8</w:t>
      </w:r>
      <w:r>
        <w:rPr>
          <w:rFonts w:ascii="Times New Roman" w:hAnsi="Times New Roman"/>
          <w:b/>
          <w:i w:val="false"/>
          <w:color w:val="000000"/>
          <w:sz w:val="22"/>
        </w:rPr>
        <w:t xml:space="preserve">(423B) </w:t>
      </w:r>
      <w:r>
        <w:rPr>
          <w:rFonts w:ascii="Times New Roman" w:hAnsi="Times New Roman"/>
          <w:b/>
          <w:i w:val="false"/>
          <w:color w:val="000000"/>
          <w:sz w:val="22"/>
        </w:rPr>
        <w:t xml:space="preserve">Local option sales and services tax payments to local governments.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270.8(1)</w:t>
      </w:r>
      <w:r>
        <w:rPr>
          <w:rFonts w:ascii="Times New Roman" w:hAnsi="Times New Roman"/>
          <w:b w:val="false"/>
          <w:i w:val="false"/>
          <w:color w:val="000000"/>
          <w:sz w:val="22"/>
        </w:rPr>
        <w:t> </w:t>
      </w:r>
      <w:r>
        <w:rPr>
          <w:rFonts w:ascii="Times New Roman" w:hAnsi="Times New Roman"/>
          <w:b w:val="false"/>
          <w:i/>
          <w:color w:val="000000"/>
          <w:sz w:val="22"/>
        </w:rPr>
        <w:t xml:space="preserve">County-imposed local sales and services tax; division of funds from accounts. </w:t>
      </w:r>
      <w:r>
        <w:rPr>
          <w:rFonts w:ascii="Times New Roman" w:hAnsi="Times New Roman"/>
          <w:b w:val="false"/>
          <w:i w:val="false"/>
          <w:color w:val="000000"/>
          <w:sz w:val="22"/>
        </w:rPr>
        <w:t>Division of the amount from each county’s account to be distributed is done with these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total amount in the county’s account to be distributed is first divided into two parts. One part is equal to 75 percent of the total amount to be distributed. The second part is the remainder to be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 comprised of 75 percent of the total receipts to be distributed is further divided into an amount for each participating city or unincorporated area. This division is based upon the most recent certified federal census population and any subsequent certified census. Population for each participating city and unincorporated area is determined separately and totaled. The population for each sales tax-imposing city or unincorporated area is divided by the total population to produce a percentage for each city or the unincorporated area. The percentages are rounded to the nearest one-hundredth of a percent with the total of all percentages equal to 100 percent. Each government’s percentage is multiplied by 75 percent of the sales tax receipts to be distributed. Distributions are to be rounded to the nearest cent.</w:t>
      </w:r>
    </w:p>
    <w:p>
      <w:pPr>
        <w:spacing w:before="0" w:after="0"/>
        <w:ind w:left="120"/>
        <w:jc w:val="both"/>
      </w:pPr>
      <w:r>
        <w:rPr>
          <w:rFonts w:ascii="Times New Roman" w:hAnsi="Times New Roman"/>
          <w:b w:val="false"/>
          <w:i w:val="false"/>
          <w:color w:val="000000"/>
          <w:sz w:val="22"/>
        </w:rPr>
        <w:t>There are two types of certified federal censuses. The first is the usual decennial census that is always conducted throughout the entire area of any county imposing a local option sales tax.</w:t>
      </w:r>
    </w:p>
    <w:p>
      <w:pPr>
        <w:spacing w:before="0" w:after="0"/>
        <w:ind w:left="120"/>
        <w:jc w:val="both"/>
      </w:pPr>
      <w:r>
        <w:rPr>
          <w:rFonts w:ascii="Times New Roman" w:hAnsi="Times New Roman"/>
          <w:b w:val="false"/>
          <w:i w:val="false"/>
          <w:color w:val="000000"/>
          <w:sz w:val="22"/>
        </w:rPr>
        <w:t>The second type of certified federal census is the “interim” or “subsequent” census that is conducted between decennial censuses. An interim or subsequent census is not necessarily conducted within an entire county but may be used to count increases or decreases in only one or some of the jurisdictions within that county, for instance, one particular municipality. If an interim census is conducted within only certain participating jurisdictions of a county where a local option sales tax is imposed, the changes in population which that census reflects must be included within both the numerator and the denominator of the fraction that is used to compute the participating jurisdiction’s share of the revenue from the county’s account that is based on county population. Example 3 of this rule contains a demonstration of how an interim census can affect a population distribution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remaining 25 percent of the amount to be distributed is further divided based upon property taxes levied. The sum of property tax dollars to be used is the amount levied for the three years from July 1, 1982, through June 30, 1985, as obtained by using data from county tax rate reports and city tax rate reports compiled by the department of management. Property taxes levied by participating cities or the board of supervisors, if the local sales tax is imposed in unincorporated areas, are to be determined separately, then totaled. The property tax amount for each sales tax-imposing city and the board of supervisors, if the sales tax is imposed in unincorporated areas, is divided by the totaled property tax to produce a percentage. The percentages are rounded to the nearest one-hundredth of a percent with the total of all percentages equal to 100 percent. Each percentage is multiplied by 25 percent of the sales tax receipts to be distributed. Distributions are to be rounded to the nearest 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participating city, or the board of supervisors if unincorporated areas of the county participate, the amount determined in </w:t>
      </w:r>
      <w:hyperlink r:id="rId30">
        <w:r>
          <w:rPr>
            <w:rStyle w:val="Hyperlink"/>
            <w:rFonts w:ascii="Times New Roman" w:hAnsi="Times New Roman"/>
            <w:b w:val="false"/>
            <w:i w:val="false"/>
            <w:color w:val="000000"/>
            <w:sz w:val="22"/>
          </w:rPr>
          <w:t>paragraph 270.8(1)</w:t>
        </w:r>
      </w:hyperlink>
      <w:r>
        <w:rPr>
          <w:rFonts w:ascii="Times New Roman" w:hAnsi="Times New Roman"/>
          <w:b w:val="false"/>
          <w:i/>
          <w:color w:val="000000"/>
          <w:sz w:val="22"/>
        </w:rPr>
        <w:t>“c”</w:t>
      </w:r>
      <w:r>
        <w:rPr>
          <w:rFonts w:ascii="Times New Roman" w:hAnsi="Times New Roman"/>
          <w:b w:val="false"/>
          <w:i w:val="false"/>
          <w:color w:val="000000"/>
          <w:sz w:val="22"/>
        </w:rPr>
        <w:t xml:space="preserve"> is added to the amount found in </w:t>
      </w:r>
      <w:hyperlink r:id="rId31">
        <w:r>
          <w:rPr>
            <w:rStyle w:val="Hyperlink"/>
            <w:rFonts w:ascii="Times New Roman" w:hAnsi="Times New Roman"/>
            <w:b w:val="false"/>
            <w:i w:val="false"/>
            <w:color w:val="000000"/>
            <w:sz w:val="22"/>
          </w:rPr>
          <w:t>paragraph 270.8(1)</w:t>
        </w:r>
      </w:hyperlink>
      <w:r>
        <w:rPr>
          <w:rFonts w:ascii="Times New Roman" w:hAnsi="Times New Roman"/>
          <w:b w:val="false"/>
          <w:i/>
          <w:color w:val="000000"/>
          <w:sz w:val="22"/>
        </w:rPr>
        <w:t>“b.”</w:t>
      </w:r>
      <w:r>
        <w:rPr>
          <w:rFonts w:ascii="Times New Roman" w:hAnsi="Times New Roman"/>
          <w:b w:val="false"/>
          <w:i w:val="false"/>
          <w:color w:val="000000"/>
          <w:sz w:val="22"/>
        </w:rPr>
        <w:t xml:space="preserve"> This amount is then to be remitted to the appropriate local government.</w:t>
      </w:r>
    </w:p>
    <w:p>
      <w:pPr>
        <w:spacing w:before="0" w:after="0"/>
        <w:ind w:left="120"/>
        <w:jc w:val="both"/>
      </w:pPr>
      <w:r>
        <w:rPr>
          <w:rFonts w:ascii="Times New Roman" w:hAnsi="Times New Roman"/>
          <w:b w:val="false"/>
          <w:i w:val="false"/>
          <w:color w:val="000000"/>
          <w:sz w:val="22"/>
        </w:rPr>
        <w:t>In order to illustrate the division of local option sales and services tax receipts, the following examples are provided. The numbers are shown in an attempt to reflect reality but are hypothetical.</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If a local option sales tax is approved for all of Pottawattamie County, the distribution of $100,000 in countywide receipts would be made in this manner:</w:t>
      </w:r>
    </w:p>
    <w:p>
      <w:pPr>
        <w:spacing w:before="0" w:after="0"/>
        <w:ind w:left="120"/>
        <w:jc w:val="both"/>
      </w:pPr>
      <w:r>
        <w:rPr>
          <w:rFonts w:ascii="Times New Roman" w:hAnsi="Times New Roman"/>
          <w:b w:val="false"/>
          <w:i w:val="false"/>
          <w:color w:val="000000"/>
          <w:sz w:val="22"/>
        </w:rPr>
        <w:t>Step 1:</w:t>
      </w:r>
    </w:p>
    <w:tbl>
      <w:tblPr>
        <w:tblW w:w="5000" w:type="pct"/>
        <w:tblCellSpacing w:w="0" w:type="auto"/>
        <w:tblBorders>
          <w:top w:val="none"/>
          <w:left w:val="none"/>
          <w:bottom w:val="none"/>
          <w:right w:val="none"/>
          <w:insideH w:val="none"/>
          <w:insideV w:val="none"/>
        </w:tblBorders>
        <w:tblLayout w:type="fixed"/>
      </w:tblPr>
      <w:tblGrid>
        <w:gridCol w:w="6715"/>
        <w:gridCol w:w="4475"/>
      </w:tblGrid>
      <w:tr>
        <w:trPr>
          <w:trHeight w:val="210" w:hRule="atLeast"/>
        </w:trPr>
        <w:tc>
          <w:tcPr>
            <w:tcW w:w="6715" w:type="dxa"/>
            <w:tcBorders/>
            <w:tcMar>
              <w:top w:w="30" w:type="dxa"/>
              <w:left w:w="30" w:type="dxa"/>
              <w:bottom w:w="15" w:type="dxa"/>
              <w:right w:w="30" w:type="dxa"/>
            </w:tcMar>
            <w:vAlign w:val="top"/>
          </w:tcPr>
          <w:p>
            <w:pPr>
              <w:spacing w:before="0" w:after="0"/>
              <w:ind w:left="160"/>
              <w:jc w:val="both"/>
            </w:pPr>
            <w:r>
              <w:rPr>
                <w:rFonts w:ascii="Times New Roman" w:hAnsi="Times New Roman"/>
                <w:b/>
                <w:i w:val="false"/>
                <w:color w:val="000000"/>
                <w:sz w:val="16"/>
              </w:rPr>
              <w:t>Distribution Basis</w:t>
            </w:r>
          </w:p>
        </w:tc>
        <w:tc>
          <w:tcPr>
            <w:tcW w:w="4475" w:type="dxa"/>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16"/>
              </w:rPr>
              <w:t>Amount</w:t>
            </w:r>
          </w:p>
        </w:tc>
      </w:tr>
      <w:tr>
        <w:trPr>
          <w:trHeight w:val="210" w:hRule="atLeast"/>
        </w:trPr>
        <w:tc>
          <w:tcPr>
            <w:tcW w:w="6715"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Population</w:t>
            </w:r>
          </w:p>
        </w:tc>
        <w:tc>
          <w:tcPr>
            <w:tcW w:w="44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$ 75,000.00</w:t>
            </w:r>
          </w:p>
        </w:tc>
      </w:tr>
      <w:tr>
        <w:trPr>
          <w:trHeight w:val="225" w:hRule="atLeast"/>
        </w:trPr>
        <w:tc>
          <w:tcPr>
            <w:tcW w:w="6715"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Property Taxes Levied</w:t>
            </w:r>
          </w:p>
        </w:tc>
        <w:tc>
          <w:tcPr>
            <w:tcW w:w="44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25,000.00</w:t>
            </w:r>
          </w:p>
        </w:tc>
      </w:tr>
      <w:tr>
        <w:trPr>
          <w:trHeight w:val="225" w:hRule="atLeast"/>
        </w:trPr>
        <w:tc>
          <w:tcPr>
            <w:tcW w:w="6715"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Total</w:t>
            </w:r>
          </w:p>
        </w:tc>
        <w:tc>
          <w:tcPr>
            <w:tcW w:w="44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$100,000.00</w:t>
            </w:r>
          </w:p>
        </w:tc>
      </w:tr>
      <w:tr>
        <w:trPr>
          <w:trHeight w:val="225" w:hRule="atLeast"/>
        </w:trPr>
        <w:tc>
          <w:tcPr>
            <w:tcW w:w="6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Step 2:</w:t>
      </w:r>
    </w:p>
    <w:tbl>
      <w:tblPr>
        <w:tblW w:w="5000" w:type="pct"/>
        <w:tblCellSpacing w:w="0" w:type="auto"/>
        <w:tblBorders>
          <w:top w:val="none"/>
          <w:left w:val="none"/>
          <w:bottom w:val="none"/>
          <w:right w:val="none"/>
          <w:insideH w:val="none"/>
          <w:insideV w:val="none"/>
        </w:tblBorders>
        <w:tblLayout w:type="fixed"/>
      </w:tblPr>
      <w:tblGrid>
        <w:gridCol w:w="841"/>
        <w:gridCol w:w="3145"/>
        <w:gridCol w:w="2185"/>
        <w:gridCol w:w="2185"/>
        <w:gridCol w:w="2185"/>
        <w:gridCol w:w="649"/>
      </w:tblGrid>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Certified Population</w:t>
            </w:r>
          </w:p>
        </w:tc>
        <w:tc>
          <w:tcPr>
            <w:tcW w:w="2185"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Receipts to be</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Jurisdiction</w:t>
            </w:r>
          </w:p>
        </w:tc>
        <w:tc>
          <w:tcPr>
            <w:tcW w:w="2185"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Number</w:t>
            </w:r>
          </w:p>
        </w:tc>
        <w:tc>
          <w:tcPr>
            <w:tcW w:w="2185"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Percentage</w:t>
            </w:r>
          </w:p>
        </w:tc>
        <w:tc>
          <w:tcPr>
            <w:tcW w:w="2185"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Distributed</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Avoca</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1,650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1.91%</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$ 1,432.50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Carson</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716</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0.83%</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622.50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Carter Lake</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3,438</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3.98%</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2,985.00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Council Bluffs</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56,449</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65.30%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48,975.00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Crescent</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547</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0.63%</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472.50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Hancock</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254</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0.29%</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217.50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Macedonia</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279</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0.32%</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240.00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McClelland</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177</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0.20%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150.00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Minden</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419</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0.49%</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367.50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Neola</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839</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0.97%</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727.50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Oakland</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1,552</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1,350.00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Treynor</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981</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1.13%</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847.50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Underwood</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448</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0.52%</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390.00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Walnut</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897</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1.04%</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780.00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Unincorporated</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17,796</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20.59%</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15,442.50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218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86,442</w:t>
            </w:r>
          </w:p>
        </w:tc>
        <w:tc>
          <w:tcPr>
            <w:tcW w:w="218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w:t>
            </w:r>
          </w:p>
        </w:tc>
        <w:tc>
          <w:tcPr>
            <w:tcW w:w="218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$75,000.00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The portion of the city of Shelby in Pottawattamie County is excluded.</w:t>
      </w:r>
    </w:p>
    <w:p>
      <w:pPr>
        <w:spacing w:before="0" w:after="0"/>
        <w:ind w:left="120"/>
        <w:jc w:val="both"/>
      </w:pPr>
      <w:r>
        <w:rPr>
          <w:rFonts w:ascii="Times New Roman" w:hAnsi="Times New Roman"/>
          <w:b w:val="false"/>
          <w:i w:val="false"/>
          <w:color w:val="000000"/>
          <w:sz w:val="22"/>
        </w:rPr>
        <w:t>Step 3:</w:t>
      </w:r>
    </w:p>
    <w:tbl>
      <w:tblPr>
        <w:tblW w:w="5000" w:type="pct"/>
        <w:tblCellSpacing w:w="0" w:type="auto"/>
        <w:tblBorders>
          <w:top w:val="none"/>
          <w:left w:val="none"/>
          <w:bottom w:val="none"/>
          <w:right w:val="none"/>
          <w:insideH w:val="none"/>
          <w:insideV w:val="none"/>
        </w:tblBorders>
        <w:tblLayout w:type="fixed"/>
      </w:tblPr>
      <w:tblGrid>
        <w:gridCol w:w="843"/>
        <w:gridCol w:w="3147"/>
        <w:gridCol w:w="2187"/>
        <w:gridCol w:w="2187"/>
        <w:gridCol w:w="2176"/>
        <w:gridCol w:w="650"/>
      </w:tblGrid>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Three-Year Total Taxes Levied</w:t>
            </w:r>
          </w:p>
        </w:tc>
        <w:tc>
          <w:tcPr>
            <w:tcW w:w="2176"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Receipts to be</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Jurisdiction</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Amount</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Percentage</w:t>
            </w:r>
          </w:p>
        </w:tc>
        <w:tc>
          <w:tcPr>
            <w:tcW w:w="2176"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Distributed</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Avoca</w:t>
            </w:r>
          </w:p>
        </w:tc>
        <w:tc>
          <w:tcPr>
            <w:tcW w:w="218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454,556</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0.82%</w:t>
            </w:r>
          </w:p>
        </w:tc>
        <w:tc>
          <w:tcPr>
            <w:tcW w:w="217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205.00</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Carson</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202,882</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0.37%</w:t>
            </w:r>
          </w:p>
        </w:tc>
        <w:tc>
          <w:tcPr>
            <w:tcW w:w="21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92.50</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Carter Lake</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946,026</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1.71%</w:t>
            </w:r>
          </w:p>
        </w:tc>
        <w:tc>
          <w:tcPr>
            <w:tcW w:w="21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427.50</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Council Bluffs</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30,290,732</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54.81%</w:t>
            </w:r>
          </w:p>
        </w:tc>
        <w:tc>
          <w:tcPr>
            <w:tcW w:w="21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13,702.50</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Crescent</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7,732</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0.01%</w:t>
            </w:r>
          </w:p>
        </w:tc>
        <w:tc>
          <w:tcPr>
            <w:tcW w:w="21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Hancock</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56,705</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0.10%</w:t>
            </w:r>
          </w:p>
        </w:tc>
        <w:tc>
          <w:tcPr>
            <w:tcW w:w="21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Macedonia</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64,504</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0.12%</w:t>
            </w:r>
          </w:p>
        </w:tc>
        <w:tc>
          <w:tcPr>
            <w:tcW w:w="21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30.00</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McClelland</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24,300</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0.04%</w:t>
            </w:r>
          </w:p>
        </w:tc>
        <w:tc>
          <w:tcPr>
            <w:tcW w:w="21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Minden</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155,112</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0.28%</w:t>
            </w:r>
          </w:p>
        </w:tc>
        <w:tc>
          <w:tcPr>
            <w:tcW w:w="21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70.00</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Neola</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206,560</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0.38%</w:t>
            </w:r>
          </w:p>
        </w:tc>
        <w:tc>
          <w:tcPr>
            <w:tcW w:w="21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95.00</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Oakland</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319,153</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0.58%</w:t>
            </w:r>
          </w:p>
        </w:tc>
        <w:tc>
          <w:tcPr>
            <w:tcW w:w="21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145.00</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Treynor</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346,849</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0.63%</w:t>
            </w:r>
          </w:p>
        </w:tc>
        <w:tc>
          <w:tcPr>
            <w:tcW w:w="21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157.50</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Underwood</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139,571</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0.25%</w:t>
            </w:r>
          </w:p>
        </w:tc>
        <w:tc>
          <w:tcPr>
            <w:tcW w:w="21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62.50</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Walnut</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264,145</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0.48%</w:t>
            </w:r>
          </w:p>
        </w:tc>
        <w:tc>
          <w:tcPr>
            <w:tcW w:w="21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120.00</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Unincorporated</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21,782,457</w:t>
            </w:r>
          </w:p>
        </w:tc>
        <w:tc>
          <w:tcPr>
            <w:tcW w:w="21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39.42%</w:t>
            </w:r>
          </w:p>
        </w:tc>
        <w:tc>
          <w:tcPr>
            <w:tcW w:w="21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9,855.00</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218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$55,262,284</w:t>
            </w:r>
          </w:p>
        </w:tc>
        <w:tc>
          <w:tcPr>
            <w:tcW w:w="218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w:t>
            </w:r>
          </w:p>
        </w:tc>
        <w:tc>
          <w:tcPr>
            <w:tcW w:w="217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$25,000.00</w:t>
            </w:r>
          </w:p>
        </w:tc>
        <w:tc>
          <w:tcPr>
            <w:tcW w:w="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Step 4:</w:t>
      </w:r>
    </w:p>
    <w:tbl>
      <w:tblPr>
        <w:tblW w:w="5000" w:type="pct"/>
        <w:tblCellSpacing w:w="0" w:type="auto"/>
        <w:tblBorders>
          <w:top w:val="none"/>
          <w:left w:val="none"/>
          <w:bottom w:val="none"/>
          <w:right w:val="none"/>
          <w:insideH w:val="none"/>
          <w:insideV w:val="none"/>
        </w:tblBorders>
        <w:tblLayout w:type="fixed"/>
      </w:tblPr>
      <w:tblGrid>
        <w:gridCol w:w="841"/>
        <w:gridCol w:w="3145"/>
        <w:gridCol w:w="2185"/>
        <w:gridCol w:w="2185"/>
        <w:gridCol w:w="2185"/>
        <w:gridCol w:w="649"/>
      </w:tblGrid>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Amount to be Distributed</w:t>
            </w:r>
          </w:p>
        </w:tc>
        <w:tc>
          <w:tcPr>
            <w:tcW w:w="2185"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Total</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Jurisdiction</w:t>
            </w:r>
          </w:p>
        </w:tc>
        <w:tc>
          <w:tcPr>
            <w:tcW w:w="2185"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By Population</w:t>
            </w:r>
          </w:p>
        </w:tc>
        <w:tc>
          <w:tcPr>
            <w:tcW w:w="2185"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By Taxes</w:t>
            </w:r>
          </w:p>
        </w:tc>
        <w:tc>
          <w:tcPr>
            <w:tcW w:w="2185"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Distribution</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Avoca</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$ 1,432.50</w:t>
            </w:r>
          </w:p>
        </w:tc>
        <w:tc>
          <w:tcPr>
            <w:tcW w:w="218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205.00</w:t>
            </w:r>
          </w:p>
        </w:tc>
        <w:tc>
          <w:tcPr>
            <w:tcW w:w="218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 xml:space="preserve"> 1,637.50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Carson</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622.50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92.50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715.00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Carter Lake</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2,985.00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427.50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3,412.50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Council Bluffs</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48,975.00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13,702.50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62,677.50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Crescent</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472.50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475.00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Hancock</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217.50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242.50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Macedonia</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240.00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30.00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270.00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McClelland</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150.00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160.00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Minden</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367.50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70.00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437.50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Neola</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727.50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95.00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822.50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Oakland</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1,350.00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145.00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1,495.00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Treynor</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847.50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157.50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1,005.00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Underwood</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390.00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62.50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452.50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Walnut</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780.00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120.00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900.00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Unincorporated</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15,442.50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9,855.00</w:t>
            </w:r>
          </w:p>
        </w:tc>
        <w:tc>
          <w:tcPr>
            <w:tcW w:w="2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25,297.50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218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$75,000.00</w:t>
            </w:r>
          </w:p>
        </w:tc>
        <w:tc>
          <w:tcPr>
            <w:tcW w:w="218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$25,000.00</w:t>
            </w:r>
          </w:p>
        </w:tc>
        <w:tc>
          <w:tcPr>
            <w:tcW w:w="218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$100,000.00</w:t>
            </w:r>
          </w:p>
        </w:tc>
        <w:tc>
          <w:tcPr>
            <w:tcW w:w="6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If a local option sales tax is approved for Avoca, Oakland and Treynor in Pottawattamie County and $10,000 is to be distributed, the distribution would be made in this manner:</w:t>
      </w:r>
    </w:p>
    <w:p>
      <w:pPr>
        <w:spacing w:before="0" w:after="0"/>
        <w:ind w:left="120"/>
        <w:jc w:val="both"/>
      </w:pPr>
      <w:r>
        <w:rPr>
          <w:rFonts w:ascii="Times New Roman" w:hAnsi="Times New Roman"/>
          <w:b w:val="false"/>
          <w:i w:val="false"/>
          <w:color w:val="000000"/>
          <w:sz w:val="22"/>
        </w:rPr>
        <w:t>Step 1:</w:t>
      </w:r>
    </w:p>
    <w:tbl>
      <w:tblPr>
        <w:tblW w:w="5000" w:type="pct"/>
        <w:tblCellSpacing w:w="0" w:type="auto"/>
        <w:tblBorders>
          <w:top w:val="none"/>
          <w:left w:val="none"/>
          <w:bottom w:val="none"/>
          <w:right w:val="none"/>
          <w:insideH w:val="none"/>
          <w:insideV w:val="none"/>
        </w:tblBorders>
        <w:tblLayout w:type="fixed"/>
      </w:tblPr>
      <w:tblGrid>
        <w:gridCol w:w="6715"/>
        <w:gridCol w:w="4475"/>
      </w:tblGrid>
      <w:tr>
        <w:trPr>
          <w:trHeight w:val="210" w:hRule="atLeast"/>
        </w:trPr>
        <w:tc>
          <w:tcPr>
            <w:tcW w:w="6715" w:type="dxa"/>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Distribution Basis</w:t>
            </w:r>
          </w:p>
        </w:tc>
        <w:tc>
          <w:tcPr>
            <w:tcW w:w="4475" w:type="dxa"/>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16"/>
              </w:rPr>
              <w:t>Amount</w:t>
            </w:r>
          </w:p>
        </w:tc>
      </w:tr>
      <w:tr>
        <w:trPr>
          <w:trHeight w:val="210" w:hRule="atLeast"/>
        </w:trPr>
        <w:tc>
          <w:tcPr>
            <w:tcW w:w="671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Population</w:t>
            </w:r>
          </w:p>
        </w:tc>
        <w:tc>
          <w:tcPr>
            <w:tcW w:w="44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$ 7,500.00</w:t>
            </w:r>
          </w:p>
        </w:tc>
      </w:tr>
      <w:tr>
        <w:trPr>
          <w:trHeight w:val="225" w:hRule="atLeast"/>
        </w:trPr>
        <w:tc>
          <w:tcPr>
            <w:tcW w:w="671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Property Taxes Levied</w:t>
            </w:r>
          </w:p>
        </w:tc>
        <w:tc>
          <w:tcPr>
            <w:tcW w:w="44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w:t>
            </w:r>
          </w:p>
        </w:tc>
      </w:tr>
      <w:tr>
        <w:trPr>
          <w:trHeight w:val="225" w:hRule="atLeast"/>
        </w:trPr>
        <w:tc>
          <w:tcPr>
            <w:tcW w:w="671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44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$10,000.00</w:t>
            </w:r>
          </w:p>
        </w:tc>
      </w:tr>
      <w:tr>
        <w:trPr>
          <w:trHeight w:val="225" w:hRule="atLeast"/>
        </w:trPr>
        <w:tc>
          <w:tcPr>
            <w:tcW w:w="6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Step 2:</w:t>
      </w:r>
    </w:p>
    <w:tbl>
      <w:tblPr>
        <w:tblW w:w="5000" w:type="pct"/>
        <w:tblCellSpacing w:w="0" w:type="auto"/>
        <w:tblBorders>
          <w:top w:val="none"/>
          <w:left w:val="none"/>
          <w:bottom w:val="none"/>
          <w:right w:val="none"/>
          <w:insideH w:val="none"/>
          <w:insideV w:val="none"/>
        </w:tblBorders>
        <w:tblLayout w:type="fixed"/>
      </w:tblPr>
      <w:tblGrid>
        <w:gridCol w:w="3086"/>
        <w:gridCol w:w="2702"/>
        <w:gridCol w:w="2701"/>
        <w:gridCol w:w="2701"/>
      </w:tblGrid>
      <w:tr>
        <w:trPr>
          <w:trHeight w:val="210" w:hRule="atLeast"/>
        </w:trPr>
        <w:tc>
          <w:tcPr>
            <w:tcW w:w="3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Certified Population</w:t>
            </w:r>
          </w:p>
        </w:tc>
        <w:tc>
          <w:tcPr>
            <w:tcW w:w="27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Receipts to be</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Jurisdiction</w:t>
            </w:r>
          </w:p>
        </w:tc>
        <w:tc>
          <w:tcPr>
            <w:tcW w:w="2702"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Number</w:t>
            </w:r>
          </w:p>
        </w:tc>
        <w:tc>
          <w:tcPr>
            <w:tcW w:w="27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Percentage</w:t>
            </w:r>
          </w:p>
        </w:tc>
        <w:tc>
          <w:tcPr>
            <w:tcW w:w="27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Distributed</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Avoca</w:t>
            </w:r>
          </w:p>
        </w:tc>
        <w:tc>
          <w:tcPr>
            <w:tcW w:w="2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1,650</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39.45%</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$2,958.75</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Oakland</w:t>
            </w:r>
          </w:p>
        </w:tc>
        <w:tc>
          <w:tcPr>
            <w:tcW w:w="2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1,552</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37.10%</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2,782.50</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Treynor</w:t>
            </w:r>
          </w:p>
        </w:tc>
        <w:tc>
          <w:tcPr>
            <w:tcW w:w="2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981</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23.45%</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1,758.75</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270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4,183</w:t>
            </w:r>
          </w:p>
        </w:tc>
        <w:tc>
          <w:tcPr>
            <w:tcW w:w="27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w:t>
            </w:r>
          </w:p>
        </w:tc>
        <w:tc>
          <w:tcPr>
            <w:tcW w:w="27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$7,500.00</w:t>
            </w:r>
          </w:p>
        </w:tc>
      </w:tr>
    </w:tbl>
    <w:p>
      <w:pPr>
        <w:spacing w:before="0" w:after="0"/>
        <w:ind w:left="120"/>
        <w:jc w:val="both"/>
      </w:pPr>
      <w:r>
        <w:rPr>
          <w:rFonts w:ascii="Times New Roman" w:hAnsi="Times New Roman"/>
          <w:b w:val="false"/>
          <w:i w:val="false"/>
          <w:color w:val="000000"/>
          <w:sz w:val="22"/>
        </w:rPr>
        <w:t>Step 3:</w:t>
      </w:r>
    </w:p>
    <w:tbl>
      <w:tblPr>
        <w:tblW w:w="5000" w:type="pct"/>
        <w:tblCellSpacing w:w="0" w:type="auto"/>
        <w:tblBorders>
          <w:top w:val="none"/>
          <w:left w:val="none"/>
          <w:bottom w:val="none"/>
          <w:right w:val="none"/>
          <w:insideH w:val="none"/>
          <w:insideV w:val="none"/>
        </w:tblBorders>
        <w:tblLayout w:type="fixed"/>
      </w:tblPr>
      <w:tblGrid>
        <w:gridCol w:w="3086"/>
        <w:gridCol w:w="2702"/>
        <w:gridCol w:w="2701"/>
        <w:gridCol w:w="2701"/>
      </w:tblGrid>
      <w:tr>
        <w:trPr>
          <w:trHeight w:val="210" w:hRule="atLeast"/>
        </w:trPr>
        <w:tc>
          <w:tcPr>
            <w:tcW w:w="3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Three-Year Total Taxes Levied</w:t>
            </w:r>
          </w:p>
        </w:tc>
        <w:tc>
          <w:tcPr>
            <w:tcW w:w="27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Receipts to be</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Jurisdiction</w:t>
            </w:r>
          </w:p>
        </w:tc>
        <w:tc>
          <w:tcPr>
            <w:tcW w:w="2702"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Amount</w:t>
            </w:r>
          </w:p>
        </w:tc>
        <w:tc>
          <w:tcPr>
            <w:tcW w:w="27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Percentage</w:t>
            </w:r>
          </w:p>
        </w:tc>
        <w:tc>
          <w:tcPr>
            <w:tcW w:w="27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Distributed</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Avoca</w:t>
            </w:r>
          </w:p>
        </w:tc>
        <w:tc>
          <w:tcPr>
            <w:tcW w:w="2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$ 454,556</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40.56%</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$1,014.00</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Oakland</w:t>
            </w:r>
          </w:p>
        </w:tc>
        <w:tc>
          <w:tcPr>
            <w:tcW w:w="2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319,153</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28.48%</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712.00</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Treynor</w:t>
            </w:r>
          </w:p>
        </w:tc>
        <w:tc>
          <w:tcPr>
            <w:tcW w:w="2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346,849</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30.96%</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774.50</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270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$1,120,558</w:t>
            </w:r>
          </w:p>
        </w:tc>
        <w:tc>
          <w:tcPr>
            <w:tcW w:w="27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w:t>
            </w:r>
          </w:p>
        </w:tc>
        <w:tc>
          <w:tcPr>
            <w:tcW w:w="27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$2,500.00</w:t>
            </w:r>
          </w:p>
        </w:tc>
      </w:tr>
    </w:tbl>
    <w:p>
      <w:pPr>
        <w:spacing w:before="0" w:after="0"/>
        <w:ind w:left="120"/>
        <w:jc w:val="both"/>
      </w:pPr>
      <w:r>
        <w:rPr>
          <w:rFonts w:ascii="Times New Roman" w:hAnsi="Times New Roman"/>
          <w:b w:val="false"/>
          <w:i w:val="false"/>
          <w:color w:val="000000"/>
          <w:sz w:val="22"/>
        </w:rPr>
        <w:t>Step 4:</w:t>
      </w:r>
    </w:p>
    <w:tbl>
      <w:tblPr>
        <w:tblW w:w="5000" w:type="pct"/>
        <w:tblCellSpacing w:w="0" w:type="auto"/>
        <w:tblBorders>
          <w:top w:val="none"/>
          <w:left w:val="none"/>
          <w:bottom w:val="none"/>
          <w:right w:val="none"/>
          <w:insideH w:val="none"/>
          <w:insideV w:val="none"/>
        </w:tblBorders>
        <w:tblLayout w:type="fixed"/>
      </w:tblPr>
      <w:tblGrid>
        <w:gridCol w:w="3086"/>
        <w:gridCol w:w="2702"/>
        <w:gridCol w:w="2701"/>
        <w:gridCol w:w="2701"/>
      </w:tblGrid>
      <w:tr>
        <w:trPr>
          <w:trHeight w:val="210" w:hRule="atLeast"/>
        </w:trPr>
        <w:tc>
          <w:tcPr>
            <w:tcW w:w="3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Amount to be Distributed</w:t>
            </w:r>
          </w:p>
        </w:tc>
        <w:tc>
          <w:tcPr>
            <w:tcW w:w="27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Total</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Jurisdiction</w:t>
            </w:r>
          </w:p>
        </w:tc>
        <w:tc>
          <w:tcPr>
            <w:tcW w:w="2702"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By Population</w:t>
            </w:r>
          </w:p>
        </w:tc>
        <w:tc>
          <w:tcPr>
            <w:tcW w:w="27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By Taxes</w:t>
            </w:r>
          </w:p>
        </w:tc>
        <w:tc>
          <w:tcPr>
            <w:tcW w:w="27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Distribution</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Avoca</w:t>
            </w:r>
          </w:p>
        </w:tc>
        <w:tc>
          <w:tcPr>
            <w:tcW w:w="2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$2,958.75</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$1,014.00</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$ 3,972.75</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Oakland</w:t>
            </w:r>
          </w:p>
        </w:tc>
        <w:tc>
          <w:tcPr>
            <w:tcW w:w="2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2,782.50</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712.00</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3,494.50</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Treynor</w:t>
            </w:r>
          </w:p>
        </w:tc>
        <w:tc>
          <w:tcPr>
            <w:tcW w:w="2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1,758.75</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774.00</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2,532.75</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270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$7,500.00</w:t>
            </w:r>
          </w:p>
        </w:tc>
        <w:tc>
          <w:tcPr>
            <w:tcW w:w="27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$2,500.00</w:t>
            </w:r>
          </w:p>
        </w:tc>
        <w:tc>
          <w:tcPr>
            <w:tcW w:w="27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$10,000.00</w:t>
            </w:r>
          </w:p>
        </w:tc>
      </w:tr>
    </w:tbl>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For the purposes of understanding this example, assume that the numbers for “certified population” from Step 2 of Example 2 immediately above are derived from the 1990 decennial census. Assume further that in 1993 an interim census is conducted by the Bureau of the Census in Avoca and Oakland only, and nowhere else in Pottawattamie County. As a result of that interim census, the Bureau of the Census certifies the population of Avoca to be 1,752 and the population of Oakland to be 1,493. The cities’ percentages of receipts to be distributed are recomputed in the following manner:</w:t>
      </w:r>
    </w:p>
    <w:tbl>
      <w:tblPr>
        <w:tblW w:w="5000" w:type="pct"/>
        <w:tblCellSpacing w:w="0" w:type="auto"/>
        <w:tblBorders>
          <w:top w:val="none"/>
          <w:left w:val="none"/>
          <w:bottom w:val="none"/>
          <w:right w:val="none"/>
          <w:insideH w:val="none"/>
          <w:insideV w:val="none"/>
        </w:tblBorders>
        <w:tblLayout w:type="fixed"/>
      </w:tblPr>
      <w:tblGrid>
        <w:gridCol w:w="4190"/>
        <w:gridCol w:w="3518"/>
        <w:gridCol w:w="1405"/>
        <w:gridCol w:w="2077"/>
      </w:tblGrid>
      <w:tr>
        <w:trPr>
          <w:trHeight w:val="225" w:hRule="atLeast"/>
        </w:trPr>
        <w:tc>
          <w:tcPr>
            <w:tcW w:w="4190"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Avoca’s Percentage Equals</w:t>
            </w:r>
          </w:p>
        </w:tc>
        <w:tc>
          <w:tcPr>
            <w:tcW w:w="351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1,752</w:t>
            </w:r>
          </w:p>
        </w:tc>
        <w:tc>
          <w:tcPr>
            <w:tcW w:w="140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077"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41.45%</w:t>
            </w:r>
          </w:p>
        </w:tc>
      </w:tr>
      <w:tr>
        <w:trPr>
          <w:trHeight w:val="225" w:hRule="atLeast"/>
        </w:trPr>
        <w:tc>
          <w:tcPr>
            <w:tcW w:w="0" w:type="auto"/>
            <w:vMerge/>
            <w:tcBorders>
              <w:top w:val="nil"/>
            </w:tcBorders>
          </w:tcPr>
          <w:p/>
        </w:tc>
        <w:tc>
          <w:tcPr>
            <w:tcW w:w="35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1,752 + 1,493 + 981</w:t>
            </w:r>
          </w:p>
        </w:tc>
        <w:tc>
          <w:tcPr>
            <w:tcW w:w="0" w:type="auto"/>
            <w:vMerge/>
            <w:tcBorders>
              <w:top w:val="nil"/>
            </w:tcBorders>
          </w:tcPr>
          <w:p/>
        </w:tc>
        <w:tc>
          <w:tcPr>
            <w:tcW w:w="0" w:type="auto"/>
            <w:vMerge/>
            <w:tcBorders>
              <w:top w:val="nil"/>
            </w:tcBorders>
          </w:tcPr>
          <w:p/>
        </w:tc>
      </w:tr>
    </w:tbl>
    <w:tbl>
      <w:tblPr>
        <w:tblW w:w="5000" w:type="pct"/>
        <w:tblCellSpacing w:w="0" w:type="auto"/>
        <w:tblBorders>
          <w:top w:val="none"/>
          <w:left w:val="none"/>
          <w:bottom w:val="none"/>
          <w:right w:val="none"/>
          <w:insideH w:val="none"/>
          <w:insideV w:val="none"/>
        </w:tblBorders>
        <w:tblLayout w:type="fixed"/>
      </w:tblPr>
      <w:tblGrid>
        <w:gridCol w:w="4190"/>
        <w:gridCol w:w="3518"/>
        <w:gridCol w:w="1405"/>
        <w:gridCol w:w="2077"/>
      </w:tblGrid>
      <w:tr>
        <w:trPr>
          <w:trHeight w:val="225" w:hRule="atLeast"/>
        </w:trPr>
        <w:tc>
          <w:tcPr>
            <w:tcW w:w="4190"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Oakland’s Percentage Equals</w:t>
            </w:r>
          </w:p>
        </w:tc>
        <w:tc>
          <w:tcPr>
            <w:tcW w:w="351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1,493</w:t>
            </w:r>
          </w:p>
        </w:tc>
        <w:tc>
          <w:tcPr>
            <w:tcW w:w="140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077"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35.32%</w:t>
            </w:r>
          </w:p>
        </w:tc>
      </w:tr>
      <w:tr>
        <w:trPr>
          <w:trHeight w:val="225" w:hRule="atLeast"/>
        </w:trPr>
        <w:tc>
          <w:tcPr>
            <w:tcW w:w="0" w:type="auto"/>
            <w:vMerge/>
            <w:tcBorders>
              <w:top w:val="nil"/>
            </w:tcBorders>
          </w:tcPr>
          <w:p/>
        </w:tc>
        <w:tc>
          <w:tcPr>
            <w:tcW w:w="35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1,493 + 1,752 + 981</w:t>
            </w:r>
          </w:p>
        </w:tc>
        <w:tc>
          <w:tcPr>
            <w:tcW w:w="0" w:type="auto"/>
            <w:vMerge/>
            <w:tcBorders>
              <w:top w:val="nil"/>
            </w:tcBorders>
          </w:tcP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Amounts in Step 2 are then revised as follows:</w:t>
      </w:r>
    </w:p>
    <w:tbl>
      <w:tblPr>
        <w:tblW w:w="5000" w:type="pct"/>
        <w:tblCellSpacing w:w="0" w:type="auto"/>
        <w:tblBorders>
          <w:top w:val="none"/>
          <w:left w:val="none"/>
          <w:bottom w:val="none"/>
          <w:right w:val="none"/>
          <w:insideH w:val="none"/>
          <w:insideV w:val="none"/>
        </w:tblBorders>
        <w:tblLayout w:type="fixed"/>
      </w:tblPr>
      <w:tblGrid>
        <w:gridCol w:w="3086"/>
        <w:gridCol w:w="2702"/>
        <w:gridCol w:w="2701"/>
        <w:gridCol w:w="2701"/>
      </w:tblGrid>
      <w:tr>
        <w:trPr>
          <w:trHeight w:val="210" w:hRule="atLeast"/>
        </w:trPr>
        <w:tc>
          <w:tcPr>
            <w:tcW w:w="3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Certified Population</w:t>
            </w:r>
          </w:p>
        </w:tc>
        <w:tc>
          <w:tcPr>
            <w:tcW w:w="27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Receipts to be</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Jurisdiction</w:t>
            </w:r>
          </w:p>
        </w:tc>
        <w:tc>
          <w:tcPr>
            <w:tcW w:w="2702"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Number</w:t>
            </w:r>
          </w:p>
        </w:tc>
        <w:tc>
          <w:tcPr>
            <w:tcW w:w="27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Percentage</w:t>
            </w:r>
          </w:p>
        </w:tc>
        <w:tc>
          <w:tcPr>
            <w:tcW w:w="27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Distributed</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Avoca</w:t>
            </w:r>
          </w:p>
        </w:tc>
        <w:tc>
          <w:tcPr>
            <w:tcW w:w="2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1,752</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41.46%</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$3,109.50</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Oakland</w:t>
            </w:r>
          </w:p>
        </w:tc>
        <w:tc>
          <w:tcPr>
            <w:tcW w:w="2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1,493</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35.33%</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2,649.75</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Treynor</w:t>
            </w:r>
          </w:p>
        </w:tc>
        <w:tc>
          <w:tcPr>
            <w:tcW w:w="2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981</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23.21%</w:t>
            </w:r>
          </w:p>
        </w:tc>
        <w:tc>
          <w:tcPr>
            <w:tcW w:w="27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1,740.75</w:t>
            </w:r>
          </w:p>
        </w:tc>
      </w:tr>
      <w:tr>
        <w:trPr>
          <w:trHeight w:val="210" w:hRule="atLeast"/>
        </w:trPr>
        <w:tc>
          <w:tcPr>
            <w:tcW w:w="30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270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4,226</w:t>
            </w:r>
          </w:p>
        </w:tc>
        <w:tc>
          <w:tcPr>
            <w:tcW w:w="27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w:t>
            </w:r>
          </w:p>
        </w:tc>
        <w:tc>
          <w:tcPr>
            <w:tcW w:w="27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$7,500.00</w:t>
            </w:r>
          </w:p>
        </w:tc>
      </w:tr>
    </w:tbl>
    <w:p>
      <w:pPr>
        <w:spacing w:before="0" w:after="0"/>
        <w:ind w:left="120"/>
        <w:jc w:val="both"/>
      </w:pPr>
      <w:r>
        <w:rPr>
          <w:rFonts w:ascii="Times New Roman" w:hAnsi="Times New Roman"/>
          <w:b w:val="false"/>
          <w:i w:val="false"/>
          <w:color w:val="000000"/>
          <w:sz w:val="22"/>
        </w:rPr>
        <w:t>The “amount to be distributed by population” found in Step 4 of Example 2 would then be recomputed based on the new figures.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270.8(2)</w:t>
      </w:r>
      <w:r>
        <w:rPr>
          <w:rFonts w:ascii="Times New Roman" w:hAnsi="Times New Roman"/>
          <w:b w:val="false"/>
          <w:i w:val="false"/>
          <w:color w:val="000000"/>
          <w:sz w:val="22"/>
        </w:rPr>
        <w:t> </w:t>
      </w:r>
      <w:r>
        <w:rPr>
          <w:rFonts w:ascii="Times New Roman" w:hAnsi="Times New Roman"/>
          <w:b w:val="false"/>
          <w:i/>
          <w:color w:val="000000"/>
          <w:sz w:val="22"/>
        </w:rPr>
        <w:t xml:space="preserve">City-imposed local option sales and services tax. </w:t>
      </w:r>
      <w:r>
        <w:rPr>
          <w:rFonts w:ascii="Times New Roman" w:hAnsi="Times New Roman"/>
          <w:b w:val="false"/>
          <w:i w:val="false"/>
          <w:color w:val="000000"/>
          <w:sz w:val="22"/>
        </w:rPr>
        <w:t xml:space="preserve">More information on the distribution of city-imposed local sales and services tax can be found in Iowa Code section </w:t>
      </w:r>
      <w:hyperlink r:id="rId32">
        <w:r>
          <w:rPr>
            <w:rStyle w:val="Hyperlink"/>
            <w:rFonts w:ascii="Times New Roman" w:hAnsi="Times New Roman"/>
            <w:b w:val="false"/>
            <w:i w:val="false"/>
            <w:color w:val="000000"/>
            <w:sz w:val="22"/>
          </w:rPr>
          <w:t>423B.7(1)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423B.7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7623C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701—270.9</w:t>
      </w:r>
      <w:r>
        <w:rPr>
          <w:rFonts w:ascii="Times New Roman" w:hAnsi="Times New Roman"/>
          <w:b/>
          <w:i w:val="false"/>
          <w:color w:val="000000"/>
          <w:sz w:val="22"/>
        </w:rPr>
        <w:t xml:space="preserve">(423B) </w:t>
      </w:r>
      <w:r>
        <w:rPr>
          <w:rFonts w:ascii="Times New Roman" w:hAnsi="Times New Roman"/>
          <w:b/>
          <w:i w:val="false"/>
          <w:color w:val="000000"/>
          <w:sz w:val="22"/>
        </w:rPr>
        <w:t xml:space="preserve">Allocation procedure when sourcing of local option sales tax remitted to the department is unknown. </w:t>
      </w:r>
      <w:r>
        <w:rPr>
          <w:rFonts w:ascii="Times New Roman" w:hAnsi="Times New Roman"/>
          <w:b w:val="false"/>
          <w:i w:val="false"/>
          <w:color w:val="000000"/>
          <w:sz w:val="22"/>
        </w:rPr>
        <w:t>If the director is unable to determine from which county local option sales tax was collected, that local option sales tax shall be allocated among the various counties in which local option sales and services tax is imposed according to the following procedure: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calculations performed under this procedure shall be performed at least quarterly, but in no event less often than the treasurer of the state is obligated to distribute shares of each county’s account in the local sales and services tax fund.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total amount of receipts for which the director is unable to determine a county of collection that have accumulated since the last allocation of these receipts shall be added together to form one lump sum.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amount of population (according to the most recent certified federal census) within the areas of each individual county in which a local option sales and services tax is imposed shall be determined.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amount of population so determined in numbered paragraph “3” above for each county shall be added to the amount for every other county in Iowa in which the local option sales and services tax is imposed, until the figure for the amount of population of all areas of Iowa in which the local option sales and services tax is imposed is determined.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sum determined to exist in numbered paragraph “2” above shall be multiplied by a fraction, the numerator of which is the population of any one county determined in numbered paragraph “3” above and the denominator of which is the number calculated by the method described in numbered paragraph “4.” The procedure described herein in numbered paragraph “5” shall be used until the amount of tax due to every county imposing local option sales and services tax is calculated. After calculations are complete, the treasurer of the state must distribute shares of each county’s account in the local sales and services tax fund. Characterization of the term “most recent certified federal census” can be found in rule </w:t>
      </w:r>
      <w:hyperlink r:id="rId34">
        <w:r>
          <w:rPr>
            <w:rStyle w:val="Hyperlink"/>
            <w:rFonts w:ascii="Times New Roman" w:hAnsi="Times New Roman"/>
            <w:b w:val="false"/>
            <w:i w:val="false"/>
            <w:color w:val="000000"/>
            <w:sz w:val="22"/>
          </w:rPr>
          <w:t>701—270.1</w:t>
        </w:r>
      </w:hyperlink>
      <w:r>
        <w:rPr>
          <w:rFonts w:ascii="Times New Roman" w:hAnsi="Times New Roman"/>
          <w:b w:val="false"/>
          <w:i w:val="false"/>
          <w:color w:val="000000"/>
          <w:sz w:val="22"/>
        </w:rPr>
        <w:t xml:space="preserve">(423B), and methods of rounding off percentages and monetary sums can be found in rule </w:t>
      </w:r>
      <w:hyperlink r:id="rId35">
        <w:r>
          <w:rPr>
            <w:rStyle w:val="Hyperlink"/>
            <w:rFonts w:ascii="Times New Roman" w:hAnsi="Times New Roman"/>
            <w:b w:val="false"/>
            <w:i w:val="false"/>
            <w:color w:val="000000"/>
            <w:sz w:val="22"/>
          </w:rPr>
          <w:t>701—270.8</w:t>
        </w:r>
      </w:hyperlink>
      <w:r>
        <w:rPr>
          <w:rFonts w:ascii="Times New Roman" w:hAnsi="Times New Roman"/>
          <w:b w:val="false"/>
          <w:i w:val="false"/>
          <w:color w:val="000000"/>
          <w:sz w:val="22"/>
        </w:rPr>
        <w:t>(423B).</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423B.7(1)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7623C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701—270.10</w:t>
      </w:r>
      <w:r>
        <w:rPr>
          <w:rFonts w:ascii="Times New Roman" w:hAnsi="Times New Roman"/>
          <w:b/>
          <w:i w:val="false"/>
          <w:color w:val="000000"/>
          <w:sz w:val="22"/>
        </w:rPr>
        <w:t xml:space="preserve">(423B) </w:t>
      </w:r>
      <w:r>
        <w:rPr>
          <w:rFonts w:ascii="Times New Roman" w:hAnsi="Times New Roman"/>
          <w:b/>
          <w:i w:val="false"/>
          <w:color w:val="000000"/>
          <w:sz w:val="22"/>
        </w:rPr>
        <w:t xml:space="preserve">Application of payments. </w:t>
      </w:r>
      <w:r>
        <w:rPr>
          <w:rFonts w:ascii="Times New Roman" w:hAnsi="Times New Roman"/>
          <w:b w:val="false"/>
          <w:i w:val="false"/>
          <w:color w:val="000000"/>
          <w:sz w:val="22"/>
        </w:rPr>
        <w:t xml:space="preserve">Since a combined state sales and local option return is utilized by the department, all payments received will be applied to satisfy state sales tax and local option sales and services tax, which include tax, penalty and interest. Application of payments received with the tax return and any subsequent payments received will be applied based on a ratio formula, unless properly designated by the taxpayer as provided in Iowa Code section </w:t>
      </w:r>
      <w:hyperlink r:id="rId37">
        <w:r>
          <w:rPr>
            <w:rStyle w:val="Hyperlink"/>
            <w:rFonts w:ascii="Times New Roman" w:hAnsi="Times New Roman"/>
            <w:b w:val="false"/>
            <w:i w:val="false"/>
            <w:color w:val="000000"/>
            <w:sz w:val="22"/>
          </w:rPr>
          <w:t>421.60(2)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ratio for applying all payments received with the return and all subsequent payments for the given tax period will be based upon the calculated total of state sales and local option sales and services tax due for the given tax period in relation to combined total payment of sales and local option sales and services tax actually received for that tax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423B.7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7623C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701—270.11</w:t>
      </w:r>
      <w:r>
        <w:rPr>
          <w:rFonts w:ascii="Times New Roman" w:hAnsi="Times New Roman"/>
          <w:b/>
          <w:i w:val="false"/>
          <w:color w:val="000000"/>
          <w:sz w:val="22"/>
        </w:rPr>
        <w:t xml:space="preserve">(423B) </w:t>
      </w:r>
      <w:r>
        <w:rPr>
          <w:rFonts w:ascii="Times New Roman" w:hAnsi="Times New Roman"/>
          <w:b/>
          <w:i w:val="false"/>
          <w:color w:val="000000"/>
          <w:sz w:val="22"/>
        </w:rPr>
        <w:t xml:space="preserve">Computation of local option tax due from mixed sales on excursion boats. </w:t>
      </w:r>
      <w:r>
        <w:rPr>
          <w:rFonts w:ascii="Times New Roman" w:hAnsi="Times New Roman"/>
          <w:b w:val="false"/>
          <w:i w:val="false"/>
          <w:color w:val="000000"/>
          <w:sz w:val="22"/>
        </w:rPr>
        <w:t xml:space="preserve">Particular difficulties exist in calculating the amount of local option sales tax due for sales occurring on an excursion gambling boat sailing into and out of jurisdictions imposing the local option sales tax. Ordinarily, whether local option sales tax is payable to a particular jurisdiction is based on destination sourcing. More information can be found in Iowa Code section </w:t>
      </w:r>
      <w:hyperlink r:id="rId39">
        <w:r>
          <w:rPr>
            <w:rStyle w:val="Hyperlink"/>
            <w:rFonts w:ascii="Times New Roman" w:hAnsi="Times New Roman"/>
            <w:b w:val="false"/>
            <w:i w:val="false"/>
            <w:color w:val="000000"/>
            <w:sz w:val="22"/>
          </w:rPr>
          <w:t>423.15</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701—Chapter 205</w:t>
        </w:r>
      </w:hyperlink>
      <w:r>
        <w:rPr>
          <w:rFonts w:ascii="Times New Roman" w:hAnsi="Times New Roman"/>
          <w:b w:val="false"/>
          <w:i w:val="false"/>
          <w:color w:val="000000"/>
          <w:sz w:val="22"/>
        </w:rPr>
        <w:t>. However, it can be quite difficult to determine if a moving excursion gambling boat is at any one point in time within or outside of a jurisdiction imposing the local option tax. Thus, it is difficult to determine if a delivery of property or provision of a service on the boat has occurred inside or outside of a local option tax jurisdiction. Because of this, the department will accept the use of any formula that rationally apportions the progress of an excursion gambling boat among jurisdictions that impose a local option tax and those that do not.</w:t>
      </w:r>
    </w:p>
    <w:p>
      <w:pPr>
        <w:spacing w:before="0" w:after="0"/>
        <w:ind w:left="120"/>
        <w:jc w:val="both"/>
      </w:pPr>
      <w:r>
        <w:rPr>
          <w:rFonts w:ascii="Times New Roman" w:hAnsi="Times New Roman"/>
          <w:b w:val="false"/>
          <w:i w:val="false"/>
          <w:color w:val="000000"/>
          <w:sz w:val="22"/>
        </w:rPr>
        <w:t>Below are four examples setting out two possible formulas for apportionment. Examples 1 and 3 utilize a “distance” formula for apportionment. Examples 2 and 4 utilize a “time” formula for apportionment. In Examples 1 and 2, state sales tax is included in the sales price of the taxable items. In Examples 3 and 4, state sales tax is added to taxable gross receipts. In all examples, local option sales tax is included in the sales price; also, for every example, it is assumed that the local option sales tax rate is 1 percent in every jurisdiction where it is imposed.</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The excursion gambling boat “Auric” is based in Clinton. Assume that during a particular cruise there occurs $10,000 worth of vending machine and nongambling game sales. State sales tax and local option tax must be included in the amounts charged for these vending machine and nongambling game sales. Assume that the Auric, on an ordinary cruise, travels round trip for 50 miles on the Mississippi River, 25 of those miles through waters that are part of a local option sales tax jurisdiction and 25 of those miles that are not. The amount of state sales tax due and the amount of local option sales tax (LOST) due using a “distance” apportionment formula are determined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(25 ÷ 50) × 0.01 = 0.005</w:t>
      </w:r>
      <w:r>
        <w:br/>
      </w:r>
    </w:p>
    <w:p>
      <w:pPr>
        <w:spacing w:before="0" w:after="0"/>
        <w:ind w:left="120"/>
        <w:jc w:val="both"/>
      </w:pPr>
      <w:r>
        <w:rPr>
          <w:rFonts w:ascii="Times New Roman" w:hAnsi="Times New Roman"/>
          <w:b w:val="false"/>
          <w:i w:val="false"/>
          <w:color w:val="000000"/>
          <w:sz w:val="22"/>
        </w:rPr>
        <w:t>(miles in LOST jurisdiction ÷ total miles) × LOST rate = effective LOST rate</w:t>
      </w:r>
    </w:p>
    <w:p>
      <w:pPr>
        <w:spacing w:before="0" w:after="0"/>
        <w:ind w:left="120"/>
        <w:jc w:val="both"/>
      </w:pP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1 + 0.06 + 0.005 = 1.065</w:t>
      </w:r>
      <w:r>
        <w:br/>
      </w:r>
    </w:p>
    <w:p>
      <w:pPr>
        <w:spacing w:before="0" w:after="0"/>
        <w:ind w:left="120"/>
        <w:jc w:val="both"/>
      </w:pPr>
      <w:r>
        <w:rPr>
          <w:rFonts w:ascii="Times New Roman" w:hAnsi="Times New Roman"/>
          <w:b w:val="false"/>
          <w:i w:val="false"/>
          <w:color w:val="000000"/>
          <w:sz w:val="22"/>
        </w:rPr>
        <w:t>1 + state sales tax rate + effective LOST rate = (1 + effective total tax rate)</w:t>
      </w:r>
    </w:p>
    <w:p>
      <w:pPr>
        <w:spacing w:before="0" w:after="0"/>
        <w:ind w:left="120"/>
        <w:jc w:val="both"/>
      </w:pP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$10,000.00 ÷ 1.065 = $9,389.67</w:t>
      </w:r>
      <w:r>
        <w:br/>
      </w:r>
    </w:p>
    <w:p>
      <w:pPr>
        <w:spacing w:before="0" w:after="0"/>
        <w:ind w:left="120"/>
        <w:jc w:val="both"/>
      </w:pPr>
      <w:r>
        <w:rPr>
          <w:rFonts w:ascii="Times New Roman" w:hAnsi="Times New Roman"/>
          <w:b w:val="false"/>
          <w:i w:val="false"/>
          <w:color w:val="000000"/>
          <w:sz w:val="22"/>
        </w:rPr>
        <w:t>Gross receipts ÷ (1 + effective total tax rate) = total sales</w:t>
      </w:r>
    </w:p>
    <w:p>
      <w:pPr>
        <w:spacing w:before="0" w:after="0"/>
        <w:ind w:left="120"/>
        <w:jc w:val="both"/>
      </w:pP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$9,389.67 × 0.06 = $563.38</w:t>
      </w:r>
      <w:r>
        <w:br/>
      </w:r>
    </w:p>
    <w:p>
      <w:pPr>
        <w:spacing w:before="0" w:after="0"/>
        <w:ind w:left="120"/>
        <w:jc w:val="both"/>
      </w:pPr>
      <w:r>
        <w:rPr>
          <w:rFonts w:ascii="Times New Roman" w:hAnsi="Times New Roman"/>
          <w:b w:val="false"/>
          <w:i w:val="false"/>
          <w:color w:val="000000"/>
          <w:sz w:val="22"/>
        </w:rPr>
        <w:t>Total sales × state tax rate = state tax amount</w:t>
      </w:r>
    </w:p>
    <w:p>
      <w:pPr>
        <w:spacing w:before="0" w:after="0"/>
        <w:ind w:left="120"/>
        <w:jc w:val="both"/>
      </w:pP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$9,389.67 × 0.005 = $46.95</w:t>
      </w:r>
      <w:r>
        <w:br/>
      </w:r>
    </w:p>
    <w:p>
      <w:pPr>
        <w:spacing w:before="0" w:after="0"/>
        <w:ind w:left="120"/>
        <w:jc w:val="both"/>
      </w:pPr>
      <w:r>
        <w:rPr>
          <w:rFonts w:ascii="Times New Roman" w:hAnsi="Times New Roman"/>
          <w:b w:val="false"/>
          <w:i w:val="false"/>
          <w:color w:val="000000"/>
          <w:sz w:val="22"/>
        </w:rPr>
        <w:t>Total sales × effective LOST rate = LOST amount</w:t>
      </w:r>
    </w:p>
    <w:p>
      <w:pPr>
        <w:spacing w:before="0" w:after="0"/>
        <w:ind w:left="120"/>
        <w:jc w:val="both"/>
      </w:pP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$563.38 + $46.95 = $610.33</w:t>
      </w:r>
      <w:r>
        <w:br/>
      </w:r>
    </w:p>
    <w:p>
      <w:pPr>
        <w:spacing w:before="0" w:after="0"/>
        <w:ind w:left="120"/>
        <w:jc w:val="both"/>
      </w:pPr>
      <w:r>
        <w:rPr>
          <w:rFonts w:ascii="Times New Roman" w:hAnsi="Times New Roman"/>
          <w:b w:val="false"/>
          <w:i w:val="false"/>
          <w:color w:val="000000"/>
          <w:sz w:val="22"/>
        </w:rPr>
        <w:t>State tax amount + LOST amount = total tax amount</w:t>
      </w:r>
    </w:p>
    <w:p>
      <w:pPr>
        <w:spacing w:before="0" w:after="0"/>
        <w:ind w:left="120"/>
        <w:jc w:val="both"/>
      </w:pP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The excursion gambling boat “Blue Diamond” is based in Davenport. Assume that, as in Example 1, during a particular cruise there occurs $10,000 worth of vending machine and nongambling game sales. Again, state sales tax and local option tax are included in the amounts charged for these vending machine and nongambling game sales. The Blue Diamond spends three hours on the water during an ordinary cruise. One hour is spent sailing in waters where no local option sales tax is imposed; two hours are spent in waters where the local option tax is imposed. In this case, the Blue Diamond’s operator can use a formula based on time spent sailing inside and outside of a local option tax-imposing jurisdiction rather than distance traveled within and without such a jurisdiction as in Example 1, so long as there is a reasonable amount of evidence to indicate that the formula reflects with some accuracy the ratio of nontaxable and taxable sales. The calculation is performed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(2 ÷ 3) × 0.01 = 0.00666</w:t>
      </w:r>
      <w:r>
        <w:br/>
      </w:r>
    </w:p>
    <w:p>
      <w:pPr>
        <w:spacing w:before="0" w:after="0"/>
        <w:ind w:left="120"/>
        <w:jc w:val="both"/>
      </w:pPr>
      <w:r>
        <w:rPr>
          <w:rFonts w:ascii="Times New Roman" w:hAnsi="Times New Roman"/>
          <w:b w:val="false"/>
          <w:i w:val="false"/>
          <w:color w:val="000000"/>
          <w:sz w:val="22"/>
        </w:rPr>
        <w:t>(hours in LOST jurisdiction ÷ total hours) × LOST rate = effective LOST rate</w:t>
      </w:r>
    </w:p>
    <w:p>
      <w:pPr>
        <w:spacing w:before="0" w:after="0"/>
        <w:ind w:left="120"/>
        <w:jc w:val="both"/>
      </w:pP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1 + 0.06 + 0.00666 = 1.06666</w:t>
      </w:r>
      <w:r>
        <w:br/>
      </w:r>
    </w:p>
    <w:p>
      <w:pPr>
        <w:spacing w:before="0" w:after="0"/>
        <w:ind w:left="120"/>
        <w:jc w:val="both"/>
      </w:pPr>
      <w:r>
        <w:rPr>
          <w:rFonts w:ascii="Times New Roman" w:hAnsi="Times New Roman"/>
          <w:b w:val="false"/>
          <w:i w:val="false"/>
          <w:color w:val="000000"/>
          <w:sz w:val="22"/>
        </w:rPr>
        <w:t>1 + state sales tax rate + effective LOST rate = (1 + effective total tax rate)</w:t>
      </w:r>
    </w:p>
    <w:p>
      <w:pPr>
        <w:spacing w:before="0" w:after="0"/>
        <w:ind w:left="120"/>
        <w:jc w:val="both"/>
      </w:pP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$10,000.00 ÷ 1.06666 = $9,375.06</w:t>
      </w:r>
      <w:r>
        <w:br/>
      </w:r>
    </w:p>
    <w:p>
      <w:pPr>
        <w:spacing w:before="0" w:after="0"/>
        <w:ind w:left="120"/>
        <w:jc w:val="both"/>
      </w:pPr>
      <w:r>
        <w:rPr>
          <w:rFonts w:ascii="Times New Roman" w:hAnsi="Times New Roman"/>
          <w:b w:val="false"/>
          <w:i w:val="false"/>
          <w:color w:val="000000"/>
          <w:sz w:val="22"/>
        </w:rPr>
        <w:t>Gross receipts ÷ (1 + effective total tax rate) = total sales</w:t>
      </w:r>
    </w:p>
    <w:p>
      <w:pPr>
        <w:spacing w:before="0" w:after="0"/>
        <w:ind w:left="120"/>
        <w:jc w:val="both"/>
      </w:pP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$9,375.06 × 0.06 = $562.50</w:t>
      </w:r>
      <w:r>
        <w:br/>
      </w:r>
    </w:p>
    <w:p>
      <w:pPr>
        <w:spacing w:before="0" w:after="0"/>
        <w:ind w:left="120"/>
        <w:jc w:val="both"/>
      </w:pPr>
      <w:r>
        <w:rPr>
          <w:rFonts w:ascii="Times New Roman" w:hAnsi="Times New Roman"/>
          <w:b w:val="false"/>
          <w:i w:val="false"/>
          <w:color w:val="000000"/>
          <w:sz w:val="22"/>
        </w:rPr>
        <w:t>Total sales × state tax rate = state tax amount</w:t>
      </w:r>
    </w:p>
    <w:p>
      <w:pPr>
        <w:spacing w:before="0" w:after="0"/>
        <w:ind w:left="120"/>
        <w:jc w:val="both"/>
      </w:pP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$9,375.06 × 0.00666 = $62.44</w:t>
      </w:r>
      <w:r>
        <w:br/>
      </w:r>
    </w:p>
    <w:p>
      <w:pPr>
        <w:spacing w:before="0" w:after="0"/>
        <w:ind w:left="120"/>
        <w:jc w:val="both"/>
      </w:pPr>
      <w:r>
        <w:rPr>
          <w:rFonts w:ascii="Times New Roman" w:hAnsi="Times New Roman"/>
          <w:b w:val="false"/>
          <w:i w:val="false"/>
          <w:color w:val="000000"/>
          <w:sz w:val="22"/>
        </w:rPr>
        <w:t>Total sales × effective LOST rate = LOST amount</w:t>
      </w:r>
    </w:p>
    <w:p>
      <w:pPr>
        <w:spacing w:before="0" w:after="0"/>
        <w:ind w:left="120"/>
        <w:jc w:val="both"/>
      </w:pP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$562.50 + $62.44 = $624.94</w:t>
      </w:r>
      <w:r>
        <w:br/>
      </w:r>
    </w:p>
    <w:p>
      <w:pPr>
        <w:spacing w:before="0" w:after="0"/>
        <w:ind w:left="120"/>
        <w:jc w:val="both"/>
      </w:pPr>
      <w:r>
        <w:rPr>
          <w:rFonts w:ascii="Times New Roman" w:hAnsi="Times New Roman"/>
          <w:b w:val="false"/>
          <w:i w:val="false"/>
          <w:color w:val="000000"/>
          <w:sz w:val="22"/>
        </w:rPr>
        <w:t>State tax due + LOST due = total tax amount</w:t>
      </w:r>
    </w:p>
    <w:p>
      <w:pPr>
        <w:spacing w:before="0" w:after="0"/>
        <w:ind w:left="120"/>
        <w:jc w:val="both"/>
      </w:pP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The excursion gambling boat “Golconda” is based in Dubuque. On an ordinary cruise, it will travel a round trip of 50 miles on the Mississippi River. During 25 of those 50 miles, the Golconda is passing through waters that are part of a local option sales tax jurisdiction. Assume that on one particular cruise, $100,000 in taxable gross receipts is collected on the boat. Local option sales tax is included in the $100,000 amount but not state sales tax. Thus, the total amount collected is $106,000; $100,000 in gross receipts, $6,000 in state sales tax. Local option tax is calculated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(25 ÷ 50) × 0.01 = 0.005</w:t>
      </w:r>
      <w:r>
        <w:br/>
      </w:r>
    </w:p>
    <w:p>
      <w:pPr>
        <w:spacing w:before="0" w:after="0"/>
        <w:ind w:left="120"/>
        <w:jc w:val="both"/>
      </w:pPr>
      <w:r>
        <w:rPr>
          <w:rFonts w:ascii="Times New Roman" w:hAnsi="Times New Roman"/>
          <w:b w:val="false"/>
          <w:i w:val="false"/>
          <w:color w:val="000000"/>
          <w:sz w:val="22"/>
        </w:rPr>
        <w:t>(miles in LOST jurisdiction ÷ total miles) × LOST rate = effective LOST rate</w:t>
      </w:r>
    </w:p>
    <w:p>
      <w:pPr>
        <w:spacing w:before="0" w:after="0"/>
        <w:ind w:left="120"/>
        <w:jc w:val="both"/>
      </w:pP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1 + 0.005 = 1.005</w:t>
      </w:r>
      <w:r>
        <w:br/>
      </w:r>
    </w:p>
    <w:p>
      <w:pPr>
        <w:spacing w:before="0" w:after="0"/>
        <w:ind w:left="120"/>
        <w:jc w:val="both"/>
      </w:pPr>
      <w:r>
        <w:rPr>
          <w:rFonts w:ascii="Times New Roman" w:hAnsi="Times New Roman"/>
          <w:b w:val="false"/>
          <w:i w:val="false"/>
          <w:color w:val="000000"/>
          <w:sz w:val="22"/>
        </w:rPr>
        <w:t>1 + effective LOST rate</w:t>
      </w:r>
    </w:p>
    <w:p>
      <w:pPr>
        <w:spacing w:before="0" w:after="0"/>
        <w:ind w:left="120"/>
        <w:jc w:val="both"/>
      </w:pP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$100,000.00 ÷ 1.005 = $99,502.49</w:t>
      </w:r>
      <w:r>
        <w:br/>
      </w:r>
    </w:p>
    <w:p>
      <w:pPr>
        <w:spacing w:before="0" w:after="0"/>
        <w:ind w:left="120"/>
        <w:jc w:val="both"/>
      </w:pPr>
      <w:r>
        <w:rPr>
          <w:rFonts w:ascii="Times New Roman" w:hAnsi="Times New Roman"/>
          <w:b w:val="false"/>
          <w:i w:val="false"/>
          <w:color w:val="000000"/>
          <w:sz w:val="22"/>
        </w:rPr>
        <w:t>Gross receipts including LOST ÷ (1+ effective LOST rate) = total sales</w:t>
      </w:r>
    </w:p>
    <w:p>
      <w:pPr>
        <w:spacing w:before="0" w:after="0"/>
        <w:ind w:left="120"/>
        <w:jc w:val="both"/>
      </w:pP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$99,502.49 × 0.06 = $5,970.15</w:t>
      </w:r>
      <w:r>
        <w:br/>
      </w:r>
    </w:p>
    <w:p>
      <w:pPr>
        <w:spacing w:before="0" w:after="0"/>
        <w:ind w:left="120"/>
        <w:jc w:val="both"/>
      </w:pPr>
      <w:r>
        <w:rPr>
          <w:rFonts w:ascii="Times New Roman" w:hAnsi="Times New Roman"/>
          <w:b w:val="false"/>
          <w:i w:val="false"/>
          <w:color w:val="000000"/>
          <w:sz w:val="22"/>
        </w:rPr>
        <w:t>Total sales × state tax rate = state tax amount</w:t>
      </w:r>
    </w:p>
    <w:p>
      <w:pPr>
        <w:spacing w:before="0" w:after="0"/>
        <w:ind w:left="120"/>
        <w:jc w:val="both"/>
      </w:pP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$100,000.00 – 99,502.49 = $497.51</w:t>
      </w:r>
      <w:r>
        <w:br/>
      </w:r>
    </w:p>
    <w:p>
      <w:pPr>
        <w:spacing w:before="0" w:after="0"/>
        <w:ind w:left="120"/>
        <w:jc w:val="both"/>
      </w:pPr>
      <w:r>
        <w:rPr>
          <w:rFonts w:ascii="Times New Roman" w:hAnsi="Times New Roman"/>
          <w:b w:val="false"/>
          <w:i w:val="false"/>
          <w:color w:val="000000"/>
          <w:sz w:val="22"/>
        </w:rPr>
        <w:t>Gross receipts including LOST – total sales = LOST amount</w:t>
      </w:r>
    </w:p>
    <w:p>
      <w:pPr>
        <w:spacing w:before="0" w:after="0"/>
        <w:ind w:left="120"/>
        <w:jc w:val="both"/>
      </w:pP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$5,970.15 + $497.51 = $6,467.66</w:t>
      </w:r>
      <w:r>
        <w:br/>
      </w:r>
    </w:p>
    <w:p>
      <w:pPr>
        <w:spacing w:before="0" w:after="0"/>
        <w:ind w:left="120"/>
        <w:jc w:val="both"/>
      </w:pPr>
      <w:r>
        <w:rPr>
          <w:rFonts w:ascii="Times New Roman" w:hAnsi="Times New Roman"/>
          <w:b w:val="false"/>
          <w:i w:val="false"/>
          <w:color w:val="000000"/>
          <w:sz w:val="22"/>
        </w:rPr>
        <w:t>State tax due + LOST due = total tax amount</w:t>
      </w:r>
    </w:p>
    <w:p>
      <w:pPr>
        <w:spacing w:before="0" w:after="0"/>
        <w:ind w:left="120"/>
        <w:jc w:val="both"/>
      </w:pP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$99,502.49 + $497.51 + $5,970.15 = $105,970.15</w:t>
      </w:r>
      <w:r>
        <w:br/>
      </w:r>
    </w:p>
    <w:p>
      <w:pPr>
        <w:spacing w:before="0" w:after="0"/>
        <w:ind w:left="120"/>
        <w:jc w:val="both"/>
      </w:pPr>
      <w:r>
        <w:rPr>
          <w:rFonts w:ascii="Times New Roman" w:hAnsi="Times New Roman"/>
          <w:b w:val="false"/>
          <w:i w:val="false"/>
          <w:color w:val="000000"/>
          <w:sz w:val="22"/>
        </w:rPr>
        <w:t>Total sales + LOST amount + state tax amount = total amount collected by vendor</w:t>
      </w:r>
    </w:p>
    <w:p>
      <w:pPr>
        <w:spacing w:before="0" w:after="0"/>
        <w:ind w:left="120"/>
        <w:jc w:val="both"/>
      </w:pP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The excursion gambling boat “Black Jack” is based in Davenport. Assume that during a particular cruise there is $150,000 in taxable gross receipts collected on the Black Jack. The full amount collected is $159,000; $9,000 in state sales tax and $150,000 in gross receipts. The Black Jack spends three hours on the water during an ordinary cruise. One hour is spent sailing in waters where no local option sales tax is imposed; two hours are spent in waters where the local option tax is imposed. In this case, as in Example 2, the Black Jack’s operator can use a formula based on time spent sailing inside and outside of a local option tax-imposing jurisdiction rather than distance traveled within and without such a jurisdiction so long as there is a reasonable amount of evidence to indicate that the formula reflects with some accuracy the ratio of nontaxable and taxable sales. In this example, tax is computed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(2 ÷ 3) × 0.01 = 0.00666 effective LOST rate</w:t>
      </w:r>
      <w:r>
        <w:br/>
      </w:r>
    </w:p>
    <w:p>
      <w:pPr>
        <w:spacing w:before="0" w:after="0"/>
        <w:ind w:left="120"/>
        <w:jc w:val="both"/>
      </w:pPr>
      <w:r>
        <w:rPr>
          <w:rFonts w:ascii="Times New Roman" w:hAnsi="Times New Roman"/>
          <w:b w:val="false"/>
          <w:i w:val="false"/>
          <w:color w:val="000000"/>
          <w:sz w:val="22"/>
        </w:rPr>
        <w:t>(hours in LOST jurisdiction ÷ total hours) × LOST rate = effective LOST rate</w:t>
      </w:r>
    </w:p>
    <w:p>
      <w:pPr>
        <w:spacing w:before="0" w:after="0"/>
        <w:ind w:left="120"/>
        <w:jc w:val="both"/>
      </w:pP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1 + 0.00666 = 1.00666</w:t>
      </w:r>
      <w:r>
        <w:br/>
      </w:r>
    </w:p>
    <w:p>
      <w:pPr>
        <w:spacing w:before="0" w:after="0"/>
        <w:ind w:left="120"/>
        <w:jc w:val="both"/>
      </w:pPr>
      <w:r>
        <w:rPr>
          <w:rFonts w:ascii="Times New Roman" w:hAnsi="Times New Roman"/>
          <w:b w:val="false"/>
          <w:i w:val="false"/>
          <w:color w:val="000000"/>
          <w:sz w:val="22"/>
        </w:rPr>
        <w:t>1 + effective LOST rate</w:t>
      </w:r>
    </w:p>
    <w:p>
      <w:pPr>
        <w:spacing w:before="0" w:after="0"/>
        <w:ind w:left="120"/>
        <w:jc w:val="both"/>
      </w:pP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$150,000.00 ÷ 1.00666 = $149,007.61</w:t>
      </w:r>
      <w:r>
        <w:br/>
      </w:r>
    </w:p>
    <w:p>
      <w:pPr>
        <w:spacing w:before="0" w:after="0"/>
        <w:ind w:left="120"/>
        <w:jc w:val="both"/>
      </w:pPr>
      <w:r>
        <w:rPr>
          <w:rFonts w:ascii="Times New Roman" w:hAnsi="Times New Roman"/>
          <w:b w:val="false"/>
          <w:i w:val="false"/>
          <w:color w:val="000000"/>
          <w:sz w:val="22"/>
        </w:rPr>
        <w:t>Gross receipts including LOST but not state tax ÷ (1 + effective LOST rate) = total sales</w:t>
      </w:r>
    </w:p>
    <w:p>
      <w:pPr>
        <w:spacing w:before="0" w:after="0"/>
        <w:ind w:left="120"/>
        <w:jc w:val="both"/>
      </w:pP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$149,007.61 × 0.06 = $8,940.46</w:t>
      </w:r>
      <w:r>
        <w:br/>
      </w:r>
    </w:p>
    <w:p>
      <w:pPr>
        <w:spacing w:before="0" w:after="0"/>
        <w:ind w:left="120"/>
        <w:jc w:val="both"/>
      </w:pPr>
      <w:r>
        <w:rPr>
          <w:rFonts w:ascii="Times New Roman" w:hAnsi="Times New Roman"/>
          <w:b w:val="false"/>
          <w:i w:val="false"/>
          <w:color w:val="000000"/>
          <w:sz w:val="22"/>
        </w:rPr>
        <w:t>Total sales × state tax rate = state tax amount</w:t>
      </w:r>
    </w:p>
    <w:p>
      <w:pPr>
        <w:spacing w:before="0" w:after="0"/>
        <w:ind w:left="120"/>
        <w:jc w:val="both"/>
      </w:pP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$150,000.00 – 149,007.61 = $992.39</w:t>
      </w:r>
      <w:r>
        <w:br/>
      </w:r>
    </w:p>
    <w:p>
      <w:pPr>
        <w:spacing w:before="0" w:after="0"/>
        <w:ind w:left="120"/>
        <w:jc w:val="both"/>
      </w:pPr>
      <w:r>
        <w:rPr>
          <w:rFonts w:ascii="Times New Roman" w:hAnsi="Times New Roman"/>
          <w:b w:val="false"/>
          <w:i w:val="false"/>
          <w:color w:val="000000"/>
          <w:sz w:val="22"/>
        </w:rPr>
        <w:t>Gross receipts including LOST but not state tax – total sales = LOST amount</w:t>
      </w:r>
    </w:p>
    <w:p>
      <w:pPr>
        <w:spacing w:before="0" w:after="0"/>
        <w:ind w:left="120"/>
        <w:jc w:val="both"/>
      </w:pP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$8,940.46 + $992.39 = $9,932.85</w:t>
      </w:r>
      <w:r>
        <w:br/>
      </w:r>
    </w:p>
    <w:p>
      <w:pPr>
        <w:spacing w:before="0" w:after="0"/>
        <w:ind w:left="120"/>
        <w:jc w:val="both"/>
      </w:pPr>
      <w:r>
        <w:rPr>
          <w:rFonts w:ascii="Times New Roman" w:hAnsi="Times New Roman"/>
          <w:b w:val="false"/>
          <w:i w:val="false"/>
          <w:color w:val="000000"/>
          <w:sz w:val="22"/>
        </w:rPr>
        <w:t>State tax amount + LOST amount = total tax amount</w:t>
      </w:r>
    </w:p>
    <w:p>
      <w:pPr>
        <w:spacing w:before="0" w:after="0"/>
        <w:ind w:left="120"/>
        <w:jc w:val="both"/>
      </w:pP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$149,007.61 + $992.39 + $8,940.46 = $158,940.46</w:t>
      </w:r>
      <w:r>
        <w:br/>
      </w:r>
    </w:p>
    <w:p>
      <w:pPr>
        <w:spacing w:before="0" w:after="0"/>
        <w:ind w:left="120"/>
        <w:jc w:val="both"/>
      </w:pPr>
      <w:r>
        <w:rPr>
          <w:rFonts w:ascii="Times New Roman" w:hAnsi="Times New Roman"/>
          <w:b w:val="false"/>
          <w:i w:val="false"/>
          <w:color w:val="000000"/>
          <w:sz w:val="22"/>
        </w:rPr>
        <w:t>Total sales + LOST amount + state tax amount = total amount collected by vendor</w:t>
      </w:r>
    </w:p>
    <w:p>
      <w:pPr>
        <w:spacing w:before="0" w:after="0"/>
        <w:ind w:left="120"/>
        <w:jc w:val="both"/>
      </w:pPr>
    </w:p>
    <w:p>
      <w:pPr>
        <w:spacing w:before="0" w:after="0"/>
        <w:ind w:left="120"/>
        <w:jc w:val="both"/>
      </w:pPr>
      <w:r>
        <w:rPr>
          <w:rFonts w:ascii="Times New Roman" w:hAnsi="Times New Roman"/>
          <w:b w:val="false"/>
          <w:i w:val="false"/>
          <w:color w:val="000000"/>
          <w:sz w:val="22"/>
        </w:rPr>
        <w:t>Upon beginning operation, a licensee may choose to employ either the “distance” method of apportionment set out in Examples 1 and 3 or the “time” method set out in 2 and 4 above without informing the department in advance of filing a sales tax return of the licensee’s choice. A licensee cannot use both methods of apportionment. If a licensee commencing operation wishes to use another method of apportionment, the licensee must petition the department for permission to use this alternative method and present whatever evidence the department shall rationally require that the alternative method better reflects the ratio of taxable to nontaxable sales before using the alternative method. Any licensee wishing to change from any existing method of apportionment to another method must also petition the department and receive permission to change its method of apportionment.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1">
        <w:r>
          <w:rPr>
            <w:rStyle w:val="Hyperlink"/>
            <w:rFonts w:ascii="Times New Roman" w:hAnsi="Times New Roman"/>
            <w:b w:val="false"/>
            <w:i w:val="false"/>
            <w:color w:val="000000"/>
            <w:sz w:val="22"/>
          </w:rPr>
          <w:t>99F.10(6)</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423B.5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7623C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12/13/85—published 1/1/86, effective 1/1/86]</w:t>
      </w:r>
    </w:p>
    <w:p>
      <w:pPr>
        <w:spacing w:before="0" w:after="0"/>
        <w:ind w:left="120"/>
        <w:jc w:val="center"/>
      </w:pPr>
      <w:r>
        <w:rPr>
          <w:rFonts w:ascii="Times New Roman" w:hAnsi="Times New Roman"/>
          <w:b w:val="false"/>
          <w:i w:val="false"/>
          <w:color w:val="000000"/>
          <w:sz w:val="21"/>
        </w:rPr>
        <w:t>[Filed 2/7/86, Notice 1/1/86—published 2/26/86, effective 4/2/86]</w:t>
      </w:r>
    </w:p>
    <w:p>
      <w:pPr>
        <w:spacing w:before="0" w:after="0"/>
        <w:ind w:left="120"/>
        <w:jc w:val="center"/>
      </w:pPr>
      <w:r>
        <w:rPr>
          <w:rFonts w:ascii="Times New Roman" w:hAnsi="Times New Roman"/>
          <w:b w:val="false"/>
          <w:i w:val="false"/>
          <w:color w:val="000000"/>
          <w:sz w:val="21"/>
        </w:rPr>
        <w:t>[Filed 10/31/86, Notice 9/24/86—published 11/19/86, effective 12/24/86]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9/30/88, Notice 8/24/88—published 10/19/88, effective 11/23/88]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10/26/89, Notice 9/20/89—published 11/15/89, effective 12/20/89]</w:t>
      </w:r>
    </w:p>
    <w:p>
      <w:pPr>
        <w:spacing w:before="0" w:after="0"/>
        <w:ind w:left="120"/>
        <w:jc w:val="center"/>
      </w:pPr>
      <w:r>
        <w:rPr>
          <w:rFonts w:ascii="Times New Roman" w:hAnsi="Times New Roman"/>
          <w:b w:val="false"/>
          <w:i w:val="false"/>
          <w:color w:val="000000"/>
          <w:sz w:val="21"/>
        </w:rPr>
        <w:t>[Filed emergency 3/15/91—published 4/3/91, effective 3/15/91]</w:t>
      </w:r>
    </w:p>
    <w:p>
      <w:pPr>
        <w:spacing w:before="0" w:after="0"/>
        <w:ind w:left="120"/>
        <w:jc w:val="center"/>
      </w:pPr>
      <w:r>
        <w:rPr>
          <w:rFonts w:ascii="Times New Roman" w:hAnsi="Times New Roman"/>
          <w:b w:val="false"/>
          <w:i w:val="false"/>
          <w:color w:val="000000"/>
          <w:sz w:val="21"/>
        </w:rPr>
        <w:t>[Filed 5/10/91, Notice 4/3/91—published 5/29/91, effective 7/3/91]</w:t>
      </w:r>
    </w:p>
    <w:p>
      <w:pPr>
        <w:spacing w:before="0" w:after="0"/>
        <w:ind w:left="120"/>
        <w:jc w:val="center"/>
      </w:pPr>
      <w:r>
        <w:rPr>
          <w:rFonts w:ascii="Times New Roman" w:hAnsi="Times New Roman"/>
          <w:b w:val="false"/>
          <w:i w:val="false"/>
          <w:color w:val="000000"/>
          <w:sz w:val="21"/>
        </w:rPr>
        <w:t>[Filed 5/23/91, Notice 4/17/91—published 6/12/91, effective 7/17/91]</w:t>
      </w:r>
    </w:p>
    <w:p>
      <w:pPr>
        <w:spacing w:before="0" w:after="0"/>
        <w:ind w:left="120"/>
        <w:jc w:val="center"/>
      </w:pPr>
      <w:r>
        <w:rPr>
          <w:rFonts w:ascii="Times New Roman" w:hAnsi="Times New Roman"/>
          <w:b w:val="false"/>
          <w:i w:val="false"/>
          <w:color w:val="000000"/>
          <w:sz w:val="21"/>
        </w:rPr>
        <w:t>[Filed 3/26/92, Notice 2/19/92—published 4/15/92, effective 5/20/92]</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8/6/97, Notice 7/2/97—published 8/27/97, effective 10/1/97]</w:t>
      </w:r>
    </w:p>
    <w:p>
      <w:pPr>
        <w:spacing w:before="0" w:after="0"/>
        <w:ind w:left="120"/>
        <w:jc w:val="center"/>
      </w:pPr>
      <w:r>
        <w:rPr>
          <w:rFonts w:ascii="Times New Roman" w:hAnsi="Times New Roman"/>
          <w:b w:val="false"/>
          <w:i w:val="false"/>
          <w:color w:val="000000"/>
          <w:sz w:val="21"/>
        </w:rPr>
        <w:t>[Filed 11/14/97, Notice 10/8/97—published 12/3/97, effective 1/7/98]</w:t>
      </w:r>
    </w:p>
    <w:p>
      <w:pPr>
        <w:spacing w:before="0" w:after="0"/>
        <w:ind w:left="120"/>
        <w:jc w:val="center"/>
      </w:pPr>
      <w:r>
        <w:rPr>
          <w:rFonts w:ascii="Times New Roman" w:hAnsi="Times New Roman"/>
          <w:b w:val="false"/>
          <w:i w:val="false"/>
          <w:color w:val="000000"/>
          <w:sz w:val="21"/>
        </w:rPr>
        <w:t>[Filed 1/7/00, Notice 12/1/99—published 1/26/00, effective 3/1/00]</w:t>
      </w:r>
    </w:p>
    <w:p>
      <w:pPr>
        <w:spacing w:before="0" w:after="0"/>
        <w:ind w:left="120"/>
        <w:jc w:val="center"/>
      </w:pPr>
      <w:r>
        <w:rPr>
          <w:rFonts w:ascii="Times New Roman" w:hAnsi="Times New Roman"/>
          <w:b w:val="false"/>
          <w:i w:val="false"/>
          <w:color w:val="000000"/>
          <w:sz w:val="21"/>
        </w:rPr>
        <w:t>[Filed 8/4/00, Notice 6/28/00—published 8/23/00, effective 9/27/00]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9/1/00, Notice 7/26/00—published 9/20/00, effective 10/25/00]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3/2/01—published 3/21/01, effective 3/2/01]</w:t>
      </w:r>
    </w:p>
    <w:p>
      <w:pPr>
        <w:spacing w:before="0" w:after="0"/>
        <w:ind w:left="120"/>
        <w:jc w:val="center"/>
      </w:pPr>
      <w:r>
        <w:rPr>
          <w:rFonts w:ascii="Times New Roman" w:hAnsi="Times New Roman"/>
          <w:b w:val="false"/>
          <w:i w:val="false"/>
          <w:color w:val="000000"/>
          <w:sz w:val="21"/>
        </w:rPr>
        <w:t>[Filed 1/18/02, Notice 12/12/01—published 2/6/02, effective 3/13/02]</w:t>
      </w:r>
    </w:p>
    <w:p>
      <w:pPr>
        <w:spacing w:before="0" w:after="0"/>
        <w:ind w:left="120"/>
        <w:jc w:val="center"/>
      </w:pPr>
      <w:r>
        <w:rPr>
          <w:rFonts w:ascii="Times New Roman" w:hAnsi="Times New Roman"/>
          <w:b w:val="false"/>
          <w:i w:val="false"/>
          <w:color w:val="000000"/>
          <w:sz w:val="21"/>
        </w:rPr>
        <w:t>[Filed 11/8/02, Notice 10/2/02—published 11/27/02, effective 1/1/03]</w:t>
      </w:r>
    </w:p>
    <w:p>
      <w:pPr>
        <w:spacing w:before="0" w:after="0"/>
        <w:ind w:left="120"/>
        <w:jc w:val="center"/>
      </w:pPr>
      <w:r>
        <w:rPr>
          <w:rFonts w:ascii="Times New Roman" w:hAnsi="Times New Roman"/>
          <w:b w:val="false"/>
          <w:i w:val="false"/>
          <w:color w:val="000000"/>
          <w:sz w:val="21"/>
        </w:rPr>
        <w:t>[Filed 5/5/06, Notice 3/29/06—published 5/24/06, effective 6/28/06]</w:t>
      </w:r>
    </w:p>
    <w:p>
      <w:pPr>
        <w:spacing w:before="0" w:after="0"/>
        <w:ind w:left="120"/>
        <w:jc w:val="center"/>
      </w:pPr>
      <w:r>
        <w:rPr>
          <w:rFonts w:ascii="Times New Roman" w:hAnsi="Times New Roman"/>
          <w:b w:val="false"/>
          <w:i w:val="false"/>
          <w:color w:val="000000"/>
          <w:sz w:val="21"/>
        </w:rPr>
        <w:t>[Filed ARC 4323C</w:t>
      </w:r>
      <w:r>
        <w:rPr>
          <w:rFonts w:ascii="Times New Roman" w:hAnsi="Times New Roman"/>
          <w:b w:val="false"/>
          <w:i w:val="false"/>
          <w:color w:val="000000"/>
          <w:sz w:val="21"/>
        </w:rPr>
        <w:t xml:space="preserve"> (Notice ARC 4202C,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7623C</w:t>
      </w:r>
      <w:r>
        <w:rPr>
          <w:rFonts w:ascii="Times New Roman" w:hAnsi="Times New Roman"/>
          <w:b w:val="false"/>
          <w:i w:val="false"/>
          <w:color w:val="000000"/>
          <w:sz w:val="21"/>
        </w:rPr>
        <w:t xml:space="preserve"> (Notice ARC 7150C, IAB 12/13/23)</w:t>
      </w:r>
      <w:r>
        <w:rPr>
          <w:rFonts w:ascii="Times New Roman" w:hAnsi="Times New Roman"/>
          <w:b w:val="false"/>
          <w:i w:val="false"/>
          <w:color w:val="000000"/>
          <w:sz w:val="21"/>
        </w:rPr>
        <w:t>, IAB 2/7/24, effective 3/13/24]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At its meeting held October 9, 2000, the Administrative Rules Review Committee delayed the effective date of 107.16 until adjournment of the 2001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B.pdf" Type="http://schemas.openxmlformats.org/officeDocument/2006/relationships/hyperlink" Id="rId5"/>
    <Relationship TargetMode="External" Target="https://www.legis.iowa.gov/docs/ico/chapter/423.1.pdf" Type="http://schemas.openxmlformats.org/officeDocument/2006/relationships/hyperlink" Id="rId6"/>
    <Relationship TargetMode="External" Target="https://www.legis.iowa.gov/docs/ico/chapter/423B.pdf" Type="http://schemas.openxmlformats.org/officeDocument/2006/relationships/hyperlink" Id="rId7"/>
    <Relationship TargetMode="External" Target="https://www.legis.iowa.gov/docs/iac/rule/701.200.1.pdf" Type="http://schemas.openxmlformats.org/officeDocument/2006/relationships/hyperlink" Id="rId8"/>
    <Relationship TargetMode="External" Target="https://www.legis.iowa.gov/docs/ico/chapter/362.2.pdf" Type="http://schemas.openxmlformats.org/officeDocument/2006/relationships/hyperlink" Id="rId9"/>
    <Relationship TargetMode="External" Target="https://www.legis.iowa.gov/docs/ico/chapter/423B.pdf" Type="http://schemas.openxmlformats.org/officeDocument/2006/relationships/hyperlink" Id="rId10"/>
    <Relationship TargetMode="External" Target="https://www.legis.iowa.gov/docs/ico/chapter/423B.7.pdf" Type="http://schemas.openxmlformats.org/officeDocument/2006/relationships/hyperlink" Id="rId11"/>
    <Relationship TargetMode="External" Target="https://www.legis.iowa.gov/docs/iac/chapter/721.21.pdf" Type="http://schemas.openxmlformats.org/officeDocument/2006/relationships/hyperlink" Id="rId12"/>
    <Relationship TargetMode="External" Target="https://www.legis.iowa.gov/docs/ico/chapter/423B.6.pdf" Type="http://schemas.openxmlformats.org/officeDocument/2006/relationships/hyperlink" Id="rId13"/>
    <Relationship TargetMode="External" Target="https://www.legis.iowa.gov/docs/iac/chapter/701.11.pdf" Type="http://schemas.openxmlformats.org/officeDocument/2006/relationships/hyperlink" Id="rId14"/>
    <Relationship TargetMode="External" Target="https://www.legis.iowa.gov/docs/ico/chapter/423B.6.pdf" Type="http://schemas.openxmlformats.org/officeDocument/2006/relationships/hyperlink" Id="rId15"/>
    <Relationship TargetMode="External" Target="https://www.legis.iowa.gov/docs/iac/chapter/701.202.pdf" Type="http://schemas.openxmlformats.org/officeDocument/2006/relationships/hyperlink" Id="rId16"/>
    <Relationship TargetMode="External" Target="https://www.legis.iowa.gov/docs/ico/chapter/423.31.pdf" Type="http://schemas.openxmlformats.org/officeDocument/2006/relationships/hyperlink" Id="rId17"/>
    <Relationship TargetMode="External" Target="https://www.legis.iowa.gov/docs/ico/chapter/423B.6.pdf" Type="http://schemas.openxmlformats.org/officeDocument/2006/relationships/hyperlink" Id="rId18"/>
    <Relationship TargetMode="External" Target="https://www.legis.iowa.gov/docs/iac/chapter/701.201.pdf" Type="http://schemas.openxmlformats.org/officeDocument/2006/relationships/hyperlink" Id="rId19"/>
    <Relationship TargetMode="External" Target="https://www.legis.iowa.gov/docs/ico/chapter/423B.6.pdf" Type="http://schemas.openxmlformats.org/officeDocument/2006/relationships/hyperlink" Id="rId20"/>
    <Relationship TargetMode="External" Target="https://www.legis.iowa.gov/docs/ico/chapter/423.pdf" Type="http://schemas.openxmlformats.org/officeDocument/2006/relationships/hyperlink" Id="rId21"/>
    <Relationship TargetMode="External" Target="https://www.legis.iowa.gov/docs/ico/chapter/423.15.pdf" Type="http://schemas.openxmlformats.org/officeDocument/2006/relationships/hyperlink" Id="rId22"/>
    <Relationship TargetMode="External" Target="https://www.legis.iowa.gov/docs/iac/chapter/701.205.pdf" Type="http://schemas.openxmlformats.org/officeDocument/2006/relationships/hyperlink" Id="rId23"/>
    <Relationship TargetMode="External" Target="https://www.legis.iowa.gov/docs/ico/chapter/423.1.pdf" Type="http://schemas.openxmlformats.org/officeDocument/2006/relationships/hyperlink" Id="rId24"/>
    <Relationship TargetMode="External" Target="https://www.legis.iowa.gov/docs/ico/chapter/423.1.pdf" Type="http://schemas.openxmlformats.org/officeDocument/2006/relationships/hyperlink" Id="rId25"/>
    <Relationship TargetMode="External" Target="https://www.legis.iowa.gov/docs/ico/chapter/423.14A.pdf" Type="http://schemas.openxmlformats.org/officeDocument/2006/relationships/hyperlink" Id="rId26"/>
    <Relationship TargetMode="External" Target="https://www.legis.iowa.gov/docs/ico/chapter/423B.5.pdf" Type="http://schemas.openxmlformats.org/officeDocument/2006/relationships/hyperlink" Id="rId27"/>
    <Relationship TargetMode="External" Target="https://www.legis.iowa.gov/docs/ico/chapter/423B.5.pdf" Type="http://schemas.openxmlformats.org/officeDocument/2006/relationships/hyperlink" Id="rId28"/>
    <Relationship TargetMode="External" Target="https://www.legis.iowa.gov/docs/ico/chapter/423B.5.pdf" Type="http://schemas.openxmlformats.org/officeDocument/2006/relationships/hyperlink" Id="rId29"/>
    <Relationship TargetMode="External" Target="https://www.legis.iowa.gov/docs/iac/rule/701.270.8.pdf" Type="http://schemas.openxmlformats.org/officeDocument/2006/relationships/hyperlink" Id="rId30"/>
    <Relationship TargetMode="External" Target="https://www.legis.iowa.gov/docs/iac/rule/701.270.8.pdf" Type="http://schemas.openxmlformats.org/officeDocument/2006/relationships/hyperlink" Id="rId31"/>
    <Relationship TargetMode="External" Target="https://www.legis.iowa.gov/docs/ico/chapter/423B.7.pdf" Type="http://schemas.openxmlformats.org/officeDocument/2006/relationships/hyperlink" Id="rId32"/>
    <Relationship TargetMode="External" Target="https://www.legis.iowa.gov/docs/ico/chapter/423B.7.pdf" Type="http://schemas.openxmlformats.org/officeDocument/2006/relationships/hyperlink" Id="rId33"/>
    <Relationship TargetMode="External" Target="https://www.legis.iowa.gov/docs/iac/rule/701.270.1.pdf" Type="http://schemas.openxmlformats.org/officeDocument/2006/relationships/hyperlink" Id="rId34"/>
    <Relationship TargetMode="External" Target="https://www.legis.iowa.gov/docs/iac/rule/701.270.8.pdf" Type="http://schemas.openxmlformats.org/officeDocument/2006/relationships/hyperlink" Id="rId35"/>
    <Relationship TargetMode="External" Target="https://www.legis.iowa.gov/docs/ico/chapter/423B.7.pdf" Type="http://schemas.openxmlformats.org/officeDocument/2006/relationships/hyperlink" Id="rId36"/>
    <Relationship TargetMode="External" Target="https://www.legis.iowa.gov/docs/ico/chapter/421.60.pdf" Type="http://schemas.openxmlformats.org/officeDocument/2006/relationships/hyperlink" Id="rId37"/>
    <Relationship TargetMode="External" Target="https://www.legis.iowa.gov/docs/ico/chapter/423B.7.pdf" Type="http://schemas.openxmlformats.org/officeDocument/2006/relationships/hyperlink" Id="rId38"/>
    <Relationship TargetMode="External" Target="https://www.legis.iowa.gov/docs/ico/chapter/423.15.pdf" Type="http://schemas.openxmlformats.org/officeDocument/2006/relationships/hyperlink" Id="rId39"/>
    <Relationship TargetMode="External" Target="https://www.legis.iowa.gov/docs/iac/chapter/701.205.pdf" Type="http://schemas.openxmlformats.org/officeDocument/2006/relationships/hyperlink" Id="rId40"/>
    <Relationship TargetMode="External" Target="https://www.legis.iowa.gov/docs/ico/chapter/99F.10.pdf" Type="http://schemas.openxmlformats.org/officeDocument/2006/relationships/hyperlink" Id="rId41"/>
    <Relationship TargetMode="External" Target="https://www.legis.iowa.gov/docs/ico/chapter/423B.5.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