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27</w:t>
      </w:r>
    </w:p>
    <w:p>
      <w:pPr>
        <w:spacing w:before="0" w:after="0"/>
        <w:ind w:left="120"/>
        <w:jc w:val="center"/>
      </w:pPr>
      <w:r>
        <w:rPr>
          <w:rFonts w:ascii="Times New Roman" w:hAnsi="Times New Roman"/>
          <w:b w:val="false"/>
          <w:i w:val="false"/>
          <w:color w:val="000000"/>
          <w:sz w:val="21"/>
        </w:rPr>
        <w:t xml:space="preserve">SUBPOENA OF RECORDS FROM UTILITY COMPANIES </w:t>
      </w:r>
      <w:r>
        <w:br/>
      </w:r>
      <w:r>
        <w:rPr>
          <w:rFonts w:ascii="Times New Roman" w:hAnsi="Times New Roman"/>
          <w:b w:val="false"/>
          <w:i w:val="false"/>
          <w:color w:val="000000"/>
          <w:sz w:val="21"/>
        </w:rPr>
        <w:t>AND PUBLICATION OF NAMES OF DEBTORS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701—27.1</w:t>
      </w:r>
      <w:r>
        <w:rPr>
          <w:rFonts w:ascii="Times New Roman" w:hAnsi="Times New Roman"/>
          <w:b/>
          <w:i w:val="false"/>
          <w:color w:val="000000"/>
          <w:sz w:val="22"/>
        </w:rPr>
        <w:t xml:space="preserve">(421) </w:t>
      </w:r>
      <w:r>
        <w:rPr>
          <w:rFonts w:ascii="Times New Roman" w:hAnsi="Times New Roman"/>
          <w:b/>
          <w:i w:val="false"/>
          <w:color w:val="000000"/>
          <w:sz w:val="22"/>
        </w:rPr>
        <w:t xml:space="preserve">Subpoena of records from public or private utility company. </w:t>
      </w:r>
      <w:r>
        <w:rPr>
          <w:rFonts w:ascii="Times New Roman" w:hAnsi="Times New Roman"/>
          <w:b w:val="false"/>
          <w:i w:val="false"/>
          <w:color w:val="000000"/>
          <w:sz w:val="22"/>
        </w:rPr>
        <w:t xml:space="preserve">The director may subpoena records of a public or private utility company to the extent permitted by Iowa Code section </w:t>
      </w:r>
      <w:hyperlink r:id="rId5">
        <w:r>
          <w:rPr>
            <w:rStyle w:val="Hyperlink"/>
            <w:rFonts w:ascii="Times New Roman" w:hAnsi="Times New Roman"/>
            <w:b w:val="false"/>
            <w:i w:val="false"/>
            <w:color w:val="000000"/>
            <w:sz w:val="22"/>
          </w:rPr>
          <w:t>421.17(32)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“Reasonable efforts,” </w:t>
      </w:r>
      <w:r>
        <w:rPr>
          <w:rFonts w:ascii="Times New Roman" w:hAnsi="Times New Roman"/>
          <w:b w:val="false"/>
          <w:i w:val="false"/>
          <w:color w:val="000000"/>
          <w:sz w:val="22"/>
        </w:rPr>
        <w:t xml:space="preserve">for purposes of Iowa Code section </w:t>
      </w:r>
      <w:hyperlink r:id="rId6">
        <w:r>
          <w:rPr>
            <w:rStyle w:val="Hyperlink"/>
            <w:rFonts w:ascii="Times New Roman" w:hAnsi="Times New Roman"/>
            <w:b w:val="false"/>
            <w:i w:val="false"/>
            <w:color w:val="000000"/>
            <w:sz w:val="22"/>
          </w:rPr>
          <w:t>421.17(32)</w:t>
        </w:r>
      </w:hyperlink>
      <w:r>
        <w:rPr>
          <w:rFonts w:ascii="Times New Roman" w:hAnsi="Times New Roman"/>
          <w:b w:val="false"/>
          <w:i w:val="false"/>
          <w:color w:val="000000"/>
          <w:sz w:val="22"/>
        </w:rPr>
        <w:t xml:space="preserve">, will be considered complete when the department has attempted to reach the individual using the individual’s last-known address as determined pursuant to </w:t>
      </w:r>
      <w:hyperlink r:id="rId7">
        <w:r>
          <w:rPr>
            <w:rStyle w:val="Hyperlink"/>
            <w:rFonts w:ascii="Times New Roman" w:hAnsi="Times New Roman"/>
            <w:b w:val="false"/>
            <w:i w:val="false"/>
            <w:color w:val="000000"/>
            <w:sz w:val="22"/>
          </w:rPr>
          <w:t>701—subrule 7.33(2)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“Utility” </w:t>
      </w:r>
      <w:r>
        <w:rPr>
          <w:rFonts w:ascii="Times New Roman" w:hAnsi="Times New Roman"/>
          <w:b w:val="false"/>
          <w:i w:val="false"/>
          <w:color w:val="000000"/>
          <w:sz w:val="22"/>
        </w:rPr>
        <w:t xml:space="preserve">means the same as “public or private utility company” as defined in Iowa Code section </w:t>
      </w:r>
      <w:hyperlink r:id="rId8">
        <w:r>
          <w:rPr>
            <w:rStyle w:val="Hyperlink"/>
            <w:rFonts w:ascii="Times New Roman" w:hAnsi="Times New Roman"/>
            <w:b w:val="false"/>
            <w:i w:val="false"/>
            <w:color w:val="000000"/>
            <w:sz w:val="22"/>
          </w:rPr>
          <w:t>421.17(32)</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27.1(2)</w:t>
      </w:r>
      <w:r>
        <w:rPr>
          <w:rFonts w:ascii="Times New Roman" w:hAnsi="Times New Roman"/>
          <w:b w:val="false"/>
          <w:i w:val="false"/>
          <w:color w:val="000000"/>
          <w:sz w:val="22"/>
        </w:rPr>
        <w:t> </w:t>
      </w:r>
      <w:r>
        <w:rPr>
          <w:rFonts w:ascii="Times New Roman" w:hAnsi="Times New Roman"/>
          <w:b w:val="false"/>
          <w:i/>
          <w:color w:val="000000"/>
          <w:sz w:val="22"/>
        </w:rPr>
        <w:t xml:space="preserve">Procedure for issuing a subpoena; data transfer.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submit the subpoena to the utility’s designated recipient on or before the date a secure data file is submitted for processing. The subpoena will include the director’s authority to make the request, the name of the file submitted for processing, the information to be provided for each individual, the expected response date, and the department’s contact information. The subpoena must be signed by the director. The data file provided to the utility by the department will include social security numbers, names, and last-known addresses in the mutually agreed-upon format.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30 days of receiving the department’s data file, the utility will process and return the data file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27.1(3)</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The utility must keep confidential all records received from the department. After the department has received the requested information from the utility, the utility must delete the data files the utility received in a secure manner. The department must keep confidential all records received from the utility in compliance with all applicable state and federal laws regarding individual privacy and the privacy rights of public and private utility companies.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
        <w:r>
          <w:rPr>
            <w:rStyle w:val="Hyperlink"/>
            <w:rFonts w:ascii="Times New Roman" w:hAnsi="Times New Roman"/>
            <w:b w:val="false"/>
            <w:i w:val="false"/>
            <w:color w:val="000000"/>
            <w:sz w:val="22"/>
          </w:rPr>
          <w:t>421.17(32)</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701—27.2</w:t>
      </w:r>
      <w:r>
        <w:rPr>
          <w:rFonts w:ascii="Times New Roman" w:hAnsi="Times New Roman"/>
          <w:b/>
          <w:i w:val="false"/>
          <w:color w:val="000000"/>
          <w:sz w:val="22"/>
        </w:rPr>
        <w:t xml:space="preserve">(421) </w:t>
      </w:r>
      <w:r>
        <w:rPr>
          <w:rFonts w:ascii="Times New Roman" w:hAnsi="Times New Roman"/>
          <w:b/>
          <w:i w:val="false"/>
          <w:color w:val="000000"/>
          <w:sz w:val="22"/>
        </w:rPr>
        <w:t xml:space="preserve">List for publication.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may compile and make available for publication a list of names, with last-known addresses and amounts of indebtedness owed to or being collected by the state if the indebtedness is subject to the centralized debt collection procedure established in Iowa Code section </w:t>
      </w:r>
      <w:hyperlink r:id="rId12">
        <w:r>
          <w:rPr>
            <w:rStyle w:val="Hyperlink"/>
            <w:rFonts w:ascii="Times New Roman" w:hAnsi="Times New Roman"/>
            <w:b w:val="false"/>
            <w:i w:val="false"/>
            <w:color w:val="000000"/>
            <w:sz w:val="22"/>
          </w:rPr>
          <w:t>421.17(27)</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421.17(34)</w:t>
        </w:r>
      </w:hyperlink>
      <w:r>
        <w:rPr>
          <w:rFonts w:ascii="Times New Roman" w:hAnsi="Times New Roman"/>
          <w:b w:val="false"/>
          <w:i w:val="false"/>
          <w:color w:val="000000"/>
          <w:sz w:val="22"/>
        </w:rPr>
        <w:t>. The director may determine when to compile the list.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27.2(2)</w:t>
      </w:r>
      <w:r>
        <w:rPr>
          <w:rFonts w:ascii="Times New Roman" w:hAnsi="Times New Roman"/>
          <w:b w:val="false"/>
          <w:i w:val="false"/>
          <w:color w:val="000000"/>
          <w:sz w:val="22"/>
        </w:rPr>
        <w:t> </w:t>
      </w:r>
      <w:r>
        <w:rPr>
          <w:rFonts w:ascii="Times New Roman" w:hAnsi="Times New Roman"/>
          <w:b w:val="false"/>
          <w:i w:val="false"/>
          <w:color w:val="000000"/>
          <w:sz w:val="22"/>
        </w:rPr>
        <w:t xml:space="preserve">Names selected for release for publication shall be based on the records of the central collections unit. The director will not include the names of persons who owe less than $100 or the threshold amounts determined by the director. The threshold amounts may vary by the debt types being collected by the central collections unit. The director may withhold names from publication if, in the director’s opinion, publication would not assist in the collection of the debt.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27.2(3)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will not release for publication names of persons who have entered into a payment agreement with the central collections unit to pay the outstanding debt and are current in liquidating the debt based on the payment agreement. Upon entering a payment agreement with the central collections unit, the name of the party will be removed from publication within 60 days if the person is current in paying on the payment plan. This rule does not prevent the department from disclosing information under a provision of law other than Iowa Code section </w:t>
      </w:r>
      <w:hyperlink r:id="rId14">
        <w:r>
          <w:rPr>
            <w:rStyle w:val="Hyperlink"/>
            <w:rFonts w:ascii="Times New Roman" w:hAnsi="Times New Roman"/>
            <w:b w:val="false"/>
            <w:i w:val="false"/>
            <w:color w:val="000000"/>
            <w:sz w:val="22"/>
          </w:rPr>
          <w:t>421.17(27)</w:t>
        </w:r>
      </w:hyperlink>
      <w:r>
        <w:rPr>
          <w:rFonts w:ascii="Times New Roman" w:hAnsi="Times New Roman"/>
          <w:b w:val="false"/>
          <w:i/>
          <w:color w:val="000000"/>
          <w:sz w:val="22"/>
        </w:rPr>
        <w:t>“i.”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701—27.3</w:t>
      </w:r>
      <w:r>
        <w:rPr>
          <w:rFonts w:ascii="Times New Roman" w:hAnsi="Times New Roman"/>
          <w:b/>
          <w:i w:val="false"/>
          <w:color w:val="000000"/>
          <w:sz w:val="22"/>
        </w:rPr>
        <w:t xml:space="preserve">(421) </w:t>
      </w:r>
      <w:r>
        <w:rPr>
          <w:rFonts w:ascii="Times New Roman" w:hAnsi="Times New Roman"/>
          <w:b/>
          <w:i w:val="false"/>
          <w:color w:val="000000"/>
          <w:sz w:val="22"/>
        </w:rPr>
        <w:t xml:space="preserve">Release of information. </w:t>
      </w:r>
      <w:r>
        <w:rPr>
          <w:rFonts w:ascii="Times New Roman" w:hAnsi="Times New Roman"/>
          <w:b w:val="false"/>
          <w:i w:val="false"/>
          <w:color w:val="000000"/>
          <w:sz w:val="22"/>
        </w:rPr>
        <w:t>The director may release the information, as the director deems necessary,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director may issue an announcement describing the manner in which a copy of the list of names for publication may be obtained. The director will make the list available in an electronic medium of the director’s choice.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director may release to credit reporting agencies the names selected for release for publication upon request. The names are to be released in the same electronic medium as the names are released for publication.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5">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7835C</w:t>
      </w:r>
      <w:r>
        <w:rPr>
          <w:rFonts w:ascii="Times New Roman" w:hAnsi="Times New Roman"/>
          <w:b w:val="false"/>
          <w:i w:val="false"/>
          <w:color w:val="000000"/>
          <w:sz w:val="21"/>
        </w:rPr>
        <w:t xml:space="preserve"> (Notice ARC 7181C, IAB 12/13/23)</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1.17.pdf" Type="http://schemas.openxmlformats.org/officeDocument/2006/relationships/hyperlink" Id="rId5"/>
    <Relationship TargetMode="External" Target="https://www.legis.iowa.gov/docs/ico/chapter/421.17.pdf" Type="http://schemas.openxmlformats.org/officeDocument/2006/relationships/hyperlink" Id="rId6"/>
    <Relationship TargetMode="External" Target="https://www.legis.iowa.gov/docs/iac/rule/701.7.33.pdf" Type="http://schemas.openxmlformats.org/officeDocument/2006/relationships/hyperlink" Id="rId7"/>
    <Relationship TargetMode="External" Target="https://www.legis.iowa.gov/docs/ico/chapter/421.17.pdf" Type="http://schemas.openxmlformats.org/officeDocument/2006/relationships/hyperlink" Id="rId8"/>
    <Relationship TargetMode="External" Target="https://www.legis.iowa.gov/docs/ico/chapter/421.17.pdf" Type="http://schemas.openxmlformats.org/officeDocument/2006/relationships/hyperlink" Id="rId9"/>
    <Relationship TargetMode="External" Target="https://www.legis.iowa.gov/docs/ico/chapter/422.20.pdf" Type="http://schemas.openxmlformats.org/officeDocument/2006/relationships/hyperlink" Id="rId10"/>
    <Relationship TargetMode="External" Target="https://www.legis.iowa.gov/docs/ico/chapter/422.72.pdf" Type="http://schemas.openxmlformats.org/officeDocument/2006/relationships/hyperlink" Id="rId11"/>
    <Relationship TargetMode="External" Target="https://www.legis.iowa.gov/docs/ico/chapter/421.17.pdf" Type="http://schemas.openxmlformats.org/officeDocument/2006/relationships/hyperlink" Id="rId12"/>
    <Relationship TargetMode="External" Target="https://www.legis.iowa.gov/docs/ico/chapter/421.17.pdf" Type="http://schemas.openxmlformats.org/officeDocument/2006/relationships/hyperlink" Id="rId13"/>
    <Relationship TargetMode="External" Target="https://www.legis.iowa.gov/docs/ico/chapter/421.17.pdf" Type="http://schemas.openxmlformats.org/officeDocument/2006/relationships/hyperlink" Id="rId14"/>
    <Relationship TargetMode="External" Target="https://www.legis.iowa.gov/docs/ico/chapter/421.17.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