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261</w:t>
      </w:r>
    </w:p>
    <w:p>
      <w:pPr>
        <w:spacing w:before="0" w:after="0"/>
        <w:ind w:left="120"/>
        <w:jc w:val="center"/>
      </w:pPr>
      <w:r>
        <w:rPr>
          <w:rFonts w:ascii="Times New Roman" w:hAnsi="Times New Roman"/>
          <w:b w:val="false"/>
          <w:i w:val="false"/>
          <w:color w:val="000000"/>
          <w:sz w:val="21"/>
        </w:rPr>
        <w:t xml:space="preserve"> LIQUEFIED PETROLEUM GAS—COMPRESSED</w:t>
      </w:r>
      <w:r>
        <w:br/>
      </w:r>
      <w:r>
        <w:rPr>
          <w:rFonts w:ascii="Times New Roman" w:hAnsi="Times New Roman"/>
          <w:b w:val="false"/>
          <w:i w:val="false"/>
          <w:color w:val="000000"/>
          <w:sz w:val="21"/>
        </w:rPr>
        <w:t xml:space="preserve"> NATURAL GAS—LIQUEFIED NATURAL GAS—HYDROGEN </w:t>
      </w:r>
    </w:p>
    <w:p>
      <w:pPr>
        <w:spacing w:before="0" w:after="0"/>
        <w:ind w:left="120"/>
        <w:jc w:val="center"/>
      </w:pPr>
      <w:r>
        <w:rPr>
          <w:rFonts w:ascii="Times New Roman" w:hAnsi="Times New Roman"/>
          <w:b w:val="false"/>
          <w:i w:val="false"/>
          <w:color w:val="000000"/>
          <w:sz w:val="14"/>
        </w:rPr>
        <w:t>[Prior to 1/1/96, see 701—Ch 65]</w:t>
      </w:r>
    </w:p>
    <w:p>
      <w:pPr>
        <w:spacing w:before="0" w:after="0"/>
        <w:ind w:left="120"/>
        <w:jc w:val="center"/>
      </w:pPr>
      <w:r>
        <w:rPr>
          <w:rFonts w:ascii="Times New Roman" w:hAnsi="Times New Roman"/>
          <w:b w:val="false"/>
          <w:i w:val="false"/>
          <w:color w:val="000000"/>
          <w:sz w:val="14"/>
        </w:rPr>
        <w:t>[Prior to 9/7/22, see Revenue Department[701] Ch 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701—261.1</w:t>
      </w:r>
      <w:r>
        <w:rPr>
          <w:rFonts w:ascii="Times New Roman" w:hAnsi="Times New Roman"/>
          <w:b/>
          <w:i w:val="false"/>
          <w:color w:val="000000"/>
          <w:sz w:val="22"/>
        </w:rPr>
        <w:t xml:space="preserve">(452A) </w:t>
      </w:r>
      <w:r>
        <w:rPr>
          <w:rFonts w:ascii="Times New Roman" w:hAnsi="Times New Roman"/>
          <w:b/>
          <w:i w:val="false"/>
          <w:color w:val="000000"/>
          <w:sz w:val="22"/>
        </w:rPr>
        <w:t xml:space="preserve">Definitions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terms have the same meaning as provided in Iowa Code sections </w:t>
      </w:r>
      <w:hyperlink r:id="rId5">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452A.57</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701—259.1</w:t>
        </w:r>
      </w:hyperlink>
      <w:r>
        <w:rPr>
          <w:rFonts w:ascii="Times New Roman" w:hAnsi="Times New Roman"/>
          <w:b w:val="false"/>
          <w:i w:val="false"/>
          <w:color w:val="000000"/>
          <w:sz w:val="22"/>
        </w:rPr>
        <w:t>(452A). Additionally,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“C.N.G.” </w:t>
      </w:r>
      <w:r>
        <w:rPr>
          <w:rFonts w:ascii="Times New Roman" w:hAnsi="Times New Roman"/>
          <w:b w:val="false"/>
          <w:i w:val="false"/>
          <w:color w:val="000000"/>
          <w:sz w:val="22"/>
        </w:rPr>
        <w:t>means compressed natural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“Invoiced gallons” </w:t>
      </w:r>
      <w:r>
        <w:rPr>
          <w:rFonts w:ascii="Times New Roman" w:hAnsi="Times New Roman"/>
          <w:b w:val="false"/>
          <w:i w:val="false"/>
          <w:color w:val="000000"/>
          <w:sz w:val="22"/>
        </w:rPr>
        <w:t>means gross gallons as shown on the bill of lading or invoice. A temperature-adjusted method may be used as it applies to liquefied petroleum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metered pumps or metered pumps” </w:t>
      </w:r>
      <w:r>
        <w:rPr>
          <w:rFonts w:ascii="Times New Roman" w:hAnsi="Times New Roman"/>
          <w:b w:val="false"/>
          <w:i w:val="false"/>
          <w:color w:val="000000"/>
          <w:sz w:val="22"/>
        </w:rPr>
        <w:t xml:space="preserve">means pumps that have been metered, inspected, tested for accuracy, sealed and licensed by the state department of agriculture pursuant to Iowa Code section </w:t>
      </w:r>
      <w:hyperlink r:id="rId8">
        <w:r>
          <w:rPr>
            <w:rStyle w:val="Hyperlink"/>
            <w:rFonts w:ascii="Times New Roman" w:hAnsi="Times New Roman"/>
            <w:b w:val="false"/>
            <w:i w:val="false"/>
            <w:color w:val="000000"/>
            <w:sz w:val="22"/>
          </w:rPr>
          <w:t>452A.8(2)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metered storage or metered storage” </w:t>
      </w:r>
      <w:r>
        <w:rPr>
          <w:rFonts w:ascii="Times New Roman" w:hAnsi="Times New Roman"/>
          <w:b w:val="false"/>
          <w:i w:val="false"/>
          <w:color w:val="000000"/>
          <w:sz w:val="22"/>
        </w:rPr>
        <w:t>means storage facilities containing “licensed metered pumps.”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“L.N.G.” </w:t>
      </w:r>
      <w:r>
        <w:rPr>
          <w:rFonts w:ascii="Times New Roman" w:hAnsi="Times New Roman"/>
          <w:b w:val="false"/>
          <w:i w:val="false"/>
          <w:color w:val="000000"/>
          <w:sz w:val="22"/>
        </w:rPr>
        <w:t>means liquefied natural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“L.P.G.” </w:t>
      </w:r>
      <w:r>
        <w:rPr>
          <w:rFonts w:ascii="Times New Roman" w:hAnsi="Times New Roman"/>
          <w:b w:val="false"/>
          <w:i w:val="false"/>
          <w:color w:val="000000"/>
          <w:sz w:val="22"/>
        </w:rPr>
        <w:t>means liquefied petroleum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and includes the owner or the employees, agents, or persons under the control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fuel” </w:t>
      </w:r>
      <w:r>
        <w:rPr>
          <w:rFonts w:ascii="Times New Roman" w:hAnsi="Times New Roman"/>
          <w:b w:val="false"/>
          <w:i w:val="false"/>
          <w:color w:val="000000"/>
          <w:sz w:val="22"/>
        </w:rPr>
        <w:t>means liquefied petroleum gas, liquefied natural gas, compressed natural gas, or hydrogen.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261.1(2)</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other rules. </w:t>
      </w:r>
      <w:r>
        <w:rPr>
          <w:rFonts w:ascii="Times New Roman" w:hAnsi="Times New Roman"/>
          <w:b w:val="false"/>
          <w:i w:val="false"/>
          <w:color w:val="000000"/>
          <w:sz w:val="22"/>
        </w:rPr>
        <w:t xml:space="preserve">All rules in 701—Chapters </w:t>
      </w:r>
      <w:hyperlink r:id="rId9">
        <w:r>
          <w:rPr>
            <w:rStyle w:val="Hyperlink"/>
            <w:rFonts w:ascii="Times New Roman" w:hAnsi="Times New Roman"/>
            <w:b w:val="false"/>
            <w:i w:val="false"/>
            <w:color w:val="000000"/>
            <w:sz w:val="22"/>
          </w:rPr>
          <w:t>259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260</w:t>
        </w:r>
      </w:hyperlink>
      <w:r>
        <w:rPr>
          <w:rFonts w:ascii="Times New Roman" w:hAnsi="Times New Roman"/>
          <w:b w:val="false"/>
          <w:i w:val="false"/>
          <w:color w:val="000000"/>
          <w:sz w:val="22"/>
        </w:rPr>
        <w:t xml:space="preserve"> apply if not specifically stated in this chapter.</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11">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701—261.2</w:t>
      </w:r>
      <w:r>
        <w:rPr>
          <w:rFonts w:ascii="Times New Roman" w:hAnsi="Times New Roman"/>
          <w:b/>
          <w:i w:val="false"/>
          <w:color w:val="000000"/>
          <w:sz w:val="22"/>
        </w:rPr>
        <w:t xml:space="preserve">(452A) </w:t>
      </w:r>
      <w:r>
        <w:rPr>
          <w:rFonts w:ascii="Times New Roman" w:hAnsi="Times New Roman"/>
          <w:b/>
          <w:i w:val="false"/>
          <w:color w:val="000000"/>
          <w:sz w:val="22"/>
        </w:rPr>
        <w:t xml:space="preserve">Tax rates—time tax attaches—responsible party—payment of the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261.2(1)</w:t>
      </w:r>
      <w:r>
        <w:rPr>
          <w:rFonts w:ascii="Times New Roman" w:hAnsi="Times New Roman"/>
          <w:b w:val="false"/>
          <w:i w:val="false"/>
          <w:color w:val="000000"/>
          <w:sz w:val="22"/>
        </w:rPr>
        <w:t> </w:t>
      </w:r>
      <w:r>
        <w:rPr>
          <w:rFonts w:ascii="Times New Roman" w:hAnsi="Times New Roman"/>
          <w:b w:val="false"/>
          <w:i/>
          <w:color w:val="000000"/>
          <w:sz w:val="22"/>
        </w:rPr>
        <w:t xml:space="preserve">Attachment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L.P.G. </w:t>
      </w:r>
      <w:r>
        <w:rPr>
          <w:rFonts w:ascii="Times New Roman" w:hAnsi="Times New Roman"/>
          <w:b w:val="false"/>
          <w:i w:val="false"/>
          <w:color w:val="000000"/>
          <w:sz w:val="22"/>
        </w:rPr>
        <w:t xml:space="preserve">The excise tax on L.P.G. attaches when the special fuel is placed in a fuel supply tank of a motor vehicle.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C.N.G., L.N.G., and hydrogen. </w:t>
      </w:r>
      <w:r>
        <w:rPr>
          <w:rFonts w:ascii="Times New Roman" w:hAnsi="Times New Roman"/>
          <w:b w:val="false"/>
          <w:i w:val="false"/>
          <w:color w:val="000000"/>
          <w:sz w:val="22"/>
        </w:rPr>
        <w:t>The excise tax on C.N.G. and L.N.G. attaches at the time of delivery into equipment for compressing the gas for subsequent delivery into the fuel supply tank of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collection and remittance. </w:t>
      </w:r>
      <w:r>
        <w:rPr>
          <w:rFonts w:ascii="Times New Roman" w:hAnsi="Times New Roman"/>
          <w:b w:val="false"/>
          <w:i w:val="false"/>
          <w:color w:val="000000"/>
          <w:sz w:val="22"/>
        </w:rPr>
        <w:t xml:space="preserve">The person responsible for the tax must collect the tax from the purchaser and remit the tax to the department. Iowa Code section </w:t>
      </w:r>
      <w:hyperlink r:id="rId12">
        <w:r>
          <w:rPr>
            <w:rStyle w:val="Hyperlink"/>
            <w:rFonts w:ascii="Times New Roman" w:hAnsi="Times New Roman"/>
            <w:b w:val="false"/>
            <w:i w:val="false"/>
            <w:color w:val="000000"/>
            <w:sz w:val="22"/>
          </w:rPr>
          <w:t>452A.8(2)</w:t>
        </w:r>
      </w:hyperlink>
      <w:r>
        <w:rPr>
          <w:rFonts w:ascii="Times New Roman" w:hAnsi="Times New Roman"/>
          <w:b w:val="false"/>
          <w:i/>
          <w:color w:val="000000"/>
          <w:sz w:val="22"/>
        </w:rPr>
        <w:t>“e”</w:t>
      </w:r>
      <w:r>
        <w:rPr>
          <w:rFonts w:ascii="Times New Roman" w:hAnsi="Times New Roman"/>
          <w:b w:val="false"/>
          <w:i w:val="false"/>
          <w:color w:val="000000"/>
          <w:sz w:val="22"/>
        </w:rPr>
        <w:t xml:space="preserve"> contains more information on the person responsible for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261.2(3)</w:t>
      </w:r>
      <w:r>
        <w:rPr>
          <w:rFonts w:ascii="Times New Roman" w:hAnsi="Times New Roman"/>
          <w:b w:val="false"/>
          <w:i w:val="false"/>
          <w:color w:val="000000"/>
          <w:sz w:val="22"/>
        </w:rPr>
        <w:t> </w:t>
      </w:r>
      <w:r>
        <w:rPr>
          <w:rFonts w:ascii="Times New Roman" w:hAnsi="Times New Roman"/>
          <w:b w:val="false"/>
          <w:i/>
          <w:color w:val="000000"/>
          <w:sz w:val="22"/>
        </w:rPr>
        <w:t xml:space="preserve">Licensing. </w:t>
      </w:r>
      <w:r>
        <w:rPr>
          <w:rFonts w:ascii="Times New Roman" w:hAnsi="Times New Roman"/>
          <w:b w:val="false"/>
          <w:i w:val="false"/>
          <w:color w:val="000000"/>
          <w:sz w:val="22"/>
        </w:rPr>
        <w:t xml:space="preserve">The person responsible for placing L.P.G. into the fuel supply tank of a motor vehicle and the person responsible for placing C.N.G., L.N.G., or hydrogen into compressing equipment must hold a license as a dealer or user as defined in Iowa Code section </w:t>
      </w:r>
      <w:hyperlink r:id="rId13">
        <w:r>
          <w:rPr>
            <w:rStyle w:val="Hyperlink"/>
            <w:rFonts w:ascii="Times New Roman" w:hAnsi="Times New Roman"/>
            <w:b w:val="false"/>
            <w:i w:val="false"/>
            <w:color w:val="000000"/>
            <w:sz w:val="22"/>
          </w:rPr>
          <w:t>452A.4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261.2(4)</w:t>
      </w:r>
      <w:r>
        <w:rPr>
          <w:rFonts w:ascii="Times New Roman" w:hAnsi="Times New Roman"/>
          <w:b w:val="false"/>
          <w:i w:val="false"/>
          <w:color w:val="000000"/>
          <w:sz w:val="22"/>
        </w:rPr>
        <w:t> </w:t>
      </w:r>
      <w:r>
        <w:rPr>
          <w:rFonts w:ascii="Times New Roman" w:hAnsi="Times New Roman"/>
          <w:b w:val="false"/>
          <w:i/>
          <w:color w:val="000000"/>
          <w:sz w:val="22"/>
        </w:rPr>
        <w:t xml:space="preserve">Returns. </w:t>
      </w:r>
      <w:r>
        <w:rPr>
          <w:rFonts w:ascii="Times New Roman" w:hAnsi="Times New Roman"/>
          <w:b w:val="false"/>
          <w:i w:val="false"/>
          <w:color w:val="000000"/>
          <w:sz w:val="22"/>
        </w:rPr>
        <w:t>The return and tax are due no later than the last day of the month following the month the L.P.G. was placed in a vehicle or C.N.G., L.N.G., or hydrogen was placed into compressing equipment. The tax must be remitted by means of electronic funds transfer, unless the licensee can show that this method of payment would cause undue hardship on the licensee. The return must be remitted by means of electronic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261.2(5)</w:t>
      </w:r>
      <w:r>
        <w:rPr>
          <w:rFonts w:ascii="Times New Roman" w:hAnsi="Times New Roman"/>
          <w:b w:val="false"/>
          <w:i w:val="false"/>
          <w:color w:val="000000"/>
          <w:sz w:val="22"/>
        </w:rPr>
        <w:t> </w:t>
      </w:r>
      <w:r>
        <w:rPr>
          <w:rFonts w:ascii="Times New Roman" w:hAnsi="Times New Roman"/>
          <w:b w:val="false"/>
          <w:i/>
          <w:color w:val="000000"/>
          <w:sz w:val="22"/>
        </w:rPr>
        <w:t xml:space="preserve">Penalty and interest. </w:t>
      </w:r>
      <w:r>
        <w:rPr>
          <w:rFonts w:ascii="Times New Roman" w:hAnsi="Times New Roman"/>
          <w:b w:val="false"/>
          <w:i w:val="false"/>
          <w:color w:val="000000"/>
          <w:sz w:val="22"/>
        </w:rPr>
        <w:t xml:space="preserve">Rule </w:t>
      </w:r>
      <w:hyperlink r:id="rId14">
        <w:r>
          <w:rPr>
            <w:rStyle w:val="Hyperlink"/>
            <w:rFonts w:ascii="Times New Roman" w:hAnsi="Times New Roman"/>
            <w:b w:val="false"/>
            <w:i w:val="false"/>
            <w:color w:val="000000"/>
            <w:sz w:val="22"/>
          </w:rPr>
          <w:t>701—259.8</w:t>
        </w:r>
      </w:hyperlink>
      <w:r>
        <w:rPr>
          <w:rFonts w:ascii="Times New Roman" w:hAnsi="Times New Roman"/>
          <w:b w:val="false"/>
          <w:i w:val="false"/>
          <w:color w:val="000000"/>
          <w:sz w:val="22"/>
        </w:rPr>
        <w:t>(452A) provides information on penalty and interest.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701—261.3</w:t>
      </w:r>
      <w:r>
        <w:rPr>
          <w:rFonts w:ascii="Times New Roman" w:hAnsi="Times New Roman"/>
          <w:b/>
          <w:i w:val="false"/>
          <w:color w:val="000000"/>
          <w:sz w:val="22"/>
        </w:rPr>
        <w:t xml:space="preserve">(452A) </w:t>
      </w:r>
      <w:r>
        <w:rPr>
          <w:rFonts w:ascii="Times New Roman" w:hAnsi="Times New Roman"/>
          <w:b/>
          <w:i w:val="false"/>
          <w:color w:val="000000"/>
          <w:sz w:val="22"/>
        </w:rPr>
        <w:t xml:space="preserve">Persons authorized to place L.P.G., L.N.G., C.N.G., or hydrogen in the fuel supply tank of a motor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The only persons authorized to place L.P.G., L.N.G., C.N.G., or hydrogen into the fuel supply tank of a motor vehicle are: licensed L.P.G., L.N.G., C.N.G., or hydrogen dealers, or licensed L.P.G., L.N.G., C.N.G., or hydrogen users.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261.3(2)</w:t>
      </w:r>
      <w:r>
        <w:rPr>
          <w:rFonts w:ascii="Times New Roman" w:hAnsi="Times New Roman"/>
          <w:b w:val="false"/>
          <w:i w:val="false"/>
          <w:color w:val="000000"/>
          <w:sz w:val="22"/>
        </w:rPr>
        <w:t> </w:t>
      </w:r>
      <w:r>
        <w:rPr>
          <w:rFonts w:ascii="Times New Roman" w:hAnsi="Times New Roman"/>
          <w:b w:val="false"/>
          <w:i/>
          <w:color w:val="000000"/>
          <w:sz w:val="22"/>
        </w:rPr>
        <w:t xml:space="preserve">L.P.G., L.N.G., C.N.G., or hydrogen dealer’s license. </w:t>
      </w:r>
      <w:r>
        <w:rPr>
          <w:rFonts w:ascii="Times New Roman" w:hAnsi="Times New Roman"/>
          <w:b w:val="false"/>
          <w:i w:val="false"/>
          <w:color w:val="000000"/>
          <w:sz w:val="22"/>
        </w:rPr>
        <w:t>Anyone who delivers untaxed L.P.G. into the fuel supply tank of a motor vehicle or places untaxed C.N.G., L.N.G., or hydrogen into compression equipment must be licensed as an L.P.G., L.N.G., C.N.G., or hydrogen dealer. A dealer may also fuel the dealer’s own vehicles under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261.3(3)</w:t>
      </w:r>
      <w:r>
        <w:rPr>
          <w:rFonts w:ascii="Times New Roman" w:hAnsi="Times New Roman"/>
          <w:b w:val="false"/>
          <w:i w:val="false"/>
          <w:color w:val="000000"/>
          <w:sz w:val="22"/>
        </w:rPr>
        <w:t> </w:t>
      </w:r>
      <w:r>
        <w:rPr>
          <w:rFonts w:ascii="Times New Roman" w:hAnsi="Times New Roman"/>
          <w:b w:val="false"/>
          <w:i/>
          <w:color w:val="000000"/>
          <w:sz w:val="22"/>
        </w:rPr>
        <w:t xml:space="preserve">L.P.G., L.N.G., C.N.G., or hydrogen user’s license. </w:t>
      </w:r>
      <w:r>
        <w:rPr>
          <w:rFonts w:ascii="Times New Roman" w:hAnsi="Times New Roman"/>
          <w:b w:val="false"/>
          <w:i w:val="false"/>
          <w:color w:val="000000"/>
          <w:sz w:val="22"/>
        </w:rPr>
        <w:t>Anyone who delivers untaxed L.P.G., L.N.G., C.N.G., or hydrogen upon which fuel tax has not been previously paid, into the fuel supply tank of a motor vehicle, which tank is owned or leased by the person delivering it and which vehicle will be for highway use, must be licensed as an L.P.G., L.N.G., or C.N.G. user. If that same person delivers the fuel into tanks owned by others, that person must be licensed as a dealer in lieu of being licensed as a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261.3(4)</w:t>
      </w:r>
      <w:r>
        <w:rPr>
          <w:rFonts w:ascii="Times New Roman" w:hAnsi="Times New Roman"/>
          <w:b w:val="false"/>
          <w:i w:val="false"/>
          <w:color w:val="000000"/>
          <w:sz w:val="22"/>
        </w:rPr>
        <w:t> </w:t>
      </w:r>
      <w:r>
        <w:rPr>
          <w:rFonts w:ascii="Times New Roman" w:hAnsi="Times New Roman"/>
          <w:b w:val="false"/>
          <w:i/>
          <w:color w:val="000000"/>
          <w:sz w:val="22"/>
        </w:rPr>
        <w:t xml:space="preserve">L.P.G. “mobile” tank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person has an L.P.G. storage tank which is “mobile” and the storage is moved from location to location, that person may be issued an L.P.G. user’s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licensee will be allowed to move the storage tank to a new location without procuring a new license for each new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issuance of this license is discretionary with the director, and the license will be issued only when the person requesting the license shows a need for mobile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license will be issued to the licensee at the licensee’s principal place of business, and each mobile storage tank is deemed a separate pump at that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operation of such licensed mobile storage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mobile storage tank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fixed with licensed, metered pumps.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assigned a separate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the gallonage reported on a per-tank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Display in a size no smaller than six inches in height and ¾ inches in width, the unit number and licensee’s license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may be a total of only nine mobile storage tanks operated under a single license.     If the licensee operates more than nine such storage tanks, the licensee must obtain a separate license for each multiple of nine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licensee changes the licensee’s principal place of business, the licensee is responsible for canceling the license and must apply for a new license for the new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records required to be kept shall be maintained at the licensee’s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Except for the requirement of having a separate license for each location where L.P.G. is used, the licensee is subject to all the requirements of other licensed L.P.G. users.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261.3(5)</w:t>
      </w:r>
      <w:r>
        <w:rPr>
          <w:rFonts w:ascii="Times New Roman" w:hAnsi="Times New Roman"/>
          <w:b w:val="false"/>
          <w:i w:val="false"/>
          <w:color w:val="000000"/>
          <w:sz w:val="22"/>
        </w:rPr>
        <w:t> </w:t>
      </w:r>
      <w:r>
        <w:rPr>
          <w:rFonts w:ascii="Times New Roman" w:hAnsi="Times New Roman"/>
          <w:b w:val="false"/>
          <w:i/>
          <w:color w:val="000000"/>
          <w:sz w:val="22"/>
        </w:rPr>
        <w:t xml:space="preserve">Authorization for emergency filling by distributors.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from a stranded motorist, L.P.G. distributors may place up to 20 gallons of L.P.G. into the fuel supply tank of a stranded vehicle without being considered an unlicensed L.P.G. dealer in violation of Iowa Code section </w:t>
      </w:r>
      <w:hyperlink r:id="rId16">
        <w:r>
          <w:rPr>
            <w:rStyle w:val="Hyperlink"/>
            <w:rFonts w:ascii="Times New Roman" w:hAnsi="Times New Roman"/>
            <w:b w:val="false"/>
            <w:i w:val="false"/>
            <w:color w:val="000000"/>
            <w:sz w:val="22"/>
          </w:rPr>
          <w:t>452A.74(1)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emergency fills, distributors must remit the tax on a licensed dealer form and pay the tax before the last day of the month following the month of the emergency fill.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701—261.4</w:t>
      </w:r>
      <w:r>
        <w:rPr>
          <w:rFonts w:ascii="Times New Roman" w:hAnsi="Times New Roman"/>
          <w:b/>
          <w:i w:val="false"/>
          <w:color w:val="000000"/>
          <w:sz w:val="22"/>
        </w:rPr>
        <w:t xml:space="preserve">(452A) </w:t>
      </w:r>
      <w:r>
        <w:rPr>
          <w:rFonts w:ascii="Times New Roman" w:hAnsi="Times New Roman"/>
          <w:b/>
          <w:i w:val="false"/>
          <w:color w:val="000000"/>
          <w:sz w:val="22"/>
        </w:rPr>
        <w:t xml:space="preserve">Requirements to be licensed. </w:t>
      </w:r>
      <w:r>
        <w:rPr>
          <w:rFonts w:ascii="Times New Roman" w:hAnsi="Times New Roman"/>
          <w:b w:val="false"/>
          <w:i w:val="false"/>
          <w:color w:val="000000"/>
          <w:sz w:val="22"/>
        </w:rPr>
        <w:t xml:space="preserve">To become licensed as an L.P.G., L.N.G., C.N.G., or hydrogen user or dealer, a person must file with the department a completed application form for the appropriate license. A separate license is required for each place of business or location where L.P.G., L.N.G., C.N.G., or hydrogen is regularly delivered or placed into the fuel supply tank of motor vehicles. Iowa Code section </w:t>
      </w:r>
      <w:hyperlink r:id="rId18">
        <w:r>
          <w:rPr>
            <w:rStyle w:val="Hyperlink"/>
            <w:rFonts w:ascii="Times New Roman" w:hAnsi="Times New Roman"/>
            <w:b w:val="false"/>
            <w:i w:val="false"/>
            <w:color w:val="000000"/>
            <w:sz w:val="22"/>
          </w:rPr>
          <w:t>452A.4</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701—subrule 259.18(1)</w:t>
        </w:r>
      </w:hyperlink>
      <w:r>
        <w:rPr>
          <w:rFonts w:ascii="Times New Roman" w:hAnsi="Times New Roman"/>
          <w:b w:val="false"/>
          <w:i w:val="false"/>
          <w:color w:val="000000"/>
          <w:sz w:val="22"/>
        </w:rPr>
        <w:t xml:space="preserve"> contain licensing requirements.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701—261.5</w:t>
      </w:r>
      <w:r>
        <w:rPr>
          <w:rFonts w:ascii="Times New Roman" w:hAnsi="Times New Roman"/>
          <w:b/>
          <w:i w:val="false"/>
          <w:color w:val="000000"/>
          <w:sz w:val="22"/>
        </w:rPr>
        <w:t xml:space="preserve">(452A) </w:t>
      </w:r>
      <w:r>
        <w:rPr>
          <w:rFonts w:ascii="Times New Roman" w:hAnsi="Times New Roman"/>
          <w:b/>
          <w:i w:val="false"/>
          <w:color w:val="000000"/>
          <w:sz w:val="22"/>
        </w:rPr>
        <w:t xml:space="preserve">Licensed metered pumps.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261.5(1)</w:t>
      </w:r>
      <w:r>
        <w:rPr>
          <w:rFonts w:ascii="Times New Roman" w:hAnsi="Times New Roman"/>
          <w:b w:val="false"/>
          <w:i w:val="false"/>
          <w:color w:val="000000"/>
          <w:sz w:val="22"/>
        </w:rPr>
        <w:t> </w:t>
      </w:r>
      <w:r>
        <w:rPr>
          <w:rFonts w:ascii="Times New Roman" w:hAnsi="Times New Roman"/>
          <w:b w:val="false"/>
          <w:i/>
          <w:color w:val="000000"/>
          <w:sz w:val="22"/>
        </w:rPr>
        <w:t xml:space="preserve">Location pumps.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In order for the department to grant a L.P.G, L.N.G, C.N.G, or hydrogen dealer or user license, all pumps designed to fuel motor vehicles at a location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Tested for accuracy,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Sealed,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Licensed by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Multiple pumps. </w:t>
      </w:r>
      <w:r>
        <w:rPr>
          <w:rFonts w:ascii="Times New Roman" w:hAnsi="Times New Roman"/>
          <w:b w:val="false"/>
          <w:i w:val="false"/>
          <w:color w:val="000000"/>
          <w:sz w:val="22"/>
        </w:rPr>
        <w:t>If there is more than one pump at a location to be licensed, each pump will be assigned a separate pump number, and the licensee will report the gallonage each month with reference to such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261.5(2)</w:t>
      </w:r>
      <w:r>
        <w:rPr>
          <w:rFonts w:ascii="Times New Roman" w:hAnsi="Times New Roman"/>
          <w:b w:val="false"/>
          <w:i w:val="false"/>
          <w:color w:val="000000"/>
          <w:sz w:val="22"/>
        </w:rPr>
        <w:t> </w:t>
      </w:r>
      <w:r>
        <w:rPr>
          <w:rFonts w:ascii="Times New Roman" w:hAnsi="Times New Roman"/>
          <w:b w:val="false"/>
          <w:i/>
          <w:color w:val="000000"/>
          <w:sz w:val="22"/>
        </w:rPr>
        <w:t xml:space="preserve">Temperature correction.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L.P.G. distributor, dealer, or user may elect to measure L.P.G. for the tax purposes either temperature compensated to 60°F, or without temperature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L.P.G. distributor, dealer, or user elects to measure L.P.G. temperature compensated to 60°F for tax purposes, the L.P.G. distributor, dealer or user must use meters that are of an automatic temperature compensating type that compute gross gallons corrected to 60°F.</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21">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701—261.6</w:t>
      </w:r>
      <w:r>
        <w:rPr>
          <w:rFonts w:ascii="Times New Roman" w:hAnsi="Times New Roman"/>
          <w:b/>
          <w:i w:val="false"/>
          <w:color w:val="000000"/>
          <w:sz w:val="22"/>
        </w:rPr>
        <w:t xml:space="preserve">(452A) </w:t>
      </w:r>
      <w:r>
        <w:rPr>
          <w:rFonts w:ascii="Times New Roman" w:hAnsi="Times New Roman"/>
          <w:b/>
          <w:i w:val="false"/>
          <w:color w:val="000000"/>
          <w:sz w:val="22"/>
        </w:rPr>
        <w:t xml:space="preserve">Single license for each 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261.6(1)</w:t>
      </w:r>
      <w:r>
        <w:rPr>
          <w:rFonts w:ascii="Times New Roman" w:hAnsi="Times New Roman"/>
          <w:b w:val="false"/>
          <w:i w:val="false"/>
          <w:color w:val="000000"/>
          <w:sz w:val="22"/>
        </w:rPr>
        <w:t> </w:t>
      </w:r>
      <w:r>
        <w:rPr>
          <w:rFonts w:ascii="Times New Roman" w:hAnsi="Times New Roman"/>
          <w:b w:val="false"/>
          <w:i/>
          <w:color w:val="000000"/>
          <w:sz w:val="22"/>
        </w:rPr>
        <w:t xml:space="preserve">Place of business or location. </w:t>
      </w:r>
      <w:r>
        <w:rPr>
          <w:rFonts w:ascii="Times New Roman" w:hAnsi="Times New Roman"/>
          <w:b w:val="false"/>
          <w:i w:val="false"/>
          <w:color w:val="000000"/>
          <w:sz w:val="22"/>
        </w:rPr>
        <w:t xml:space="preserve">A single license is required for each separate place of business or location where L.P.G., L.N.G., C.N.G., or hydrogen is delivered into the fuel supply tank of a motor vehicle.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dealer or user operations at that location will be conducted under that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may have a different type of license (dealer, user) for each separate location where L.P.G., L.N.G., C.N.G., or hydrogen is dispensed.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If a licensee holds an L.P.G., L.N.G., C.N.G., or hydrogen dealer’s license for location A and an L.P.G., L.N.G., C.N.G., or hydrogen user’s license for location B, the licensee may sell fuel to others or fuel the licensee’s own vehicles at location A, but the licensee may only fuel the licensee’s own vehicles at location 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261.6(2)</w:t>
      </w:r>
      <w:r>
        <w:rPr>
          <w:rFonts w:ascii="Times New Roman" w:hAnsi="Times New Roman"/>
          <w:b w:val="false"/>
          <w:i w:val="false"/>
          <w:color w:val="000000"/>
          <w:sz w:val="22"/>
        </w:rPr>
        <w:t> </w:t>
      </w:r>
      <w:r>
        <w:rPr>
          <w:rFonts w:ascii="Times New Roman" w:hAnsi="Times New Roman"/>
          <w:b w:val="false"/>
          <w:i/>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reporting purposes, a licensee may file a separate return for each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Consolidated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may file a consolidated return reporting all sales made at all locations for which a license is held if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consolidated return may not be used to combine dealer and user operations. All working papers used in the preparation of the information required must be available for examination by the department.</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22">
        <w:r>
          <w:rPr>
            <w:rStyle w:val="Hyperlink"/>
            <w:rFonts w:ascii="Times New Roman" w:hAnsi="Times New Roman"/>
            <w:b w:val="false"/>
            <w:i w:val="false"/>
            <w:color w:val="000000"/>
            <w:sz w:val="22"/>
          </w:rPr>
          <w:t>452A.4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701—261.7</w:t>
      </w:r>
      <w:r>
        <w:rPr>
          <w:rFonts w:ascii="Times New Roman" w:hAnsi="Times New Roman"/>
          <w:b/>
          <w:i w:val="false"/>
          <w:color w:val="000000"/>
          <w:sz w:val="22"/>
        </w:rPr>
        <w:t xml:space="preserve">(452A) </w:t>
      </w:r>
      <w:r>
        <w:rPr>
          <w:rFonts w:ascii="Times New Roman" w:hAnsi="Times New Roman"/>
          <w:b/>
          <w:i w:val="false"/>
          <w:color w:val="000000"/>
          <w:sz w:val="22"/>
        </w:rPr>
        <w:t xml:space="preserve">Dealer’s and user’s license nonassignable.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261.7(1)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An L.P.G., L.N.G., C.N.G., or hydrogen dealer’s license or user’s license cannot be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261.7(2)</w:t>
      </w:r>
      <w:r>
        <w:rPr>
          <w:rFonts w:ascii="Times New Roman" w:hAnsi="Times New Roman"/>
          <w:b w:val="false"/>
          <w:i w:val="false"/>
          <w:color w:val="000000"/>
          <w:sz w:val="22"/>
        </w:rPr>
        <w:t> </w:t>
      </w:r>
      <w:r>
        <w:rPr>
          <w:rFonts w:ascii="Times New Roman" w:hAnsi="Times New Roman"/>
          <w:b w:val="false"/>
          <w:i/>
          <w:color w:val="000000"/>
          <w:sz w:val="22"/>
        </w:rPr>
        <w:t xml:space="preserve">Situations considered assignments. </w:t>
      </w:r>
      <w:r>
        <w:rPr>
          <w:rFonts w:ascii="Times New Roman" w:hAnsi="Times New Roman"/>
          <w:b w:val="false"/>
          <w:i w:val="false"/>
          <w:color w:val="000000"/>
          <w:sz w:val="22"/>
        </w:rPr>
        <w:t>The following is a nonexclusive list of situations that will be considered an assignment and therefore require an application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change in the name under which the licensee conducts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change in the location where the business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sale of the business, even if the new owner(s) operates under the same business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merger or other business combination that results in a new or different entity.</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23">
        <w:r>
          <w:rPr>
            <w:rStyle w:val="Hyperlink"/>
            <w:rFonts w:ascii="Times New Roman" w:hAnsi="Times New Roman"/>
            <w:b w:val="false"/>
            <w:i w:val="false"/>
            <w:color w:val="000000"/>
            <w:sz w:val="22"/>
          </w:rPr>
          <w:t>452A.4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701—261.8</w:t>
      </w:r>
      <w:r>
        <w:rPr>
          <w:rFonts w:ascii="Times New Roman" w:hAnsi="Times New Roman"/>
          <w:b/>
          <w:i w:val="false"/>
          <w:color w:val="000000"/>
          <w:sz w:val="22"/>
        </w:rPr>
        <w:t xml:space="preserve">(452A) </w:t>
      </w:r>
      <w:r>
        <w:rPr>
          <w:rFonts w:ascii="Times New Roman" w:hAnsi="Times New Roman"/>
          <w:b/>
          <w:i w:val="false"/>
          <w:color w:val="000000"/>
          <w:sz w:val="22"/>
        </w:rPr>
        <w:t xml:space="preserve">Separate storage—bulk sales—highway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261.8(1)</w:t>
      </w:r>
      <w:r>
        <w:rPr>
          <w:rFonts w:ascii="Times New Roman" w:hAnsi="Times New Roman"/>
          <w:b w:val="false"/>
          <w:i w:val="false"/>
          <w:color w:val="000000"/>
          <w:sz w:val="22"/>
        </w:rPr>
        <w:t> </w:t>
      </w:r>
      <w:r>
        <w:rPr>
          <w:rFonts w:ascii="Times New Roman" w:hAnsi="Times New Roman"/>
          <w:b w:val="false"/>
          <w:i w:val="false"/>
          <w:color w:val="000000"/>
          <w:sz w:val="22"/>
        </w:rPr>
        <w:t xml:space="preserve"> If a person is operating as an L.P.G. dealer’s or user’s licensee and also makes bulk sales for nonhighway use, the licensee must maintain separate storage for bulk sales and sales for highway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261.8(2)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amount of L.P.G. in a storage facility is used directly from bulk storage for highway purposes or if the storage is connected to a device which is designed in such a way as to be able to fuel motor vehicles, all fuel dispensed from the storage shall be dispensed through licensed metered pumps.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261.8(3)</w:t>
      </w:r>
      <w:r>
        <w:rPr>
          <w:rFonts w:ascii="Times New Roman" w:hAnsi="Times New Roman"/>
          <w:b w:val="false"/>
          <w:i w:val="false"/>
          <w:color w:val="000000"/>
          <w:sz w:val="22"/>
        </w:rPr>
        <w:t> </w:t>
      </w:r>
      <w:r>
        <w:rPr>
          <w:rFonts w:ascii="Times New Roman" w:hAnsi="Times New Roman"/>
          <w:b w:val="false"/>
          <w:i w:val="false"/>
          <w:color w:val="000000"/>
          <w:sz w:val="22"/>
        </w:rPr>
        <w:t>Tax is due on all fuel dispensed through licensed metered pumps unless such fuel is exempt as evidenced by exemption certificates.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701—261.9</w:t>
      </w:r>
      <w:r>
        <w:rPr>
          <w:rFonts w:ascii="Times New Roman" w:hAnsi="Times New Roman"/>
          <w:b/>
          <w:i w:val="false"/>
          <w:color w:val="000000"/>
          <w:sz w:val="22"/>
        </w:rPr>
        <w:t xml:space="preserve">(452A) </w:t>
      </w:r>
      <w:r>
        <w:rPr>
          <w:rFonts w:ascii="Times New Roman" w:hAnsi="Times New Roman"/>
          <w:b/>
          <w:i w:val="false"/>
          <w:color w:val="000000"/>
          <w:sz w:val="22"/>
        </w:rPr>
        <w:t xml:space="preserve">Combined storage—bulk sales—highway sales or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261.9(1)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If a person is operating as an L.P.G. dealer’s or user’s licensee, L.P.G. may be dispensed for bulk nontaxable sales and for taxable highway sales from the same storage if, and only if, the following requirements are complied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pumps that are of such a design to be able to fuel motor vehicles must be licensed, sealed, metered, and inspected as provided in rule </w:t>
      </w:r>
      <w:hyperlink r:id="rId25">
        <w:r>
          <w:rPr>
            <w:rStyle w:val="Hyperlink"/>
            <w:rFonts w:ascii="Times New Roman" w:hAnsi="Times New Roman"/>
            <w:b w:val="false"/>
            <w:i w:val="false"/>
            <w:color w:val="000000"/>
            <w:sz w:val="22"/>
          </w:rPr>
          <w:t>701—261.3</w:t>
        </w:r>
      </w:hyperlink>
      <w:r>
        <w:rPr>
          <w:rFonts w:ascii="Times New Roman" w:hAnsi="Times New Roman"/>
          <w:b w:val="false"/>
          <w:i w:val="false"/>
          <w:color w:val="000000"/>
          <w:sz w:val="22"/>
        </w:rPr>
        <w:t>(452A).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fuel passing through the pumps is taxed unless supported by exemption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pumps that are not licensed, sealed, metered, and inspected are of such a design that it is impossible to use them to place fuel into the fuel supply tank of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Accurate records are kept showing all purchases of fuel and all nontaxable bulk sales of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261.9(2)</w:t>
      </w:r>
      <w:r>
        <w:rPr>
          <w:rFonts w:ascii="Times New Roman" w:hAnsi="Times New Roman"/>
          <w:b w:val="false"/>
          <w:i w:val="false"/>
          <w:color w:val="000000"/>
          <w:sz w:val="22"/>
        </w:rPr>
        <w:t> </w:t>
      </w:r>
      <w:r>
        <w:rPr>
          <w:rFonts w:ascii="Times New Roman" w:hAnsi="Times New Roman"/>
          <w:b w:val="false"/>
          <w:i/>
          <w:color w:val="000000"/>
          <w:sz w:val="22"/>
        </w:rPr>
        <w:t xml:space="preserve">Presumption. </w:t>
      </w:r>
      <w:r>
        <w:rPr>
          <w:rFonts w:ascii="Times New Roman" w:hAnsi="Times New Roman"/>
          <w:b w:val="false"/>
          <w:i w:val="false"/>
          <w:color w:val="000000"/>
          <w:sz w:val="22"/>
        </w:rPr>
        <w:t xml:space="preserve">All L.P.G. placed in this combined storage is presumed to be for highway use and taxable unless supported by exemption certificates (for fuel passing through the licensed pumps) or detailed records showing bulk sales for nonhighway use or to other users or dealers (for fuel passing through the nonlicensed pumps).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261.9(3)</w:t>
      </w:r>
      <w:r>
        <w:rPr>
          <w:rFonts w:ascii="Times New Roman" w:hAnsi="Times New Roman"/>
          <w:b w:val="false"/>
          <w:i w:val="false"/>
          <w:color w:val="000000"/>
          <w:sz w:val="22"/>
        </w:rPr>
        <w:t> </w:t>
      </w:r>
      <w:r>
        <w:rPr>
          <w:rFonts w:ascii="Times New Roman" w:hAnsi="Times New Roman"/>
          <w:b w:val="false"/>
          <w:i/>
          <w:color w:val="000000"/>
          <w:sz w:val="22"/>
        </w:rPr>
        <w:t xml:space="preserve">Separate storage. </w:t>
      </w:r>
      <w:r>
        <w:rPr>
          <w:rFonts w:ascii="Times New Roman" w:hAnsi="Times New Roman"/>
          <w:b w:val="false"/>
          <w:i w:val="false"/>
          <w:color w:val="000000"/>
          <w:sz w:val="22"/>
        </w:rPr>
        <w:t xml:space="preserve">If at any time the licensee fails to comply with the requirements of this rule, separate storage for taxable sales and nontaxable bulk sales will be required under rule </w:t>
      </w:r>
      <w:hyperlink r:id="rId26">
        <w:r>
          <w:rPr>
            <w:rStyle w:val="Hyperlink"/>
            <w:rFonts w:ascii="Times New Roman" w:hAnsi="Times New Roman"/>
            <w:b w:val="false"/>
            <w:i w:val="false"/>
            <w:color w:val="000000"/>
            <w:sz w:val="22"/>
          </w:rPr>
          <w:t>701—261.8</w:t>
        </w:r>
      </w:hyperlink>
      <w:r>
        <w:rPr>
          <w:rFonts w:ascii="Times New Roman" w:hAnsi="Times New Roman"/>
          <w:b w:val="false"/>
          <w:i w:val="false"/>
          <w:color w:val="000000"/>
          <w:sz w:val="22"/>
        </w:rPr>
        <w:t>(452A).</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27">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701—261.10</w:t>
      </w:r>
      <w:r>
        <w:rPr>
          <w:rFonts w:ascii="Times New Roman" w:hAnsi="Times New Roman"/>
          <w:b/>
          <w:i w:val="false"/>
          <w:color w:val="000000"/>
          <w:sz w:val="22"/>
        </w:rPr>
        <w:t xml:space="preserve">(452A) </w:t>
      </w:r>
      <w:r>
        <w:rPr>
          <w:rFonts w:ascii="Times New Roman" w:hAnsi="Times New Roman"/>
          <w:b/>
          <w:i w:val="false"/>
          <w:color w:val="000000"/>
          <w:sz w:val="22"/>
        </w:rPr>
        <w:t xml:space="preserve">Exemption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261.10(1)</w:t>
      </w:r>
      <w:r>
        <w:rPr>
          <w:rFonts w:ascii="Times New Roman" w:hAnsi="Times New Roman"/>
          <w:b w:val="false"/>
          <w:i w:val="false"/>
          <w:color w:val="000000"/>
          <w:sz w:val="22"/>
        </w:rPr>
        <w:t> </w:t>
      </w:r>
      <w:r>
        <w:rPr>
          <w:rFonts w:ascii="Times New Roman" w:hAnsi="Times New Roman"/>
          <w:b w:val="false"/>
          <w:i/>
          <w:color w:val="000000"/>
          <w:sz w:val="22"/>
        </w:rPr>
        <w:t xml:space="preserve">Certificate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L.P.G. is dispensed from metered highway storage for other than highway purposes, an exemption certificate must be completed by the seller and signed by the purchaser.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dealer or user must retain completed exemption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 information. The exemption certificate must include but is not limited to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Seller’s name and license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Invoice number covering the fuel sold if sold by a dealer,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fuel’s intended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Name, address, and signature of the purchaser or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exemption certificate will be provided by the department, or a dealer or user may provide the exemption certificate if it contains all information required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261.10(2)</w:t>
      </w:r>
      <w:r>
        <w:rPr>
          <w:rFonts w:ascii="Times New Roman" w:hAnsi="Times New Roman"/>
          <w:b w:val="false"/>
          <w:i w:val="false"/>
          <w:color w:val="000000"/>
          <w:sz w:val="22"/>
        </w:rPr>
        <w:t> </w:t>
      </w:r>
      <w:r>
        <w:rPr>
          <w:rFonts w:ascii="Times New Roman" w:hAnsi="Times New Roman"/>
          <w:b w:val="false"/>
          <w:i/>
          <w:color w:val="000000"/>
          <w:sz w:val="22"/>
        </w:rPr>
        <w:t xml:space="preserve">Exempt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Exempt sale types. </w:t>
      </w:r>
      <w:r>
        <w:rPr>
          <w:rFonts w:ascii="Times New Roman" w:hAnsi="Times New Roman"/>
          <w:b w:val="false"/>
          <w:i w:val="false"/>
          <w:color w:val="000000"/>
          <w:sz w:val="22"/>
        </w:rPr>
        <w:t>Exempt sales of L.P.G. from metered highway storage are limited to the following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Placed directly into a fuel supply tank that is connected to the heating or cooling unit installed on a highway “reefer” unit, provided the fuel supply tank is not connected nor has provisions for connection directly or indirectly to the power source of the highway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Placed directly into the fuel supply tank of a nonhighway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Placed into carryout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Nonexempt sales. </w:t>
      </w:r>
      <w:r>
        <w:rPr>
          <w:rFonts w:ascii="Times New Roman" w:hAnsi="Times New Roman"/>
          <w:b w:val="false"/>
          <w:i w:val="false"/>
          <w:color w:val="000000"/>
          <w:sz w:val="22"/>
        </w:rPr>
        <w:t>All other sales for other than highway use must be from bulk storage and not from metered highway storage.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701—261.11</w:t>
      </w:r>
      <w:r>
        <w:rPr>
          <w:rFonts w:ascii="Times New Roman" w:hAnsi="Times New Roman"/>
          <w:b/>
          <w:i w:val="false"/>
          <w:color w:val="000000"/>
          <w:sz w:val="22"/>
        </w:rPr>
        <w:t xml:space="preserve">(452A) </w:t>
      </w:r>
      <w:r>
        <w:rPr>
          <w:rFonts w:ascii="Times New Roman" w:hAnsi="Times New Roman"/>
          <w:b/>
          <w:i w:val="false"/>
          <w:color w:val="000000"/>
          <w:sz w:val="22"/>
        </w:rPr>
        <w:t xml:space="preserve">L.P.G. sold to the state of Iowa, its political subdivisions, contract carriers under contract with public schools to transport pupils or regional transit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261.11(1)</w:t>
      </w:r>
      <w:r>
        <w:rPr>
          <w:rFonts w:ascii="Times New Roman" w:hAnsi="Times New Roman"/>
          <w:b w:val="false"/>
          <w:i w:val="false"/>
          <w:color w:val="000000"/>
          <w:sz w:val="22"/>
        </w:rPr>
        <w:t> </w:t>
      </w:r>
      <w:r>
        <w:rPr>
          <w:rFonts w:ascii="Times New Roman" w:hAnsi="Times New Roman"/>
          <w:b w:val="false"/>
          <w:i/>
          <w:color w:val="000000"/>
          <w:sz w:val="22"/>
        </w:rPr>
        <w:t xml:space="preserve">Exempt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L.P.G. is sold to the state of Iowa, its agencies, a political subdivision of the state, or a regional transit system for public use, or a use specified in Iowa Code section </w:t>
      </w:r>
      <w:hyperlink r:id="rId29">
        <w:r>
          <w:rPr>
            <w:rStyle w:val="Hyperlink"/>
            <w:rFonts w:ascii="Times New Roman" w:hAnsi="Times New Roman"/>
            <w:b w:val="false"/>
            <w:i w:val="false"/>
            <w:color w:val="000000"/>
            <w:sz w:val="22"/>
          </w:rPr>
          <w:t>452A.57(11)</w:t>
        </w:r>
      </w:hyperlink>
      <w:r>
        <w:rPr>
          <w:rFonts w:ascii="Times New Roman" w:hAnsi="Times New Roman"/>
          <w:b w:val="false"/>
          <w:i w:val="false"/>
          <w:color w:val="000000"/>
          <w:sz w:val="22"/>
        </w:rPr>
        <w:t xml:space="preserve">, and placed in storage, it may be sold tax-free.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Fuel sold by a dealer and delivered directly into the fuel supply tank of a motor vehicle must be sold tax-paid.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Since the L.P.G. delivered into storage is not subject to tax, the governmental unit or regional transit system need not be licensed as a special fuel user. However, if the L.P.G. is used by a governmental unit or regional transit system for other than “public purposes,” it must obtain a user’s license and pay the tax on all highway L.P.G. used from the storage.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261.11(2)</w:t>
      </w:r>
      <w:r>
        <w:rPr>
          <w:rFonts w:ascii="Times New Roman" w:hAnsi="Times New Roman"/>
          <w:b w:val="false"/>
          <w:i w:val="false"/>
          <w:color w:val="000000"/>
          <w:sz w:val="22"/>
        </w:rPr>
        <w:t> </w:t>
      </w:r>
      <w:r>
        <w:rPr>
          <w:rFonts w:ascii="Times New Roman" w:hAnsi="Times New Roman"/>
          <w:b w:val="false"/>
          <w:i/>
          <w:color w:val="000000"/>
          <w:sz w:val="22"/>
        </w:rPr>
        <w:t xml:space="preserve">L.P.G. sold to a contract carrier under contract with public schools to transport pupils.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special fuel is sold directly to contract carriers who have a contract with a public school under Iowa Code section </w:t>
      </w:r>
      <w:hyperlink r:id="rId30">
        <w:r>
          <w:rPr>
            <w:rStyle w:val="Hyperlink"/>
            <w:rFonts w:ascii="Times New Roman" w:hAnsi="Times New Roman"/>
            <w:b w:val="false"/>
            <w:i w:val="false"/>
            <w:color w:val="000000"/>
            <w:sz w:val="22"/>
          </w:rPr>
          <w:t>285.5</w:t>
        </w:r>
      </w:hyperlink>
      <w:r>
        <w:rPr>
          <w:rFonts w:ascii="Times New Roman" w:hAnsi="Times New Roman"/>
          <w:b w:val="false"/>
          <w:i w:val="false"/>
          <w:color w:val="000000"/>
          <w:sz w:val="22"/>
        </w:rPr>
        <w:t xml:space="preserve"> for the transportation of pupils of an approved public or nonpublic school, the fuel shall be sold tax-paid.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contract carrier is licensed as an L.P.G. fuel dealer or user, the licensee may buy the fuel tax-free, but the tax must be remitted on the monthly dealer or user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contract carrier who has paid the tax is entitled to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refund requested by contract carriers will be reduced by the applicable sales tax, unless otherwise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contract carriers must apply to the department for a refund registration even if they currently hold a motor fuel tax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hyperlink r:id="rId31">
        <w:r>
          <w:rPr>
            <w:rStyle w:val="Hyperlink"/>
            <w:rFonts w:ascii="Times New Roman" w:hAnsi="Times New Roman"/>
            <w:b w:val="false"/>
            <w:i w:val="false"/>
            <w:color w:val="000000"/>
            <w:sz w:val="22"/>
          </w:rPr>
          <w:t>701—subrule 260.8(4)</w:t>
        </w:r>
      </w:hyperlink>
      <w:r>
        <w:rPr>
          <w:rFonts w:ascii="Times New Roman" w:hAnsi="Times New Roman"/>
          <w:b w:val="false"/>
          <w:i w:val="false"/>
          <w:color w:val="000000"/>
          <w:sz w:val="22"/>
        </w:rPr>
        <w:t xml:space="preserve"> provides more information about this refund type.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701—261.12</w:t>
      </w:r>
      <w:r>
        <w:rPr>
          <w:rFonts w:ascii="Times New Roman" w:hAnsi="Times New Roman"/>
          <w:b/>
          <w:i w:val="false"/>
          <w:color w:val="000000"/>
          <w:sz w:val="22"/>
        </w:rPr>
        <w:t xml:space="preserve">(452A) </w:t>
      </w:r>
      <w:r>
        <w:rPr>
          <w:rFonts w:ascii="Times New Roman" w:hAnsi="Times New Roman"/>
          <w:b/>
          <w:i w:val="false"/>
          <w:color w:val="000000"/>
          <w:sz w:val="22"/>
        </w:rPr>
        <w:t xml:space="preserve">Refunds.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261.12(1)</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r>
        <w:rPr>
          <w:rFonts w:ascii="Times New Roman" w:hAnsi="Times New Roman"/>
          <w:b w:val="false"/>
          <w:i w:val="false"/>
          <w:color w:val="000000"/>
          <w:sz w:val="22"/>
        </w:rPr>
        <w:t xml:space="preserve">Refunds of taxes paid on L.P.G., C.N.G., or hydrogen used for other than highway use are available if the tax has been paid.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261.12(2)</w:t>
      </w:r>
      <w:r>
        <w:rPr>
          <w:rFonts w:ascii="Times New Roman" w:hAnsi="Times New Roman"/>
          <w:b w:val="false"/>
          <w:i w:val="false"/>
          <w:color w:val="000000"/>
          <w:sz w:val="22"/>
        </w:rPr>
        <w:t> </w:t>
      </w:r>
      <w:r>
        <w:rPr>
          <w:rFonts w:ascii="Times New Roman" w:hAnsi="Times New Roman"/>
          <w:b w:val="false"/>
          <w:i/>
          <w:color w:val="000000"/>
          <w:sz w:val="22"/>
        </w:rPr>
        <w:t xml:space="preserve">Refund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qualify for a refund, all of the following need to be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special fuel was used for a purpose other than to propel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requesting the refund has a refund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claim is filed within the appropriate time and in the 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tax credit set forth in rule </w:t>
      </w:r>
      <w:hyperlink r:id="rId34">
        <w:r>
          <w:rPr>
            <w:rStyle w:val="Hyperlink"/>
            <w:rFonts w:ascii="Times New Roman" w:hAnsi="Times New Roman"/>
            <w:b w:val="false"/>
            <w:i w:val="false"/>
            <w:color w:val="000000"/>
            <w:sz w:val="22"/>
          </w:rPr>
          <w:t>701—260.11</w:t>
        </w:r>
      </w:hyperlink>
      <w:r>
        <w:rPr>
          <w:rFonts w:ascii="Times New Roman" w:hAnsi="Times New Roman"/>
          <w:b w:val="false"/>
          <w:i w:val="false"/>
          <w:color w:val="000000"/>
          <w:sz w:val="22"/>
        </w:rPr>
        <w:t>(452A) applies equally to special fuel.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701—261.13</w:t>
      </w:r>
      <w:r>
        <w:rPr>
          <w:rFonts w:ascii="Times New Roman" w:hAnsi="Times New Roman"/>
          <w:b/>
          <w:i w:val="false"/>
          <w:color w:val="000000"/>
          <w:sz w:val="22"/>
        </w:rPr>
        <w:t xml:space="preserve">(452A) </w:t>
      </w:r>
      <w:r>
        <w:rPr>
          <w:rFonts w:ascii="Times New Roman" w:hAnsi="Times New Roman"/>
          <w:b/>
          <w:i w:val="false"/>
          <w:color w:val="000000"/>
          <w:sz w:val="22"/>
        </w:rPr>
        <w:t xml:space="preserve">Notice of meter seal breakage.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261.13(1)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department must be notified within 24 hours when the seal of any sealed meter is broken. The reason for the breakage does not affect this notification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261.13(2)</w:t>
      </w:r>
      <w:r>
        <w:rPr>
          <w:rFonts w:ascii="Times New Roman" w:hAnsi="Times New Roman"/>
          <w:b w:val="false"/>
          <w:i w:val="false"/>
          <w:color w:val="000000"/>
          <w:sz w:val="22"/>
        </w:rPr>
        <w:t> </w:t>
      </w:r>
      <w:r>
        <w:rPr>
          <w:rFonts w:ascii="Times New Roman" w:hAnsi="Times New Roman"/>
          <w:b w:val="false"/>
          <w:i/>
          <w:color w:val="000000"/>
          <w:sz w:val="22"/>
        </w:rPr>
        <w:t xml:space="preserve">Content of notice. </w:t>
      </w:r>
      <w:r>
        <w:rPr>
          <w:rFonts w:ascii="Times New Roman" w:hAnsi="Times New Roman"/>
          <w:b w:val="false"/>
          <w:i w:val="false"/>
          <w:color w:val="000000"/>
          <w:sz w:val="22"/>
        </w:rPr>
        <w:t>Notice must contain but is not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license number of the person who controls the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meter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type of fuel pumped through the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of seal breakage.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person(s) responsible for the seal breakage,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reason for seal breakage.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meter reading before seal breakage.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meter reading after the meter is resealed.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who controls the meter.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261.13(3)</w:t>
      </w:r>
      <w:r>
        <w:rPr>
          <w:rFonts w:ascii="Times New Roman" w:hAnsi="Times New Roman"/>
          <w:b w:val="false"/>
          <w:i w:val="false"/>
          <w:color w:val="000000"/>
          <w:sz w:val="22"/>
        </w:rPr>
        <w:t> </w:t>
      </w:r>
      <w:r>
        <w:rPr>
          <w:rFonts w:ascii="Times New Roman" w:hAnsi="Times New Roman"/>
          <w:b w:val="false"/>
          <w:i/>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reporting purposes, the meter is be considered two meters, one before the seal breakage and one after. The return must note the seal breakage.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Meter readings.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meter readings of the meter before the seal breakage must be reported by meter number as usual.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meter readings after the meter was resealed must be reported by using the meter number plus the letter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two readings must appear on the same return schedule.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701—261.14</w:t>
      </w:r>
      <w:r>
        <w:rPr>
          <w:rFonts w:ascii="Times New Roman" w:hAnsi="Times New Roman"/>
          <w:b/>
          <w:i w:val="false"/>
          <w:color w:val="000000"/>
          <w:sz w:val="22"/>
        </w:rPr>
        <w:t xml:space="preserve">(452A) </w:t>
      </w:r>
      <w:r>
        <w:rPr>
          <w:rFonts w:ascii="Times New Roman" w:hAnsi="Times New Roman"/>
          <w:b/>
          <w:i w:val="false"/>
          <w:color w:val="000000"/>
          <w:sz w:val="22"/>
        </w:rPr>
        <w:t xml:space="preserve">Location of records—special fuel users and dealers.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261.14(1)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The records required to be prepared and kept by special fuel dealers and users under Iowa Code section </w:t>
      </w:r>
      <w:hyperlink r:id="rId40">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701—subrule 259.3(5)</w:t>
        </w:r>
      </w:hyperlink>
      <w:r>
        <w:rPr>
          <w:rFonts w:ascii="Times New Roman" w:hAnsi="Times New Roman"/>
          <w:b w:val="false"/>
          <w:i w:val="false"/>
          <w:color w:val="000000"/>
          <w:sz w:val="22"/>
        </w:rPr>
        <w:t xml:space="preserve"> must be maintained at the location that appears on the license unless the licensee keeps the records at a central location as described in </w:t>
      </w:r>
      <w:hyperlink r:id="rId42">
        <w:r>
          <w:rPr>
            <w:rStyle w:val="Hyperlink"/>
            <w:rFonts w:ascii="Times New Roman" w:hAnsi="Times New Roman"/>
            <w:b w:val="false"/>
            <w:i w:val="false"/>
            <w:color w:val="000000"/>
            <w:sz w:val="22"/>
          </w:rPr>
          <w:t>701—subrule 261.16(2)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261.14(2)</w:t>
      </w:r>
      <w:r>
        <w:rPr>
          <w:rFonts w:ascii="Times New Roman" w:hAnsi="Times New Roman"/>
          <w:b w:val="false"/>
          <w:i w:val="false"/>
          <w:color w:val="000000"/>
          <w:sz w:val="22"/>
        </w:rPr>
        <w:t> </w:t>
      </w:r>
      <w:r>
        <w:rPr>
          <w:rFonts w:ascii="Times New Roman" w:hAnsi="Times New Roman"/>
          <w:b w:val="false"/>
          <w:i/>
          <w:color w:val="000000"/>
          <w:sz w:val="22"/>
        </w:rPr>
        <w:t xml:space="preserve">Central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licensee has more than one license, all of the records for each separate license may be kept at a central location so long as the records for each license are kept separated.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central location where the records must be kept is within the state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brings the records into the state when requested to do so by the department for purposes of audit,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agrees to pay the cost (as defined in rule </w:t>
      </w:r>
      <w:hyperlink r:id="rId43">
        <w:r>
          <w:rPr>
            <w:rStyle w:val="Hyperlink"/>
            <w:rFonts w:ascii="Times New Roman" w:hAnsi="Times New Roman"/>
            <w:b w:val="false"/>
            <w:i w:val="false"/>
            <w:color w:val="000000"/>
            <w:sz w:val="22"/>
          </w:rPr>
          <w:t>701—259.3</w:t>
        </w:r>
      </w:hyperlink>
      <w:r>
        <w:rPr>
          <w:rFonts w:ascii="Times New Roman" w:hAnsi="Times New Roman"/>
          <w:b w:val="false"/>
          <w:i w:val="false"/>
          <w:color w:val="000000"/>
          <w:sz w:val="22"/>
        </w:rPr>
        <w:t>(452A)) of an out-of-state audit.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452A.74(2)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11/3/95, Notice 9/27/95—published 11/22/95, effective 1/1/96]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9/5/97, Notice 7/30/97—published 9/24/97, effective 10/29/97]</w:t>
      </w:r>
    </w:p>
    <w:p>
      <w:pPr>
        <w:spacing w:before="0" w:after="0"/>
        <w:ind w:left="120"/>
        <w:jc w:val="center"/>
      </w:pPr>
      <w:r>
        <w:rPr>
          <w:rFonts w:ascii="Times New Roman" w:hAnsi="Times New Roman"/>
          <w:b w:val="false"/>
          <w:i w:val="false"/>
          <w:color w:val="000000"/>
          <w:sz w:val="21"/>
        </w:rPr>
        <w:t>[Filed 10/15/99, Notice 9/8/99—published 11/3/99, effective 12/8/99]</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ARC 1805C</w:t>
      </w:r>
      <w:r>
        <w:rPr>
          <w:rFonts w:ascii="Times New Roman" w:hAnsi="Times New Roman"/>
          <w:b w:val="false"/>
          <w:i w:val="false"/>
          <w:color w:val="000000"/>
          <w:sz w:val="21"/>
        </w:rPr>
        <w:t xml:space="preserve"> (Notice ARC 1681C, IAB 10/15/14)</w:t>
      </w:r>
      <w:r>
        <w:rPr>
          <w:rFonts w:ascii="Times New Roman" w:hAnsi="Times New Roman"/>
          <w:b w:val="false"/>
          <w:i w:val="false"/>
          <w:color w:val="000000"/>
          <w:sz w:val="21"/>
        </w:rPr>
        <w:t>, IAB 1/7/15, effective 2/11/15]</w:t>
      </w:r>
    </w:p>
    <w:p>
      <w:pPr>
        <w:spacing w:before="0" w:after="0"/>
        <w:ind w:left="120"/>
        <w:jc w:val="center"/>
      </w:pPr>
      <w:r>
        <w:rPr>
          <w:rFonts w:ascii="Times New Roman" w:hAnsi="Times New Roman"/>
          <w:b w:val="false"/>
          <w:i w:val="false"/>
          <w:color w:val="000000"/>
          <w:sz w:val="21"/>
        </w:rPr>
        <w:t>[Filed ARC 5842C</w:t>
      </w:r>
      <w:r>
        <w:rPr>
          <w:rFonts w:ascii="Times New Roman" w:hAnsi="Times New Roman"/>
          <w:b w:val="false"/>
          <w:i w:val="false"/>
          <w:color w:val="000000"/>
          <w:sz w:val="21"/>
        </w:rPr>
        <w:t xml:space="preserve"> (Notice ARC 5710C, IAB 6/16/21)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9043C</w:t>
      </w:r>
      <w:r>
        <w:rPr>
          <w:rFonts w:ascii="Times New Roman" w:hAnsi="Times New Roman"/>
          <w:b w:val="false"/>
          <w:i w:val="false"/>
          <w:color w:val="000000"/>
          <w:sz w:val="21"/>
        </w:rPr>
        <w:t xml:space="preserve"> (Notice ARC 8739C, IAB 1/22/25)</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2A.2.pdf" Type="http://schemas.openxmlformats.org/officeDocument/2006/relationships/hyperlink" Id="rId5"/>
    <Relationship TargetMode="External" Target="https://www.legis.iowa.gov/docs/ico/chapter/452A.57.pdf" Type="http://schemas.openxmlformats.org/officeDocument/2006/relationships/hyperlink" Id="rId6"/>
    <Relationship TargetMode="External" Target="https://www.legis.iowa.gov/docs/iac/rule/701.259.1.pdf" Type="http://schemas.openxmlformats.org/officeDocument/2006/relationships/hyperlink" Id="rId7"/>
    <Relationship TargetMode="External" Target="https://www.legis.iowa.gov/docs/ico/chapter/452A.8.pdf" Type="http://schemas.openxmlformats.org/officeDocument/2006/relationships/hyperlink" Id="rId8"/>
    <Relationship TargetMode="External" Target="https://www.legis.iowa.gov/docs/iac/chapter/701.259.pdf" Type="http://schemas.openxmlformats.org/officeDocument/2006/relationships/hyperlink" Id="rId9"/>
    <Relationship TargetMode="External" Target="https://www.legis.iowa.gov/docs/iac/chapter/701.260.pdf" Type="http://schemas.openxmlformats.org/officeDocument/2006/relationships/hyperlink" Id="rId10"/>
    <Relationship TargetMode="External" Target="https://www.legis.iowa.gov/docs/ico/chapter/452A.pdf" Type="http://schemas.openxmlformats.org/officeDocument/2006/relationships/hyperlink" Id="rId11"/>
    <Relationship TargetMode="External" Target="https://www.legis.iowa.gov/docs/ico/chapter/452A.8.pdf" Type="http://schemas.openxmlformats.org/officeDocument/2006/relationships/hyperlink" Id="rId12"/>
    <Relationship TargetMode="External" Target="https://www.legis.iowa.gov/docs/ico/chapter/452A.4.pdf" Type="http://schemas.openxmlformats.org/officeDocument/2006/relationships/hyperlink" Id="rId13"/>
    <Relationship TargetMode="External" Target="https://www.legis.iowa.gov/docs/iac/rule/701.259.8.pdf" Type="http://schemas.openxmlformats.org/officeDocument/2006/relationships/hyperlink" Id="rId14"/>
    <Relationship TargetMode="External" Target="https://www.legis.iowa.gov/docs/ico/chapter/452A.8.pdf" Type="http://schemas.openxmlformats.org/officeDocument/2006/relationships/hyperlink" Id="rId15"/>
    <Relationship TargetMode="External" Target="https://www.legis.iowa.gov/docs/ico/chapter/452A.74.pdf" Type="http://schemas.openxmlformats.org/officeDocument/2006/relationships/hyperlink" Id="rId16"/>
    <Relationship TargetMode="External" Target="https://www.legis.iowa.gov/docs/ico/chapter/452A.8.pdf" Type="http://schemas.openxmlformats.org/officeDocument/2006/relationships/hyperlink" Id="rId17"/>
    <Relationship TargetMode="External" Target="https://www.legis.iowa.gov/docs/ico/chapter/452A.4.pdf" Type="http://schemas.openxmlformats.org/officeDocument/2006/relationships/hyperlink" Id="rId18"/>
    <Relationship TargetMode="External" Target="https://www.legis.iowa.gov/docs/iac/rule/701.259.18.pdf" Type="http://schemas.openxmlformats.org/officeDocument/2006/relationships/hyperlink" Id="rId19"/>
    <Relationship TargetMode="External" Target="https://www.legis.iowa.gov/docs/ico/chapter/452A.8.pdf" Type="http://schemas.openxmlformats.org/officeDocument/2006/relationships/hyperlink" Id="rId20"/>
    <Relationship TargetMode="External" Target="https://www.legis.iowa.gov/docs/ico/chapter/452A.8.pdf" Type="http://schemas.openxmlformats.org/officeDocument/2006/relationships/hyperlink" Id="rId21"/>
    <Relationship TargetMode="External" Target="https://www.legis.iowa.gov/docs/ico/chapter/452A.4.pdf" Type="http://schemas.openxmlformats.org/officeDocument/2006/relationships/hyperlink" Id="rId22"/>
    <Relationship TargetMode="External" Target="https://www.legis.iowa.gov/docs/ico/chapter/452A.4.pdf" Type="http://schemas.openxmlformats.org/officeDocument/2006/relationships/hyperlink" Id="rId23"/>
    <Relationship TargetMode="External" Target="https://www.legis.iowa.gov/docs/ico/chapter/452A.8.pdf" Type="http://schemas.openxmlformats.org/officeDocument/2006/relationships/hyperlink" Id="rId24"/>
    <Relationship TargetMode="External" Target="https://www.legis.iowa.gov/docs/iac/rule/701.261.3.pdf" Type="http://schemas.openxmlformats.org/officeDocument/2006/relationships/hyperlink" Id="rId25"/>
    <Relationship TargetMode="External" Target="https://www.legis.iowa.gov/docs/iac/rule/701.261.8.pdf" Type="http://schemas.openxmlformats.org/officeDocument/2006/relationships/hyperlink" Id="rId26"/>
    <Relationship TargetMode="External" Target="https://www.legis.iowa.gov/docs/ico/chapter/452A.8.pdf" Type="http://schemas.openxmlformats.org/officeDocument/2006/relationships/hyperlink" Id="rId27"/>
    <Relationship TargetMode="External" Target="https://www.legis.iowa.gov/docs/ico/chapter/452A.8.pdf" Type="http://schemas.openxmlformats.org/officeDocument/2006/relationships/hyperlink" Id="rId28"/>
    <Relationship TargetMode="External" Target="https://www.legis.iowa.gov/docs/ico/chapter/452A.57.pdf" Type="http://schemas.openxmlformats.org/officeDocument/2006/relationships/hyperlink" Id="rId29"/>
    <Relationship TargetMode="External" Target="https://www.legis.iowa.gov/docs/ico/chapter/285.5.pdf" Type="http://schemas.openxmlformats.org/officeDocument/2006/relationships/hyperlink" Id="rId30"/>
    <Relationship TargetMode="External" Target="https://www.legis.iowa.gov/docs/iac/rule/701.260.8.pdf" Type="http://schemas.openxmlformats.org/officeDocument/2006/relationships/hyperlink" Id="rId31"/>
    <Relationship TargetMode="External" Target="https://www.legis.iowa.gov/docs/ico/chapter/452A.3.pdf" Type="http://schemas.openxmlformats.org/officeDocument/2006/relationships/hyperlink" Id="rId32"/>
    <Relationship TargetMode="External" Target="https://www.legis.iowa.gov/docs/ico/chapter/452A.17.pdf" Type="http://schemas.openxmlformats.org/officeDocument/2006/relationships/hyperlink" Id="rId33"/>
    <Relationship TargetMode="External" Target="https://www.legis.iowa.gov/docs/iac/rule/701.260.11.pdf" Type="http://schemas.openxmlformats.org/officeDocument/2006/relationships/hyperlink" Id="rId34"/>
    <Relationship TargetMode="External" Target="https://www.legis.iowa.gov/docs/ico/chapter/452A.17.pdf" Type="http://schemas.openxmlformats.org/officeDocument/2006/relationships/hyperlink" Id="rId35"/>
    <Relationship TargetMode="External" Target="https://www.legis.iowa.gov/docs/ico/chapter/452A.3.pdf" Type="http://schemas.openxmlformats.org/officeDocument/2006/relationships/hyperlink" Id="rId36"/>
    <Relationship TargetMode="External" Target="https://www.legis.iowa.gov/docs/ico/chapter/452A.8.pdf" Type="http://schemas.openxmlformats.org/officeDocument/2006/relationships/hyperlink" Id="rId37"/>
    <Relationship TargetMode="External" Target="https://www.legis.iowa.gov/docs/ico/chapter/452A.59.pdf" Type="http://schemas.openxmlformats.org/officeDocument/2006/relationships/hyperlink" Id="rId38"/>
    <Relationship TargetMode="External" Target="https://www.legis.iowa.gov/docs/ico/chapter/452A.62.pdf" Type="http://schemas.openxmlformats.org/officeDocument/2006/relationships/hyperlink" Id="rId39"/>
    <Relationship TargetMode="External" Target="https://www.legis.iowa.gov/docs/ico/chapter/452A.10.pdf" Type="http://schemas.openxmlformats.org/officeDocument/2006/relationships/hyperlink" Id="rId40"/>
    <Relationship TargetMode="External" Target="https://www.legis.iowa.gov/docs/iac/rule/701.259.3.pdf" Type="http://schemas.openxmlformats.org/officeDocument/2006/relationships/hyperlink" Id="rId41"/>
    <Relationship TargetMode="External" Target="https://www.legis.iowa.gov/docs/iac/rule/701.261.16.pdf" Type="http://schemas.openxmlformats.org/officeDocument/2006/relationships/hyperlink" Id="rId42"/>
    <Relationship TargetMode="External" Target="https://www.legis.iowa.gov/docs/iac/rule/701.259.3.pdf" Type="http://schemas.openxmlformats.org/officeDocument/2006/relationships/hyperlink" Id="rId43"/>
    <Relationship TargetMode="External" Target="https://www.legis.iowa.gov/docs/ico/chapter/452A.10.pdf" Type="http://schemas.openxmlformats.org/officeDocument/2006/relationships/hyperlink" Id="rId44"/>
    <Relationship TargetMode="External" Target="https://www.legis.iowa.gov/docs/ico/chapter/452A.74.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