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259</w:t>
      </w:r>
    </w:p>
    <w:p>
      <w:pPr>
        <w:spacing w:before="0" w:after="0"/>
        <w:ind w:left="120"/>
        <w:jc w:val="center"/>
      </w:pPr>
      <w:r>
        <w:rPr>
          <w:rFonts w:ascii="Times New Roman" w:hAnsi="Times New Roman"/>
          <w:b w:val="false"/>
          <w:i w:val="false"/>
          <w:color w:val="000000"/>
          <w:sz w:val="21"/>
        </w:rPr>
        <w:t>FUEL TAX ADMINISTRATION</w:t>
      </w:r>
    </w:p>
    <w:p>
      <w:pPr>
        <w:spacing w:before="0" w:after="0"/>
        <w:ind w:left="120"/>
        <w:jc w:val="center"/>
      </w:pPr>
      <w:r>
        <w:rPr>
          <w:rFonts w:ascii="Times New Roman" w:hAnsi="Times New Roman"/>
          <w:b w:val="false"/>
          <w:i w:val="false"/>
          <w:color w:val="000000"/>
          <w:sz w:val="14"/>
        </w:rPr>
        <w:t>[Prior to 1/1/96, see 701—Ch 63]</w:t>
      </w:r>
    </w:p>
    <w:p>
      <w:pPr>
        <w:spacing w:before="0" w:after="0"/>
        <w:ind w:left="120"/>
        <w:jc w:val="center"/>
      </w:pPr>
      <w:r>
        <w:rPr>
          <w:rFonts w:ascii="Times New Roman" w:hAnsi="Times New Roman"/>
          <w:b w:val="false"/>
          <w:i w:val="false"/>
          <w:color w:val="000000"/>
          <w:sz w:val="14"/>
        </w:rPr>
        <w:t>[Prior to 9/7/22, see Revenue Department[701] Ch 67]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701—259.1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w:t>
      </w:r>
      <w:hyperlink r:id="rId5">
        <w:r>
          <w:rPr>
            <w:rStyle w:val="Hyperlink"/>
            <w:rFonts w:ascii="Times New Roman" w:hAnsi="Times New Roman"/>
            <w:b w:val="false"/>
            <w:i w:val="false"/>
            <w:color w:val="000000"/>
            <w:sz w:val="22"/>
          </w:rPr>
          <w:t>701—Chapters 259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“B-20” </w:t>
      </w:r>
      <w:r>
        <w:rPr>
          <w:rFonts w:ascii="Times New Roman" w:hAnsi="Times New Roman"/>
          <w:b w:val="false"/>
          <w:i w:val="false"/>
          <w:color w:val="000000"/>
          <w:sz w:val="22"/>
        </w:rPr>
        <w:t xml:space="preserve">means biodiesel blended fuel formulated with a minimum percentage of 20 percent by volume of biodiesel, if the formulation meets the standards provided in Iowa Code section </w:t>
      </w:r>
      <w:hyperlink r:id="rId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A similar notation refers to biodiesel blended fuel containing other percentages of biodiesel. For example, “B-5” means biodiesel blended fuel formulated with a minimum percentage of 5 percent by volume of biodiesel, if the formulation meets the standards provided in Iowa Code section </w:t>
      </w:r>
      <w:hyperlink r:id="rId1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distribution percentage” </w:t>
      </w:r>
      <w:r>
        <w:rPr>
          <w:rFonts w:ascii="Times New Roman" w:hAnsi="Times New Roman"/>
          <w:b w:val="false"/>
          <w:i w:val="false"/>
          <w:color w:val="000000"/>
          <w:sz w:val="22"/>
        </w:rPr>
        <w:t>means the number of gallons of biodiesel blended fuel classified as B-20 or higher that is distributed in this state as expressed as a percentage of the number of gallons of special fuel for diesel engines of motor vehicles distributed in this state during the determination period. The determination period is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and includes any person who operates or causes to be operated any commercial motor vehicle on any public highway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 user” </w:t>
      </w:r>
      <w:r>
        <w:rPr>
          <w:rFonts w:ascii="Times New Roman" w:hAnsi="Times New Roman"/>
          <w:b w:val="false"/>
          <w:i w:val="false"/>
          <w:color w:val="000000"/>
          <w:sz w:val="22"/>
        </w:rPr>
        <w:t>of special fuel means a person who has purchased a minimum of 240,000 gallons of special fuel each year in the two preceding years who elects to make delayed payments to a licensed supplier and must use electronic funds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distribution percentage” </w:t>
      </w:r>
      <w:r>
        <w:rPr>
          <w:rFonts w:ascii="Times New Roman" w:hAnsi="Times New Roman"/>
          <w:b w:val="false"/>
          <w:i w:val="false"/>
          <w:color w:val="000000"/>
          <w:sz w:val="22"/>
        </w:rPr>
        <w:t>means the number of gallons of ethanol blended gasoline that is distributed in this state as expressed as a percentage of the number of gallons of motor fuel, excluding aviation gasoline, distributed in this state during the determination period. The determination period is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supplier” </w:t>
      </w:r>
      <w:r>
        <w:rPr>
          <w:rFonts w:ascii="Times New Roman" w:hAnsi="Times New Roman"/>
          <w:b w:val="false"/>
          <w:i w:val="false"/>
          <w:color w:val="000000"/>
          <w:sz w:val="22"/>
        </w:rPr>
        <w:t>means a person licensed as a supplier to collect and report the tax, but who does not have jurisdictional connections with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“Fuel(s)” </w:t>
      </w:r>
      <w:r>
        <w:rPr>
          <w:rFonts w:ascii="Times New Roman" w:hAnsi="Times New Roman"/>
          <w:b w:val="false"/>
          <w:i w:val="false"/>
          <w:color w:val="000000"/>
          <w:sz w:val="22"/>
        </w:rPr>
        <w:t xml:space="preserve">means and includes motor fuel, special fuel, and electric fuel as defined in Iowa Code chapter </w:t>
      </w:r>
      <w:hyperlink r:id="rId11">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“Invoiced gallons” </w:t>
      </w:r>
      <w:r>
        <w:rPr>
          <w:rFonts w:ascii="Times New Roman" w:hAnsi="Times New Roman"/>
          <w:b w:val="false"/>
          <w:i w:val="false"/>
          <w:color w:val="000000"/>
          <w:sz w:val="22"/>
        </w:rPr>
        <w:t>means gross gallons as shown on the bill of lading or manifest.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w:t>
      </w:r>
      <w:r>
        <w:rPr>
          <w:rFonts w:ascii="Times New Roman" w:hAnsi="Times New Roman"/>
          <w:b w:val="false"/>
          <w:i w:val="false"/>
          <w:color w:val="000000"/>
          <w:sz w:val="22"/>
        </w:rPr>
        <w:t>means a substance or combination of substances that is intended to be or is capable of being used for the purpose of operating an internal combustion engine, including but not limited to a motor vehicle, and is kept for sale or sold for that purpose and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products commonly or commercially known or sold as gasoline (including ethanol blended gasoline, casinghead, and absorption or natural gasoline) regardless of their classifications or uses, and including transmix that serves as a buffer between fuel products in the pipeline distribution process.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liquid advertised, offered for sale, sold for use as, or commonly or commercially used as a fuel for propelling motor vehicles, which when subjected to distillation of gasoline, naphtha, kerosene, and similar petroleum products (American Society of Testing Materials designation D-86), shows not less than 10 percent distilled (recovered) below 347°F (175°C) and not less than 95 percent distilled (recovered) below 464°F (240°C).</w:t>
      </w:r>
    </w:p>
    <w:p>
      <w:pPr>
        <w:spacing w:before="0" w:after="0"/>
        <w:ind w:left="120"/>
        <w:jc w:val="both"/>
      </w:pPr>
      <w:r>
        <w:rPr>
          <w:rFonts w:ascii="Times New Roman" w:hAnsi="Times New Roman"/>
          <w:b w:val="false"/>
          <w:i w:val="false"/>
          <w:color w:val="000000"/>
          <w:sz w:val="22"/>
        </w:rPr>
        <w:t>“Motor fuel” does not include special fuel and does not include liquefied gases that would not exist as liquids at a temperature of 60°F and a pressure of 14 7/10 pounds per square inch absolute, or naphthas and solvents unless the liquefied gases or naphthas and solvents are used as a component in the manufacture, compounding, or blending of a liquid within paragraph “2,” in which event the resulting product shall be deemed to be motor fuel. “Motor fuel” also does not include methanol unless blended with other motor fuels for use in an aircraft or for propelling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and includes natural persons, partnerships, firms, associations, corporations, representatives appointed by any court, and political subdivisions of this state or any other group or combination acting as a unit and the plural as well as the singular number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“Petrodiesel” </w:t>
      </w:r>
      <w:r>
        <w:rPr>
          <w:rFonts w:ascii="Times New Roman" w:hAnsi="Times New Roman"/>
          <w:b w:val="false"/>
          <w:i w:val="false"/>
          <w:color w:val="000000"/>
          <w:sz w:val="22"/>
        </w:rPr>
        <w:t>means petroleum-based diesel fuel. Petrodiesel contains no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“Reefer”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“reefer unit” </w:t>
      </w:r>
      <w:r>
        <w:rPr>
          <w:rFonts w:ascii="Times New Roman" w:hAnsi="Times New Roman"/>
          <w:b w:val="false"/>
          <w:i w:val="false"/>
          <w:color w:val="000000"/>
          <w:sz w:val="22"/>
        </w:rPr>
        <w:t xml:space="preserve">means a refrigeration unit powered by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means anyone responsible for paying fuel taxes directly to the department of revenue under Iowa Code chapter </w:t>
      </w:r>
      <w:hyperlink r:id="rId12">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“Withdrawn from terminal” </w:t>
      </w:r>
      <w:r>
        <w:rPr>
          <w:rFonts w:ascii="Times New Roman" w:hAnsi="Times New Roman"/>
          <w:b w:val="false"/>
          <w:i w:val="false"/>
          <w:color w:val="000000"/>
          <w:sz w:val="22"/>
        </w:rPr>
        <w:t>means physical movement from a supplier to a distributor or eligible end user or from an alcohol manufacturer to a nonterminal location and includes an importer going out of state and obtaining fuel from a terminal and bringing the fuel into the state, and a restrictive supplier bringing fuel into the state even though not purchased directly from a terminal. Exchange of product by suppliers while in the distribution channel and the physical movement of alcohol from an alcohol manufacturer to an Iowa licensed supplier’s alcohol storage at a terminal are not to be considered “withdrawn from terminal.”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452A.57</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w:t>
      </w:r>
      <w:r>
        <w:rPr>
          <w:rFonts w:ascii="Times New Roman" w:hAnsi="Times New Roman"/>
          <w:b/>
          <w:i w:val="false"/>
          <w:color w:val="000000"/>
          <w:sz w:val="22"/>
        </w:rPr>
        <w:t xml:space="preserve">(452A) </w:t>
      </w:r>
      <w:r>
        <w:rPr>
          <w:rFonts w:ascii="Times New Roman" w:hAnsi="Times New Roman"/>
          <w:b/>
          <w:i w:val="false"/>
          <w:color w:val="000000"/>
          <w:sz w:val="22"/>
        </w:rPr>
        <w:t xml:space="preserve">Taxpayers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records required to be kept by this rule must be preserved for a period of three years and will be open for examination by the department during this period of time. The department, after an audit and examination of the records, may authorize the disposal of the records required to be kept upon written request by the taxpayer. </w:t>
      </w:r>
      <w:hyperlink r:id="rId16">
        <w:r>
          <w:rPr>
            <w:rStyle w:val="Hyperlink"/>
            <w:rFonts w:ascii="Times New Roman" w:hAnsi="Times New Roman"/>
            <w:b w:val="false"/>
            <w:i w:val="false"/>
            <w:color w:val="000000"/>
            <w:sz w:val="22"/>
          </w:rPr>
          <w:t>701—subrule 11.3(3)</w:t>
        </w:r>
      </w:hyperlink>
      <w:r>
        <w:rPr>
          <w:rFonts w:ascii="Times New Roman" w:hAnsi="Times New Roman"/>
          <w:b w:val="false"/>
          <w:i w:val="false"/>
          <w:color w:val="000000"/>
          <w:sz w:val="22"/>
        </w:rPr>
        <w:t xml:space="preserve"> contains additional information for taxpayers using an electronic data interchange.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supplier or restrictive supplier required to file a monthly return under Iowa Code section </w:t>
      </w:r>
      <w:hyperlink r:id="rId1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every importer required to file a semimonthly return under Iowa Code section </w:t>
      </w:r>
      <w:hyperlink r:id="rId18">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every exporter, terminal or nonterminal storage facility operator, distributor, blender, and dealer  is required to keep and preserve records in compliance with </w:t>
      </w:r>
      <w:hyperlink r:id="rId19">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 Such persons are also required to keep the following records relating to the purchase or sale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sales and purchase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Sales records and 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Export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Delivery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reports, returns, and supporting schedules filed with the importing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Exemption certificates.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701—259.3</w:t>
      </w:r>
      <w:r>
        <w:rPr>
          <w:rFonts w:ascii="Times New Roman" w:hAnsi="Times New Roman"/>
          <w:b/>
          <w:i w:val="false"/>
          <w:color w:val="000000"/>
          <w:sz w:val="22"/>
        </w:rPr>
        <w:t xml:space="preserve">(452A) </w:t>
      </w:r>
      <w:r>
        <w:rPr>
          <w:rFonts w:ascii="Times New Roman" w:hAnsi="Times New Roman"/>
          <w:b/>
          <w:i w:val="false"/>
          <w:color w:val="000000"/>
          <w:sz w:val="22"/>
        </w:rPr>
        <w:t xml:space="preserve">Audit—costs.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the right and duty to examine or cause to be examined the books, records, memoranda, or documents of a taxpayer for the purpose of verifying the correctness of a return filed or determining the tax liability of any taxpayer.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incurred in examining the records of a taxpayer are at the taxpayer’s expense when the records are kept at an out-of-state location. Cost will include meals, lodging, and travel expenses, but will not include salaries of department personnel.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701—259.4</w:t>
      </w:r>
      <w:r>
        <w:rPr>
          <w:rFonts w:ascii="Times New Roman" w:hAnsi="Times New Roman"/>
          <w:b/>
          <w:i w:val="false"/>
          <w:color w:val="000000"/>
          <w:sz w:val="22"/>
        </w:rPr>
        <w:t xml:space="preserve">(452A) </w:t>
      </w:r>
      <w:r>
        <w:rPr>
          <w:rFonts w:ascii="Times New Roman" w:hAnsi="Times New Roman"/>
          <w:b/>
          <w:i w:val="false"/>
          <w:color w:val="000000"/>
          <w:sz w:val="22"/>
        </w:rPr>
        <w:t xml:space="preserve">Estimate gallonage.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259.4(1)</w:t>
      </w:r>
      <w:r>
        <w:rPr>
          <w:rFonts w:ascii="Times New Roman" w:hAnsi="Times New Roman"/>
          <w:b w:val="false"/>
          <w:i w:val="false"/>
          <w:color w:val="000000"/>
          <w:sz w:val="22"/>
        </w:rPr>
        <w:t> </w:t>
      </w:r>
      <w:r>
        <w:rPr>
          <w:rFonts w:ascii="Times New Roman" w:hAnsi="Times New Roman"/>
          <w:b w:val="false"/>
          <w:i/>
          <w:color w:val="000000"/>
          <w:sz w:val="22"/>
        </w:rPr>
        <w:t xml:space="preserve">Inadequate records. </w:t>
      </w:r>
      <w:r>
        <w:rPr>
          <w:rFonts w:ascii="Times New Roman" w:hAnsi="Times New Roman"/>
          <w:b w:val="false"/>
          <w:i w:val="false"/>
          <w:color w:val="000000"/>
          <w:sz w:val="22"/>
        </w:rPr>
        <w:t xml:space="preserve">In the event the taxpayer’s records are lacking or inadequate to support any return filed by the taxpayer, or to determine the taxpayer’s liability, the department has the power to estimate the gallonage upon which tax is 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259.4(2)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estimate. </w:t>
      </w:r>
      <w:r>
        <w:rPr>
          <w:rFonts w:ascii="Times New Roman" w:hAnsi="Times New Roman"/>
          <w:b w:val="false"/>
          <w:i w:val="false"/>
          <w:color w:val="000000"/>
          <w:sz w:val="22"/>
        </w:rPr>
        <w:t xml:space="preserve">Estimated gallonage will be based upon such factors as, but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experience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Taxpayers in similar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Industry averages;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suppliers or customers;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pertinent information the department may possess, obtain or examine.</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5">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701—259.5</w:t>
      </w:r>
      <w:r>
        <w:rPr>
          <w:rFonts w:ascii="Times New Roman" w:hAnsi="Times New Roman"/>
          <w:b/>
          <w:i w:val="false"/>
          <w:color w:val="000000"/>
          <w:sz w:val="22"/>
        </w:rPr>
        <w:t xml:space="preserve">(452A) </w:t>
      </w:r>
      <w:r>
        <w:rPr>
          <w:rFonts w:ascii="Times New Roman" w:hAnsi="Times New Roman"/>
          <w:b/>
          <w:i w:val="false"/>
          <w:color w:val="000000"/>
          <w:sz w:val="22"/>
        </w:rPr>
        <w:t xml:space="preserve">Timely filing of returns, reports, remittances, applications, or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returns, reports, remittances, applications, or requests required under Iowa Code chapter </w:t>
      </w:r>
      <w:hyperlink r:id="rId2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or 701—Chapters </w:t>
      </w:r>
      <w:hyperlink r:id="rId27">
        <w:r>
          <w:rPr>
            <w:rStyle w:val="Hyperlink"/>
            <w:rFonts w:ascii="Times New Roman" w:hAnsi="Times New Roman"/>
            <w:b w:val="false"/>
            <w:i w:val="false"/>
            <w:color w:val="000000"/>
            <w:sz w:val="22"/>
          </w:rPr>
          <w:t>259</w:t>
        </w:r>
      </w:hyperlink>
      <w:r>
        <w:rPr>
          <w:rFonts w:ascii="Times New Roman" w:hAnsi="Times New Roman"/>
          <w:b w:val="false"/>
          <w:i w:val="false"/>
          <w:color w:val="000000"/>
          <w:sz w:val="22"/>
        </w:rPr>
        <w:t xml:space="preserve"> through </w:t>
      </w:r>
      <w:hyperlink r:id="rId28">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shall be filed through GovConnectIowa unless otherwise required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259.5(2)</w:t>
      </w:r>
      <w:r>
        <w:rPr>
          <w:rFonts w:ascii="Times New Roman" w:hAnsi="Times New Roman"/>
          <w:b w:val="false"/>
          <w:i w:val="false"/>
          <w:color w:val="000000"/>
          <w:sz w:val="22"/>
        </w:rPr>
        <w:t> </w:t>
      </w:r>
      <w:r>
        <w:rPr>
          <w:rFonts w:ascii="Times New Roman" w:hAnsi="Times New Roman"/>
          <w:b w:val="false"/>
          <w:i w:val="false"/>
          <w:color w:val="000000"/>
          <w:sz w:val="22"/>
        </w:rPr>
        <w:t xml:space="preserve">Such documents provided by mail are deemed filed within the required time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Properly addressed,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Postmarked on or before midnight of the day on which due and payable. </w:t>
      </w:r>
    </w:p>
    <w:p>
      <w:pPr>
        <w:spacing w:before="0" w:after="0"/>
        <w:ind w:left="120"/>
        <w:jc w:val="both"/>
      </w:pPr>
      <w:r>
        <w:rPr>
          <w:rFonts w:ascii="Times New Roman" w:hAnsi="Times New Roman"/>
          <w:b w:val="false"/>
          <w:i w:val="false"/>
          <w:color w:val="000000"/>
          <w:sz w:val="22"/>
        </w:rPr>
        <w:t xml:space="preserve"> Any return that is not signed and any return that does not contain substantially all of the pertinent information are not considered “filed” until such time as the taxpayer signs or supplies the information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 return within the period prescribed by law and payment of the tax required to be shown thereon are simultaneous acts unless remittance is required to be transmitted electronically; and if either condition is not met, a penalty will be assessed. Remittances transmitted electronically are considered to have been made on the date the remittance is added to the bank account designated by the treasurer of the state of Iowa. If the final filing date falls on a Saturday, Sunday, or holiday, the next day that is not a Saturday, Sunday, or holiday is the final filing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259.5(4)</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by rule that reports and returns be filed by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259.5(5)</w:t>
      </w:r>
      <w:r>
        <w:rPr>
          <w:rFonts w:ascii="Times New Roman" w:hAnsi="Times New Roman"/>
          <w:b w:val="false"/>
          <w:i w:val="false"/>
          <w:color w:val="000000"/>
          <w:sz w:val="22"/>
        </w:rPr>
        <w:t> </w:t>
      </w:r>
      <w:r>
        <w:rPr>
          <w:rFonts w:ascii="Times New Roman" w:hAnsi="Times New Roman"/>
          <w:b w:val="false"/>
          <w:i w:val="false"/>
          <w:color w:val="000000"/>
          <w:sz w:val="22"/>
        </w:rPr>
        <w:t>All licensees must file returns by electronic transmission. All suppliers, restricted suppliers, importers, terminals, blenders, and nonterminal storage facilities with at least 5,000 gallons of product on their return or report must also file the schedules which support the return or report by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259.5(6)</w:t>
      </w:r>
      <w:r>
        <w:rPr>
          <w:rFonts w:ascii="Times New Roman" w:hAnsi="Times New Roman"/>
          <w:b w:val="false"/>
          <w:i w:val="false"/>
          <w:color w:val="000000"/>
          <w:sz w:val="22"/>
        </w:rPr>
        <w:t> </w:t>
      </w:r>
      <w:r>
        <w:rPr>
          <w:rFonts w:ascii="Times New Roman" w:hAnsi="Times New Roman"/>
          <w:b w:val="false"/>
          <w:i w:val="false"/>
          <w:color w:val="000000"/>
          <w:sz w:val="22"/>
        </w:rPr>
        <w:t>All returns, reports, remittances, applications, or requests should be mailed to: Motor Fuel Refunds, Iowa Department of Revenue, Tax Management Division—Fuel Tax, P.O. Box 10465, Des Moines, Iowa 50306-0465, unless electronic transmission is required.</w:t>
      </w:r>
    </w:p>
    <w:p>
      <w:pPr>
        <w:spacing w:before="0" w:after="0"/>
        <w:ind w:left="120"/>
        <w:jc w:val="both"/>
      </w:pPr>
      <w:r>
        <w:rPr>
          <w:rFonts w:ascii="Times New Roman" w:hAnsi="Times New Roman"/>
          <w:b w:val="false"/>
          <w:i w:val="false"/>
          <w:color w:val="000000"/>
          <w:sz w:val="22"/>
        </w:rPr>
        <w:t xml:space="preserve">In the event a dispute arises as to the time of filing, or a return, report, or remittance is not received by the department, the provisions of Iowa Code section </w:t>
      </w:r>
      <w:hyperlink r:id="rId29">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are controlling. This rule applies only when the document is not received or the postmark on the envelope is illegible, erroneous, or omitted.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701—259.6</w:t>
      </w:r>
      <w:r>
        <w:rPr>
          <w:rFonts w:ascii="Times New Roman" w:hAnsi="Times New Roman"/>
          <w:b/>
          <w:i w:val="false"/>
          <w:color w:val="000000"/>
          <w:sz w:val="22"/>
        </w:rPr>
        <w:t xml:space="preserve">(452A) </w:t>
      </w:r>
      <w:r>
        <w:rPr>
          <w:rFonts w:ascii="Times New Roman" w:hAnsi="Times New Roman"/>
          <w:b/>
          <w:i w:val="false"/>
          <w:color w:val="000000"/>
          <w:sz w:val="22"/>
        </w:rPr>
        <w:t xml:space="preserve">Statute of limitations, supplemental assessments and refund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259.6(1)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return is filed, the department must examine it, determine fuel taxes due, and give notice of assessment to the taxpayer. Iowa Code sections </w:t>
      </w:r>
      <w:hyperlink r:id="rId32">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452A.67</w:t>
        </w:r>
      </w:hyperlink>
      <w:r>
        <w:rPr>
          <w:rFonts w:ascii="Times New Roman" w:hAnsi="Times New Roman"/>
          <w:b w:val="false"/>
          <w:i w:val="false"/>
          <w:color w:val="000000"/>
          <w:sz w:val="22"/>
        </w:rPr>
        <w:t xml:space="preserve"> and rule </w:t>
      </w:r>
      <w:hyperlink r:id="rId34">
        <w:r>
          <w:rPr>
            <w:rStyle w:val="Hyperlink"/>
            <w:rFonts w:ascii="Times New Roman" w:hAnsi="Times New Roman"/>
            <w:b w:val="false"/>
            <w:i w:val="false"/>
            <w:color w:val="000000"/>
            <w:sz w:val="22"/>
          </w:rPr>
          <w:t>701—259.5</w:t>
        </w:r>
      </w:hyperlink>
      <w:r>
        <w:rPr>
          <w:rFonts w:ascii="Times New Roman" w:hAnsi="Times New Roman"/>
          <w:b w:val="false"/>
          <w:i w:val="false"/>
          <w:color w:val="000000"/>
          <w:sz w:val="22"/>
        </w:rPr>
        <w:t>(452A) contain additional information on the failure to file returns and the period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259.6(2)</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259.6(3)</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assessment or refund adjustment is appealed (protested under rule </w:t>
      </w:r>
      <w:hyperlink r:id="rId35">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and is resolved, whether by informal proceedings or by adjudication, the department and the taxpayer are precluded from making a supplemental assessment or refund adjustment concerning the same issue involved in such appeal for the same tax period unless there is a showing of mathematical or clerical error or a showing of fraud or misrepresentation.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36">
        <w:r>
          <w:rPr>
            <w:rStyle w:val="Hyperlink"/>
            <w:rFonts w:ascii="Times New Roman" w:hAnsi="Times New Roman"/>
            <w:b w:val="false"/>
            <w:i w:val="false"/>
            <w:color w:val="000000"/>
            <w:sz w:val="22"/>
          </w:rPr>
          <w:t>452A.67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701—259.7</w:t>
      </w:r>
      <w:r>
        <w:rPr>
          <w:rFonts w:ascii="Times New Roman" w:hAnsi="Times New Roman"/>
          <w:b/>
          <w:i w:val="false"/>
          <w:color w:val="000000"/>
          <w:sz w:val="22"/>
        </w:rPr>
        <w:t xml:space="preserve">(452A) </w:t>
      </w:r>
      <w:r>
        <w:rPr>
          <w:rFonts w:ascii="Times New Roman" w:hAnsi="Times New Roman"/>
          <w:b/>
          <w:i w:val="false"/>
          <w:color w:val="000000"/>
          <w:sz w:val="22"/>
        </w:rPr>
        <w:t xml:space="preserve">Extension of time to file. </w:t>
      </w:r>
      <w:r>
        <w:rPr>
          <w:rFonts w:ascii="Times New Roman" w:hAnsi="Times New Roman"/>
          <w:b w:val="false"/>
          <w:i w:val="false"/>
          <w:color w:val="000000"/>
          <w:sz w:val="22"/>
        </w:rPr>
        <w:t>The department may grant an extension for the filing of any required return or tax payment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extension. </w:t>
      </w:r>
      <w:r>
        <w:rPr>
          <w:rFonts w:ascii="Times New Roman" w:hAnsi="Times New Roman"/>
          <w:b w:val="false"/>
          <w:i w:val="false"/>
          <w:color w:val="000000"/>
          <w:sz w:val="22"/>
        </w:rPr>
        <w:t xml:space="preserve">In order for an extension to be granted, the application requesting the extension must be filed, in writing, with the department prior to the due date of the return or remittance. In determining whether an application for extension is timely filed, the provisions of rule </w:t>
      </w:r>
      <w:hyperlink r:id="rId37">
        <w:r>
          <w:rPr>
            <w:rStyle w:val="Hyperlink"/>
            <w:rFonts w:ascii="Times New Roman" w:hAnsi="Times New Roman"/>
            <w:b w:val="false"/>
            <w:i w:val="false"/>
            <w:color w:val="000000"/>
            <w:sz w:val="22"/>
          </w:rPr>
          <w:t>701—259.5</w:t>
        </w:r>
      </w:hyperlink>
      <w:r>
        <w:rPr>
          <w:rFonts w:ascii="Times New Roman" w:hAnsi="Times New Roman"/>
          <w:b w:val="false"/>
          <w:i w:val="false"/>
          <w:color w:val="000000"/>
          <w:sz w:val="22"/>
        </w:rPr>
        <w:t xml:space="preserve">(452A) shall apply. The application for extension must be accompanied by an explanation of the circumstances justifying such extension.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259.7(2)</w:t>
      </w:r>
      <w:r>
        <w:rPr>
          <w:rFonts w:ascii="Times New Roman" w:hAnsi="Times New Roman"/>
          <w:b w:val="false"/>
          <w:i w:val="false"/>
          <w:color w:val="000000"/>
          <w:sz w:val="22"/>
        </w:rPr>
        <w:t> </w:t>
      </w:r>
      <w:r>
        <w:rPr>
          <w:rFonts w:ascii="Times New Roman" w:hAnsi="Times New Roman"/>
          <w:b w:val="false"/>
          <w:i/>
          <w:color w:val="000000"/>
          <w:sz w:val="22"/>
        </w:rPr>
        <w:t xml:space="preserve">Length of extension. </w:t>
      </w:r>
      <w:r>
        <w:rPr>
          <w:rFonts w:ascii="Times New Roman" w:hAnsi="Times New Roman"/>
          <w:b w:val="false"/>
          <w:i w:val="false"/>
          <w:color w:val="000000"/>
          <w:sz w:val="22"/>
        </w:rPr>
        <w:t>The extension period will not exceed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259.7(3)</w:t>
      </w:r>
      <w:r>
        <w:rPr>
          <w:rFonts w:ascii="Times New Roman" w:hAnsi="Times New Roman"/>
          <w:b w:val="false"/>
          <w:i w:val="false"/>
          <w:color w:val="000000"/>
          <w:sz w:val="22"/>
        </w:rPr>
        <w:t> </w:t>
      </w:r>
      <w:r>
        <w:rPr>
          <w:rFonts w:ascii="Times New Roman" w:hAnsi="Times New Roman"/>
          <w:b w:val="false"/>
          <w:i/>
          <w:color w:val="000000"/>
          <w:sz w:val="22"/>
        </w:rPr>
        <w:t xml:space="preserve">Penalties in the event of an extension. </w:t>
      </w:r>
      <w:r>
        <w:rPr>
          <w:rFonts w:ascii="Times New Roman" w:hAnsi="Times New Roman"/>
          <w:b w:val="false"/>
          <w:i w:val="false"/>
          <w:color w:val="000000"/>
          <w:sz w:val="22"/>
        </w:rPr>
        <w:t xml:space="preserve">In the event an extension is granted, the penalties under Iowa Code section </w:t>
      </w:r>
      <w:hyperlink r:id="rId38">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applicable to late-filed returns or remittances will not accrue until the expiration of the extension period. The interest on tax due under the same section will accrue as of the original filing date.</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39">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701—259.8</w:t>
      </w:r>
      <w:r>
        <w:rPr>
          <w:rFonts w:ascii="Times New Roman" w:hAnsi="Times New Roman"/>
          <w:b/>
          <w:i w:val="false"/>
          <w:color w:val="000000"/>
          <w:sz w:val="22"/>
        </w:rPr>
        <w:t xml:space="preserve">(452A) </w:t>
      </w:r>
      <w:r>
        <w:rPr>
          <w:rFonts w:ascii="Times New Roman" w:hAnsi="Times New Roman"/>
          <w:b/>
          <w:i w:val="false"/>
          <w:color w:val="000000"/>
          <w:sz w:val="22"/>
        </w:rPr>
        <w:t xml:space="preserve">Penalty and interest. </w:t>
      </w:r>
      <w:r>
        <w:rPr>
          <w:rFonts w:ascii="Times New Roman" w:hAnsi="Times New Roman"/>
          <w:b w:val="false"/>
          <w:i w:val="false"/>
          <w:color w:val="000000"/>
          <w:sz w:val="22"/>
        </w:rPr>
        <w:t xml:space="preserve">Rules </w:t>
      </w:r>
      <w:hyperlink r:id="rId40">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w:t>
      </w:r>
      <w:hyperlink r:id="rId41">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 xml:space="preserve">(421) contain information on failure to timely file a return or failure to timely pay the tax. Rule </w:t>
      </w:r>
      <w:hyperlink r:id="rId42">
        <w:r>
          <w:rPr>
            <w:rStyle w:val="Hyperlink"/>
            <w:rFonts w:ascii="Times New Roman" w:hAnsi="Times New Roman"/>
            <w:b w:val="false"/>
            <w:i w:val="false"/>
            <w:color w:val="000000"/>
            <w:sz w:val="22"/>
          </w:rPr>
          <w:t>701—10.8</w:t>
        </w:r>
      </w:hyperlink>
      <w:r>
        <w:rPr>
          <w:rFonts w:ascii="Times New Roman" w:hAnsi="Times New Roman"/>
          <w:b w:val="false"/>
          <w:i w:val="false"/>
          <w:color w:val="000000"/>
          <w:sz w:val="22"/>
        </w:rPr>
        <w:t xml:space="preserve">(421) contains information on penalty exceptions. Rule </w:t>
      </w:r>
      <w:hyperlink r:id="rId43">
        <w:r>
          <w:rPr>
            <w:rStyle w:val="Hyperlink"/>
            <w:rFonts w:ascii="Times New Roman" w:hAnsi="Times New Roman"/>
            <w:b w:val="false"/>
            <w:i w:val="false"/>
            <w:color w:val="000000"/>
            <w:sz w:val="22"/>
          </w:rPr>
          <w:t>701—10.72(452A)</w:t>
        </w:r>
      </w:hyperlink>
      <w:r>
        <w:rPr>
          <w:rFonts w:ascii="Times New Roman" w:hAnsi="Times New Roman"/>
          <w:b w:val="false"/>
          <w:i w:val="false"/>
          <w:color w:val="000000"/>
          <w:sz w:val="22"/>
        </w:rPr>
        <w:t xml:space="preserve"> contains additional information on interest on refunds. Rule </w:t>
      </w:r>
      <w:hyperlink r:id="rId44">
        <w:r>
          <w:rPr>
            <w:rStyle w:val="Hyperlink"/>
            <w:rFonts w:ascii="Times New Roman" w:hAnsi="Times New Roman"/>
            <w:b w:val="false"/>
            <w:i w:val="false"/>
            <w:color w:val="000000"/>
            <w:sz w:val="22"/>
          </w:rPr>
          <w:t>701—10.71(421)</w:t>
        </w:r>
      </w:hyperlink>
      <w:r>
        <w:rPr>
          <w:rFonts w:ascii="Times New Roman" w:hAnsi="Times New Roman"/>
          <w:b w:val="false"/>
          <w:i w:val="false"/>
          <w:color w:val="000000"/>
          <w:sz w:val="22"/>
        </w:rPr>
        <w:t xml:space="preserve"> contains additional information on penalty and enforcement provisions.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701—259.9</w:t>
      </w:r>
      <w:r>
        <w:rPr>
          <w:rFonts w:ascii="Times New Roman" w:hAnsi="Times New Roman"/>
          <w:b/>
          <w:i w:val="false"/>
          <w:color w:val="000000"/>
          <w:sz w:val="22"/>
        </w:rPr>
        <w:t xml:space="preserve">(452A) </w:t>
      </w:r>
      <w:r>
        <w:rPr>
          <w:rFonts w:ascii="Times New Roman" w:hAnsi="Times New Roman"/>
          <w:b/>
          <w:i w:val="false"/>
          <w:color w:val="000000"/>
          <w:sz w:val="22"/>
        </w:rPr>
        <w:t xml:space="preserve">Application of remittance. </w:t>
      </w:r>
      <w:r>
        <w:rPr>
          <w:rFonts w:ascii="Times New Roman" w:hAnsi="Times New Roman"/>
          <w:b w:val="false"/>
          <w:i w:val="false"/>
          <w:color w:val="000000"/>
          <w:sz w:val="22"/>
        </w:rPr>
        <w:t>All payments are to be first applied to the penalty and then to the interest. The balance, if any, will then be applied to the amount of tax due. If a taxpayer remits a payment on or before the due date, but the payment is insufficient to discharge the tax liability, the entire amount of the payment applies to the tax, and the penalty and interest are based on the unpaid portion of the tax. If the department determines there is additional tax due from a taxpayer, interest and penalty accrue on that amount from the date it should have been reported and paid.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701—259.10</w:t>
      </w:r>
      <w:r>
        <w:rPr>
          <w:rFonts w:ascii="Times New Roman" w:hAnsi="Times New Roman"/>
          <w:b/>
          <w:i w:val="false"/>
          <w:color w:val="000000"/>
          <w:sz w:val="22"/>
        </w:rPr>
        <w:t xml:space="preserve">(452A) </w:t>
      </w:r>
      <w:r>
        <w:rPr>
          <w:rFonts w:ascii="Times New Roman" w:hAnsi="Times New Roman"/>
          <w:b/>
          <w:i w:val="false"/>
          <w:color w:val="000000"/>
          <w:sz w:val="22"/>
        </w:rPr>
        <w:t xml:space="preserve">Reports, returns, records—variations.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prescribe and furnish forms upon which reports, returns, and applications are to be made to the department under Iowa Code chapter </w:t>
      </w:r>
      <w:hyperlink r:id="rId49">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Claims for refund will be made on forms provided by the department or in any other manner as prescribed by the director. Licensees may substitute forms for their use, other than official forms, if all the requirements in department rule </w:t>
      </w:r>
      <w:hyperlink r:id="rId50">
        <w:r>
          <w:rPr>
            <w:rStyle w:val="Hyperlink"/>
            <w:rFonts w:ascii="Times New Roman" w:hAnsi="Times New Roman"/>
            <w:b w:val="false"/>
            <w:i w:val="false"/>
            <w:color w:val="000000"/>
            <w:sz w:val="22"/>
          </w:rPr>
          <w:t>701—8.3</w:t>
        </w:r>
      </w:hyperlink>
      <w:r>
        <w:rPr>
          <w:rFonts w:ascii="Times New Roman" w:hAnsi="Times New Roman"/>
          <w:b w:val="false"/>
          <w:i w:val="false"/>
          <w:color w:val="000000"/>
          <w:sz w:val="22"/>
        </w:rPr>
        <w:t>(17A)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259.10(2)</w:t>
      </w:r>
      <w:r>
        <w:rPr>
          <w:rFonts w:ascii="Times New Roman" w:hAnsi="Times New Roman"/>
          <w:b w:val="false"/>
          <w:i w:val="false"/>
          <w:color w:val="000000"/>
          <w:sz w:val="22"/>
        </w:rPr>
        <w:t> </w:t>
      </w:r>
      <w:r>
        <w:rPr>
          <w:rFonts w:ascii="Times New Roman" w:hAnsi="Times New Roman"/>
          <w:b w:val="false"/>
          <w:i w:val="false"/>
          <w:color w:val="000000"/>
          <w:sz w:val="22"/>
        </w:rPr>
        <w:t>If the information required in these documents is presented to the department on forms or in a manner other than the prescribed form, or approved substitute form, the return, application, or claim for refund or credit shall not be deemed “filed.” The forms may be furnished by the department (except those pertaining to division III interstate operations, which are available from the department of transportation) and, therefore, the fact that the reporting party does not have the prescribed form is not an excuse for failure to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259.10(3)</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prescribe the form of the records that the reporting parties are required to keep in support of the reports/returns they file. The department may approve the form of the records that are being kept by any reporting party and must approve the form of record being kept if that form contains all of the information on the prescribed form, the information is compiled in such a manner as to make it easily ascertainable by department personnel, and substantially complies with the prescribed form.</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51">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701—259.11</w:t>
      </w:r>
      <w:r>
        <w:rPr>
          <w:rFonts w:ascii="Times New Roman" w:hAnsi="Times New Roman"/>
          <w:b/>
          <w:i w:val="false"/>
          <w:color w:val="000000"/>
          <w:sz w:val="22"/>
        </w:rPr>
        <w:t xml:space="preserve">(452A) </w:t>
      </w:r>
      <w:r>
        <w:rPr>
          <w:rFonts w:ascii="Times New Roman" w:hAnsi="Times New Roman"/>
          <w:b/>
          <w:i w:val="false"/>
          <w:color w:val="000000"/>
          <w:sz w:val="22"/>
        </w:rPr>
        <w:t xml:space="preserve">Invoices.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259.11(1)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invoices. </w:t>
      </w:r>
      <w:r>
        <w:rPr>
          <w:rFonts w:ascii="Times New Roman" w:hAnsi="Times New Roman"/>
          <w:b w:val="false"/>
          <w:i w:val="false"/>
          <w:color w:val="000000"/>
          <w:sz w:val="22"/>
        </w:rPr>
        <w:t xml:space="preserve">Whenever an invoice is required to be kept or prepared by Iowa Code chapter </w:t>
      </w:r>
      <w:hyperlink r:id="rId52">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or these rules, the invoice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prepared by someone other than the purchaser and include the seller’s name, address, and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purchaser’s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 serial number of three or more digits.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the calendar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Indicate the type of fuel purchased. Diesel fuel must be designated as dyed or undyed.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Indicate the quantity of fuel purchased in gross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Indicate the total purchase price and show separately the amount of state and federal fuel tax included in the purchase price or include a statement that all state and applicable federal taxes are included in the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For ethanol blended gasoline or biodiesel blended fuel, state its designation as provided in Iowa Code section </w:t>
      </w:r>
      <w:hyperlink r:id="rId5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Be prepared on paper that will prevent erasure or alteration or on another form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259.11(2)</w:t>
      </w:r>
      <w:r>
        <w:rPr>
          <w:rFonts w:ascii="Times New Roman" w:hAnsi="Times New Roman"/>
          <w:b w:val="false"/>
          <w:i w:val="false"/>
          <w:color w:val="000000"/>
          <w:sz w:val="22"/>
        </w:rPr>
        <w:t> </w:t>
      </w:r>
      <w:r>
        <w:rPr>
          <w:rFonts w:ascii="Times New Roman" w:hAnsi="Times New Roman"/>
          <w:b w:val="false"/>
          <w:i/>
          <w:color w:val="000000"/>
          <w:sz w:val="22"/>
        </w:rPr>
        <w:t xml:space="preserve">Credit card invoices. </w:t>
      </w:r>
      <w:r>
        <w:rPr>
          <w:rFonts w:ascii="Times New Roman" w:hAnsi="Times New Roman"/>
          <w:b w:val="false"/>
          <w:i w:val="false"/>
          <w:color w:val="000000"/>
          <w:sz w:val="22"/>
        </w:rPr>
        <w:t xml:space="preserve">Credit card invoices are acceptable if they meet substantially all the requirements of rule </w:t>
      </w:r>
      <w:hyperlink r:id="rId54">
        <w:r>
          <w:rPr>
            <w:rStyle w:val="Hyperlink"/>
            <w:rFonts w:ascii="Times New Roman" w:hAnsi="Times New Roman"/>
            <w:b w:val="false"/>
            <w:i w:val="false"/>
            <w:color w:val="000000"/>
            <w:sz w:val="22"/>
          </w:rPr>
          <w:t>701—259.11</w:t>
        </w:r>
      </w:hyperlink>
      <w:r>
        <w:rPr>
          <w:rFonts w:ascii="Times New Roman" w:hAnsi="Times New Roman"/>
          <w:b w:val="false"/>
          <w:i w:val="false"/>
          <w:color w:val="000000"/>
          <w:sz w:val="22"/>
        </w:rPr>
        <w:t>(452A). For refund purposes, presentation of a credit card invoice or billing statement is prima facie evidence that the fuel tax has been paid.</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55">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701—259.12</w:t>
      </w:r>
      <w:r>
        <w:rPr>
          <w:rFonts w:ascii="Times New Roman" w:hAnsi="Times New Roman"/>
          <w:b/>
          <w:i w:val="false"/>
          <w:color w:val="000000"/>
          <w:sz w:val="22"/>
        </w:rPr>
        <w:t xml:space="preserve">(452A) </w:t>
      </w:r>
      <w:r>
        <w:rPr>
          <w:rFonts w:ascii="Times New Roman" w:hAnsi="Times New Roman"/>
          <w:b/>
          <w:i w:val="false"/>
          <w:color w:val="000000"/>
          <w:sz w:val="22"/>
        </w:rPr>
        <w:t xml:space="preserve">Taxes erroneously or illegally collected.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Licensees are entitled to a refund of taxes, penalty, and interest erroneously or illegally collected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259.12(2)</w:t>
      </w:r>
      <w:r>
        <w:rPr>
          <w:rFonts w:ascii="Times New Roman" w:hAnsi="Times New Roman"/>
          <w:b w:val="false"/>
          <w:i w:val="false"/>
          <w:color w:val="000000"/>
          <w:sz w:val="22"/>
        </w:rPr>
        <w:t> </w:t>
      </w:r>
      <w:r>
        <w:rPr>
          <w:rFonts w:ascii="Times New Roman" w:hAnsi="Times New Roman"/>
          <w:b w:val="false"/>
          <w:i/>
          <w:color w:val="000000"/>
          <w:sz w:val="22"/>
        </w:rPr>
        <w:t xml:space="preserve">Refund requests. </w:t>
      </w:r>
      <w:r>
        <w:rPr>
          <w:rFonts w:ascii="Times New Roman" w:hAnsi="Times New Roman"/>
          <w:b w:val="false"/>
          <w:i w:val="false"/>
          <w:color w:val="000000"/>
          <w:sz w:val="22"/>
        </w:rPr>
        <w:t xml:space="preserve">The request for refund must be (1) in writing, (2) filed with the department within three years of the time the tax was paid (3) filed by the licensee who remitted the tax to the department, and (4) accompanied by documentation supporting the claim for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Computational errors. </w:t>
      </w:r>
      <w:r>
        <w:rPr>
          <w:rFonts w:ascii="Times New Roman" w:hAnsi="Times New Roman"/>
          <w:b w:val="false"/>
          <w:i w:val="false"/>
          <w:color w:val="000000"/>
          <w:sz w:val="22"/>
        </w:rPr>
        <w:t xml:space="preserve">If the erroneous collection was the result of a computational error on the part of the taxpayer and that error is discovered by the department during an examination of the taxpayer’s records within three years of the overpayment, the taxes will be refunded and a written request will not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Penalties and interest. </w:t>
      </w:r>
      <w:r>
        <w:rPr>
          <w:rFonts w:ascii="Times New Roman" w:hAnsi="Times New Roman"/>
          <w:b w:val="false"/>
          <w:i w:val="false"/>
          <w:color w:val="000000"/>
          <w:sz w:val="22"/>
        </w:rPr>
        <w:t>If the request includes the return of erroneously or illegally collected (assessed) penalty or interest, the interest or penalty shall be refunded in the same proportion as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Sales or use tax. </w:t>
      </w:r>
      <w:r>
        <w:rPr>
          <w:rFonts w:ascii="Times New Roman" w:hAnsi="Times New Roman"/>
          <w:b w:val="false"/>
          <w:i w:val="false"/>
          <w:color w:val="000000"/>
          <w:sz w:val="22"/>
        </w:rPr>
        <w:t xml:space="preserve">A refund issued under this rule will be reduced by sales or use tax if applicable. There is no minimum refund amount for refunds claimed under the provisions of Iowa Code section </w:t>
      </w:r>
      <w:hyperlink r:id="rId58">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259.12(3)</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Amended returns must be filed for the tax periods in which an error occurred.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Motor fuel and undyed special fuel suppliers. </w:t>
      </w:r>
      <w:r>
        <w:rPr>
          <w:rFonts w:ascii="Times New Roman" w:hAnsi="Times New Roman"/>
          <w:b w:val="false"/>
          <w:i w:val="false"/>
          <w:color w:val="000000"/>
          <w:sz w:val="22"/>
        </w:rPr>
        <w:t xml:space="preserve">Motor fuel and undyed special fuel suppliers must inform the department upon which bill(s) of lading, by number, and upon which monthly return(s) the tax was erroneously paid. The gallonage upon which a refund is requested on motor fuel or undyed special fuel must be reduced by the distribution allowance provided in Iowa Code section </w:t>
      </w:r>
      <w:hyperlink r:id="rId59">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Restrictive suppliers, importers, and blenders. </w:t>
      </w:r>
      <w:r>
        <w:rPr>
          <w:rFonts w:ascii="Times New Roman" w:hAnsi="Times New Roman"/>
          <w:b w:val="false"/>
          <w:i w:val="false"/>
          <w:color w:val="000000"/>
          <w:sz w:val="22"/>
        </w:rPr>
        <w:t>Restrictive suppliers, importers, and blenders must inform the department upon which bill(s) of lading or invoice, by number, and upon which monthly or semimonthly return(s) the tax was erroneously paid and an explanation of the erroneous payment. An amended return must be filed for the tax period in which the error occurred.</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0">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701—259.13</w:t>
      </w:r>
      <w:r>
        <w:rPr>
          <w:rFonts w:ascii="Times New Roman" w:hAnsi="Times New Roman"/>
          <w:b/>
          <w:i w:val="false"/>
          <w:color w:val="000000"/>
          <w:sz w:val="22"/>
        </w:rPr>
        <w:t xml:space="preserve">(452A) </w:t>
      </w:r>
      <w:r>
        <w:rPr>
          <w:rFonts w:ascii="Times New Roman" w:hAnsi="Times New Roman"/>
          <w:b/>
          <w:i w:val="false"/>
          <w:color w:val="000000"/>
          <w:sz w:val="22"/>
        </w:rPr>
        <w:t xml:space="preserve">Information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Iowa Code section </w:t>
      </w:r>
      <w:hyperlink r:id="rId61">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which makes all information obtained from reports, returns, or records required to be filed or kept under Iowa Code chapter </w:t>
      </w:r>
      <w:hyperlink r:id="rId62">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confidential, applies generally to the director, deputies, auditors, agents, officers, or other employees of the department. The information may be divulged to appropriate public officials,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Iowa general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Committees of either chamber of the Iowa legislature,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have responsibility for the enforcement of Iowa Code chapter </w:t>
      </w:r>
      <w:hyperlink r:id="rId6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Officials of the federal government entrusted with enforcement of federal motor vehicle fuel tax laws,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Officials of other states who have responsibility to enforce motor vehicle fuel tax laws and who will furnish like information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259.13(2)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An exception to this rule is that the appropriate state agency may make available to the public the total gallons of motor fuel, undyed special fuel, and ethanol blended gasoline withdrawn from terminals or imported into the state by suppliers, restrictive suppliers, and importers. The public request must be made within 45 days following the last day of the month in which the tax is required to be paid.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4">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701—259.14</w:t>
      </w:r>
      <w:r>
        <w:rPr>
          <w:rFonts w:ascii="Times New Roman" w:hAnsi="Times New Roman"/>
          <w:b/>
          <w:i w:val="false"/>
          <w:color w:val="000000"/>
          <w:sz w:val="22"/>
        </w:rPr>
        <w:t xml:space="preserve">(452A) </w:t>
      </w:r>
      <w:r>
        <w:rPr>
          <w:rFonts w:ascii="Times New Roman" w:hAnsi="Times New Roman"/>
          <w:b/>
          <w:i w:val="false"/>
          <w:color w:val="000000"/>
          <w:sz w:val="22"/>
        </w:rPr>
        <w:t xml:space="preserve">Audit and examination. </w:t>
      </w:r>
      <w:r>
        <w:rPr>
          <w:rFonts w:ascii="Times New Roman" w:hAnsi="Times New Roman"/>
          <w:b w:val="false"/>
          <w:i w:val="false"/>
          <w:color w:val="000000"/>
          <w:sz w:val="22"/>
        </w:rPr>
        <w:t>The compliance division of the department may examine reports, returns, and records; make audits; and determine the correct amount of tax, interest, penalties, and fines due and take all actions authorized to collect the same, subject to review by or appeal to the director.</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65">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701—259.15</w:t>
      </w:r>
      <w:r>
        <w:rPr>
          <w:rFonts w:ascii="Times New Roman" w:hAnsi="Times New Roman"/>
          <w:b/>
          <w:i w:val="false"/>
          <w:color w:val="000000"/>
          <w:sz w:val="22"/>
        </w:rPr>
        <w:t xml:space="preserve">(452A) </w:t>
      </w:r>
      <w:r>
        <w:rPr>
          <w:rFonts w:ascii="Times New Roman" w:hAnsi="Times New Roman"/>
          <w:b/>
          <w:i w:val="false"/>
          <w:color w:val="000000"/>
          <w:sz w:val="22"/>
        </w:rPr>
        <w:t xml:space="preserve">Practice and procedure before the department of revenue. </w:t>
      </w:r>
      <w:r>
        <w:rPr>
          <w:rFonts w:ascii="Times New Roman" w:hAnsi="Times New Roman"/>
          <w:b w:val="false"/>
          <w:i w:val="false"/>
          <w:color w:val="000000"/>
          <w:sz w:val="22"/>
        </w:rPr>
        <w:t xml:space="preserve">The practice and procedure before the department is governed by Iowa Code chapter </w:t>
      </w:r>
      <w:hyperlink r:id="rId6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6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701—259.16</w:t>
      </w:r>
      <w:r>
        <w:rPr>
          <w:rFonts w:ascii="Times New Roman" w:hAnsi="Times New Roman"/>
          <w:b/>
          <w:i w:val="false"/>
          <w:color w:val="000000"/>
          <w:sz w:val="22"/>
        </w:rPr>
        <w:t xml:space="preserve">(452A) </w:t>
      </w:r>
      <w:r>
        <w:rPr>
          <w:rFonts w:ascii="Times New Roman" w:hAnsi="Times New Roman"/>
          <w:b/>
          <w:i w:val="false"/>
          <w:color w:val="000000"/>
          <w:sz w:val="22"/>
        </w:rPr>
        <w:t xml:space="preserve">Time for filing an appeal. </w:t>
      </w:r>
      <w:r>
        <w:rPr>
          <w:rFonts w:ascii="Times New Roman" w:hAnsi="Times New Roman"/>
          <w:b w:val="false"/>
          <w:i w:val="false"/>
          <w:color w:val="000000"/>
          <w:sz w:val="22"/>
        </w:rPr>
        <w:t xml:space="preserve">Any person wishing to contest an assessment, denial of all or any portion of a refund claim, or any other department action, except licensing, which may culminate in a contested case proceeding, must file an appeal as directed in </w:t>
      </w:r>
      <w:hyperlink r:id="rId7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If a taxpayer fails to timely appeal a notice of assessment, the taxpayer may make payments pursuant to </w:t>
      </w:r>
      <w:hyperlink r:id="rId71">
        <w:r>
          <w:rPr>
            <w:rStyle w:val="Hyperlink"/>
            <w:rFonts w:ascii="Times New Roman" w:hAnsi="Times New Roman"/>
            <w:b w:val="false"/>
            <w:i w:val="false"/>
            <w:color w:val="000000"/>
            <w:sz w:val="22"/>
          </w:rPr>
          <w:t>701—subrule 7.9(3)</w:t>
        </w:r>
      </w:hyperlink>
      <w:r>
        <w:rPr>
          <w:rFonts w:ascii="Times New Roman" w:hAnsi="Times New Roman"/>
          <w:b w:val="false"/>
          <w:i w:val="false"/>
          <w:color w:val="000000"/>
          <w:sz w:val="22"/>
        </w:rPr>
        <w:t xml:space="preserve"> and file a refund claim within the period provided by law for filing claims.</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72">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701—259.17</w:t>
      </w:r>
      <w:r>
        <w:rPr>
          <w:rFonts w:ascii="Times New Roman" w:hAnsi="Times New Roman"/>
          <w:b/>
          <w:i w:val="false"/>
          <w:color w:val="000000"/>
          <w:sz w:val="22"/>
        </w:rPr>
        <w:t xml:space="preserve">(452A) </w:t>
      </w:r>
      <w:r>
        <w:rPr>
          <w:rFonts w:ascii="Times New Roman" w:hAnsi="Times New Roman"/>
          <w:b/>
          <w:i w:val="false"/>
          <w:color w:val="000000"/>
          <w:sz w:val="22"/>
        </w:rPr>
        <w:t xml:space="preserve">Bonding procedure. </w:t>
      </w:r>
      <w:r>
        <w:rPr>
          <w:rFonts w:ascii="Times New Roman" w:hAnsi="Times New Roman"/>
          <w:b w:val="false"/>
          <w:i w:val="false"/>
          <w:color w:val="000000"/>
          <w:sz w:val="22"/>
        </w:rPr>
        <w:t xml:space="preserve">The director may, when necessary and advisable in order to secure the collection of the tax, require any person subject to the tax to file with the department a bond in an amount as the director may fix, or in lieu of the bond, securities approved by the director in an amount as the director may prescribe. Pursuant to the statutory authorization in Iowa Code sections </w:t>
      </w:r>
      <w:hyperlink r:id="rId73">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 the director has determined that the following procedures will be instituted with regard to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259.17(1)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Classes of business. </w:t>
      </w:r>
      <w:r>
        <w:rPr>
          <w:rFonts w:ascii="Times New Roman" w:hAnsi="Times New Roman"/>
          <w:b w:val="false"/>
          <w:i w:val="false"/>
          <w:color w:val="000000"/>
          <w:sz w:val="22"/>
        </w:rPr>
        <w:t>When the director determines, based on departmental records, other state or federal agency statistics, or current economic conditions, that certain segments of the petroleum business community are experiencing above average financial failures such that the collection of the tax might be jeopardized, a bond or security will be required from every licensee operating a business within this class unless it is shown to the director’s satisfaction that a particular licensee within a designated class is solvent and that the licensee previously timely remitted the tax. If the director selects certain classes of licensees for posting a bond or security, rulemaking will be initiated to reflect a listing of the classes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for fuel tax permits. </w:t>
      </w:r>
      <w:r>
        <w:rPr>
          <w:rFonts w:ascii="Times New Roman" w:hAnsi="Times New Roman"/>
          <w:b w:val="false"/>
          <w:i w:val="false"/>
          <w:color w:val="000000"/>
          <w:sz w:val="22"/>
        </w:rPr>
        <w:t xml:space="preserve">Notwithstanding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the director has determined that importers will be required to post a bond in the amount of $25,000 and other applicants for a new fuel tax permit will be requested to post a bond or security if (1) it is determined upon a complete investigation of the applicant’s financial status that the applicant would likely not be able to timely remit the tax, or (2) the new applicant held a prior fuel tax license and the remittance record of the tax under the prior license falls within one of the conditions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or (3) the department experienced collection problems while the applicant was engaged in business under the prior license, or (4) the applicant is substantially similar to a person who would have been required to post a bond under the guidelines as set forth in </w:t>
      </w:r>
      <w:r>
        <w:rPr>
          <w:rFonts w:ascii="Times New Roman" w:hAnsi="Times New Roman"/>
          <w:b w:val="false"/>
          <w:i/>
          <w:color w:val="000000"/>
          <w:sz w:val="22"/>
        </w:rPr>
        <w:t>“c”</w:t>
      </w:r>
      <w:r>
        <w:rPr>
          <w:rFonts w:ascii="Times New Roman" w:hAnsi="Times New Roman"/>
          <w:b w:val="false"/>
          <w:i w:val="false"/>
          <w:color w:val="000000"/>
          <w:sz w:val="22"/>
        </w:rPr>
        <w:t xml:space="preserve"> or such person had a previous fuel tax permit revoked. The applicant is “substantially similar” to the extent that said applicant is owned or controlled by persons who owned or controlled the previous licensee. For example, X, a corporation, had a previous fuel tax permit revoked. X is dissolved and its shareholders create a new corporation, Y, which applies for a fuel tax permit. The persons or stockholders who controlled X now control Y. Therefore, Y will be requested to post a bond or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Existing licensees—amount of bond or security. </w:t>
      </w:r>
      <w:r>
        <w:rPr>
          <w:rFonts w:ascii="Times New Roman" w:hAnsi="Times New Roman"/>
          <w:b w:val="false"/>
          <w:i w:val="false"/>
          <w:color w:val="000000"/>
          <w:sz w:val="22"/>
        </w:rPr>
        <w:t xml:space="preserve">The simultaneous late filing of the return and the late payment of the tax will count as one delinquency. See rule </w:t>
      </w:r>
      <w:hyperlink r:id="rId75">
        <w:r>
          <w:rPr>
            <w:rStyle w:val="Hyperlink"/>
            <w:rFonts w:ascii="Times New Roman" w:hAnsi="Times New Roman"/>
            <w:b w:val="false"/>
            <w:i w:val="false"/>
            <w:color w:val="000000"/>
            <w:sz w:val="22"/>
          </w:rPr>
          <w:t>701—259.24</w:t>
        </w:r>
      </w:hyperlink>
      <w:r>
        <w:rPr>
          <w:rFonts w:ascii="Times New Roman" w:hAnsi="Times New Roman"/>
          <w:b w:val="false"/>
          <w:i w:val="false"/>
          <w:color w:val="000000"/>
          <w:sz w:val="22"/>
        </w:rPr>
        <w:t xml:space="preserve">(452A). However, the late filing of the return or the late payment of the tax will not count as a delinquency if the license holder can satisfy one of the conditions set forth in Iowa Code section </w:t>
      </w:r>
      <w:hyperlink r:id="rId76">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penalty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Suppliers will be requested to post a bond or security when they have had one or more delinquencies in remitting the fuel tax or timely filing monthly returns during the past six months. The bond or security will be an amount sufficient to cover six months’ fuel tax liability or $5,000,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Restrictive suppliers will be requested to post a bond or security when they have had two or more delinquencies in remitting the fuel tax or timely filing monthly returns during the past 12 months. The bond or security will be an amount sufficient to cover 12 months’ fuel tax liability or $2,000,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Blenders will be requested to post a bond or security when they have had two or more delinquencies in remitting the fuel tax or timely filing monthly returns during the past six months. The bond or security will be an amount sufficient to cover 12 months’ fuel tax liability or $2,000,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Compressed natural gas, liquefied natural gas, and liquefied petroleum gas dealers and users will be requested to post a bond or security when they have had two or more delinquencies in remitting the fuel tax or timely filing monthly returns during the past 12 months. The bond or security will be an amount sufficient to cover 12 months’ fuel tax liability or $500,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Bond or security required. </w:t>
      </w:r>
      <w:r>
        <w:rPr>
          <w:rFonts w:ascii="Times New Roman" w:hAnsi="Times New Roman"/>
          <w:b w:val="false"/>
          <w:i w:val="false"/>
          <w:color w:val="000000"/>
          <w:sz w:val="22"/>
        </w:rPr>
        <w:t>Eligible purchasers and end users will be required to post a bond or security when they have failed to pay the tax to a supplier. They will not be allowed to register as an eligible purchaser or end user again until the bond or security requirement has been complied with.</w:t>
      </w:r>
    </w:p>
    <w:p>
      <w:pPr>
        <w:spacing w:before="0" w:after="0"/>
        <w:ind w:left="120"/>
        <w:jc w:val="both"/>
      </w:pPr>
      <w:r>
        <w:rPr>
          <w:rFonts w:ascii="Times New Roman" w:hAnsi="Times New Roman"/>
          <w:b w:val="false"/>
          <w:i w:val="false"/>
          <w:color w:val="000000"/>
          <w:sz w:val="22"/>
        </w:rPr>
        <w:t>The bond or security will be an amount sufficient to cover six months’ fuel tax based on previous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Waiver of bond. </w:t>
      </w:r>
      <w:r>
        <w:rPr>
          <w:rFonts w:ascii="Times New Roman" w:hAnsi="Times New Roman"/>
          <w:b w:val="false"/>
          <w:i w:val="false"/>
          <w:color w:val="000000"/>
          <w:sz w:val="22"/>
        </w:rPr>
        <w:t>If a licensee has been requested to post a bond or security or if an applicant for a license has been requested to post a bond or security, upon the filing of the bond or security if the licensee maintains a good filing record for a period of two years, the licensee may request that the department waive the continued bond or security requirement. Importer bonds will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259.17(2)</w:t>
      </w:r>
      <w:r>
        <w:rPr>
          <w:rFonts w:ascii="Times New Roman" w:hAnsi="Times New Roman"/>
          <w:b w:val="false"/>
          <w:i w:val="false"/>
          <w:color w:val="000000"/>
          <w:sz w:val="22"/>
        </w:rPr>
        <w:t> </w:t>
      </w:r>
      <w:r>
        <w:rPr>
          <w:rFonts w:ascii="Times New Roman" w:hAnsi="Times New Roman"/>
          <w:b w:val="false"/>
          <w:i/>
          <w:color w:val="000000"/>
          <w:sz w:val="22"/>
        </w:rPr>
        <w:t xml:space="preserve">Type of security or bond. </w:t>
      </w:r>
      <w:r>
        <w:rPr>
          <w:rFonts w:ascii="Times New Roman" w:hAnsi="Times New Roman"/>
          <w:b w:val="false"/>
          <w:i w:val="false"/>
          <w:color w:val="000000"/>
          <w:sz w:val="22"/>
        </w:rPr>
        <w:t xml:space="preserve">When it is determined that a licensee or applicant for a fuel tax permit is required to post collateral to secure the collection of the fuel tax, the following types of collateral will be considered as sufficient: cash, surety bonds, securities, or certificates of deposit. “Cash” means guaranteed funds including, but not limited to, cashier’s check, money order, or certified check. If cash is posted as a bond, the bond will not be considered filed until the final payment is made, if paid in installments. A certificate of deposit must have a maturity date of 24 months from the date of assignment to the department. An assignment from the bank must accompany the original certificate of deposit filed with the department for the bank to be released from liability. When a licensee elects to post cash rather than a certificate of deposit as a bond, conversion to a certificate of deposit will not be allowed. When the licensee is a corporation, an officer of the corporation may assume personal responsibility for the payment of fuel tax. Security requirements for the officer will be evaluated as provided in </w:t>
      </w:r>
      <w:hyperlink r:id="rId77">
        <w:r>
          <w:rPr>
            <w:rStyle w:val="Hyperlink"/>
            <w:rFonts w:ascii="Times New Roman" w:hAnsi="Times New Roman"/>
            <w:b w:val="false"/>
            <w:i w:val="false"/>
            <w:color w:val="000000"/>
            <w:sz w:val="22"/>
          </w:rPr>
          <w:t>259.17(1)</w:t>
        </w:r>
      </w:hyperlink>
      <w:r>
        <w:rPr>
          <w:rFonts w:ascii="Times New Roman" w:hAnsi="Times New Roman"/>
          <w:b w:val="false"/>
          <w:i w:val="false"/>
          <w:color w:val="000000"/>
          <w:sz w:val="22"/>
        </w:rPr>
        <w:t xml:space="preserve"> above as if the officer applied for a fuel tax license as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259.17(3)</w:t>
      </w:r>
      <w:r>
        <w:rPr>
          <w:rFonts w:ascii="Times New Roman" w:hAnsi="Times New Roman"/>
          <w:b w:val="false"/>
          <w:i w:val="false"/>
          <w:color w:val="000000"/>
          <w:sz w:val="22"/>
        </w:rPr>
        <w:t> </w:t>
      </w:r>
      <w:r>
        <w:rPr>
          <w:rFonts w:ascii="Times New Roman" w:hAnsi="Times New Roman"/>
          <w:b w:val="false"/>
          <w:i/>
          <w:color w:val="000000"/>
          <w:sz w:val="22"/>
        </w:rPr>
        <w:t xml:space="preserve">Existing license holders. </w:t>
      </w:r>
      <w:r>
        <w:rPr>
          <w:rFonts w:ascii="Times New Roman" w:hAnsi="Times New Roman"/>
          <w:b w:val="false"/>
          <w:i w:val="false"/>
          <w:color w:val="000000"/>
          <w:sz w:val="22"/>
        </w:rPr>
        <w:t xml:space="preserve">Existing license holders may be requested to post a bond or security when they have had two or more delinquencies in remitting the fuel tax or filing returns timely during the past 12 months when filing returns on a monthly basis. The bond or security will be an amount sufficient to cover 12 months’ fuel tax liability or $500, whichever is greater. The simultaneous late filing of the return and the late payment of the tax will count as one delinquency. However, the late filing of the return or late payment of the tax will not count as a delinquency if the license holder can satisfy one of the conditions set forth in Iowa Code section </w:t>
      </w:r>
      <w:hyperlink r:id="rId78">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(penalty waiver). The department may waive the bond under circumstances described in paragraph </w:t>
      </w:r>
      <w:hyperlink r:id="rId79">
        <w:r>
          <w:rPr>
            <w:rStyle w:val="Hyperlink"/>
            <w:rFonts w:ascii="Times New Roman" w:hAnsi="Times New Roman"/>
            <w:b w:val="false"/>
            <w:i w:val="false"/>
            <w:color w:val="000000"/>
            <w:sz w:val="22"/>
          </w:rPr>
          <w:t>259.17(1)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259.17(4)</w:t>
      </w:r>
      <w:r>
        <w:rPr>
          <w:rFonts w:ascii="Times New Roman" w:hAnsi="Times New Roman"/>
          <w:b w:val="false"/>
          <w:i w:val="false"/>
          <w:color w:val="000000"/>
          <w:sz w:val="22"/>
        </w:rPr>
        <w:t> </w:t>
      </w:r>
      <w:r>
        <w:rPr>
          <w:rFonts w:ascii="Times New Roman" w:hAnsi="Times New Roman"/>
          <w:b w:val="false"/>
          <w:i/>
          <w:color w:val="000000"/>
          <w:sz w:val="22"/>
        </w:rPr>
        <w:t xml:space="preserve">Type of security. </w:t>
      </w:r>
      <w:r>
        <w:rPr>
          <w:rFonts w:ascii="Times New Roman" w:hAnsi="Times New Roman"/>
          <w:b w:val="false"/>
          <w:i w:val="false"/>
          <w:color w:val="000000"/>
          <w:sz w:val="22"/>
        </w:rPr>
        <w:t xml:space="preserve">The types of security or bond considered as sufficient are described in subrule </w:t>
      </w:r>
      <w:hyperlink r:id="rId80">
        <w:r>
          <w:rPr>
            <w:rStyle w:val="Hyperlink"/>
            <w:rFonts w:ascii="Times New Roman" w:hAnsi="Times New Roman"/>
            <w:b w:val="false"/>
            <w:i w:val="false"/>
            <w:color w:val="000000"/>
            <w:sz w:val="22"/>
          </w:rPr>
          <w:t>259.17(2)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701—259.18</w:t>
      </w:r>
      <w:r>
        <w:rPr>
          <w:rFonts w:ascii="Times New Roman" w:hAnsi="Times New Roman"/>
          <w:b/>
          <w:i w:val="false"/>
          <w:color w:val="000000"/>
          <w:sz w:val="22"/>
        </w:rPr>
        <w:t xml:space="preserve">(452A) </w:t>
      </w:r>
      <w:r>
        <w:rPr>
          <w:rFonts w:ascii="Times New Roman" w:hAnsi="Times New Roman"/>
          <w:b/>
          <w:i w:val="false"/>
          <w:color w:val="000000"/>
          <w:sz w:val="22"/>
        </w:rPr>
        <w:t xml:space="preserve">Supplier, restrictive supplier, importer, exporter, blender, dealer, or user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259.18(1)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license. </w:t>
      </w:r>
      <w:r>
        <w:rPr>
          <w:rFonts w:ascii="Times New Roman" w:hAnsi="Times New Roman"/>
          <w:b w:val="false"/>
          <w:i w:val="false"/>
          <w:color w:val="000000"/>
          <w:sz w:val="22"/>
        </w:rPr>
        <w:t>In order to become licensed as a fuel supplier, restrictive supplier, importer, exporter, blender, dealer, or user, the person must electronically file an application with the department. The license is valid until revoked or canceled and is nonassignable. The application is to include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under which the licensee will transact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principal place of business of the licensee and the mailing address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or federal identification number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complete residency address of the owner(s) of the business or, if a corporation or association, the names and addresses of the principal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 of license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Exporters only—the state and license number for that state in which the fuel is being exported.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259.18(2)</w:t>
      </w:r>
      <w:r>
        <w:rPr>
          <w:rFonts w:ascii="Times New Roman" w:hAnsi="Times New Roman"/>
          <w:b w:val="false"/>
          <w:i w:val="false"/>
          <w:color w:val="000000"/>
          <w:sz w:val="22"/>
        </w:rPr>
        <w:t> </w:t>
      </w:r>
      <w:r>
        <w:rPr>
          <w:rFonts w:ascii="Times New Roman" w:hAnsi="Times New Roman"/>
          <w:b w:val="false"/>
          <w:i/>
          <w:color w:val="000000"/>
          <w:sz w:val="22"/>
        </w:rPr>
        <w:t xml:space="preserve">Assignment of a license. </w:t>
      </w:r>
      <w:r>
        <w:rPr>
          <w:rFonts w:ascii="Times New Roman" w:hAnsi="Times New Roman"/>
          <w:b w:val="false"/>
          <w:i w:val="false"/>
          <w:color w:val="000000"/>
          <w:sz w:val="22"/>
        </w:rPr>
        <w:t xml:space="preserve">Licenses are not assignable. A person must apply for a new license when: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Buying the business of another license holder, even if the new owner operates under the same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Changing of the name under which the licensee conducts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Merging or otherwise combining businesses, resulting in a new or different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259.18(3)</w:t>
      </w:r>
      <w:r>
        <w:rPr>
          <w:rFonts w:ascii="Times New Roman" w:hAnsi="Times New Roman"/>
          <w:b w:val="false"/>
          <w:i w:val="false"/>
          <w:color w:val="000000"/>
          <w:sz w:val="22"/>
        </w:rPr>
        <w:t> </w:t>
      </w:r>
      <w:r>
        <w:rPr>
          <w:rFonts w:ascii="Times New Roman" w:hAnsi="Times New Roman"/>
          <w:b w:val="false"/>
          <w:i/>
          <w:color w:val="000000"/>
          <w:sz w:val="22"/>
        </w:rPr>
        <w:t xml:space="preserve">Denial of a license. </w:t>
      </w:r>
      <w:r>
        <w:rPr>
          <w:rFonts w:ascii="Times New Roman" w:hAnsi="Times New Roman"/>
          <w:b w:val="false"/>
          <w:i w:val="false"/>
          <w:color w:val="000000"/>
          <w:sz w:val="22"/>
        </w:rPr>
        <w:t xml:space="preserve">The department may deny a license to any applicant who may be denied a sales tax permit under rule </w:t>
      </w:r>
      <w:hyperlink r:id="rId83">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 xml:space="preserve">(423). Rule </w:t>
      </w:r>
      <w:hyperlink r:id="rId84">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 xml:space="preserve">(423) also contains a characterization of the terms “tax administered by the department” and “substantially delinquent” in paying a tax. Rule </w:t>
      </w:r>
      <w:hyperlink r:id="rId85">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contains information about rights to appeal denial of an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259.18(4)</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license. </w:t>
      </w:r>
      <w:r>
        <w:rPr>
          <w:rFonts w:ascii="Times New Roman" w:hAnsi="Times New Roman"/>
          <w:b w:val="false"/>
          <w:i w:val="false"/>
          <w:color w:val="000000"/>
          <w:sz w:val="22"/>
        </w:rPr>
        <w:t xml:space="preserve">The department may revoke the license of any licensee whose sales tax permit may be revoked under rule </w:t>
      </w:r>
      <w:hyperlink r:id="rId86">
        <w:r>
          <w:rPr>
            <w:rStyle w:val="Hyperlink"/>
            <w:rFonts w:ascii="Times New Roman" w:hAnsi="Times New Roman"/>
            <w:b w:val="false"/>
            <w:i w:val="false"/>
            <w:color w:val="000000"/>
            <w:sz w:val="22"/>
          </w:rPr>
          <w:t>701—201.11</w:t>
        </w:r>
      </w:hyperlink>
      <w:r>
        <w:rPr>
          <w:rFonts w:ascii="Times New Roman" w:hAnsi="Times New Roman"/>
          <w:b w:val="false"/>
          <w:i w:val="false"/>
          <w:color w:val="000000"/>
          <w:sz w:val="22"/>
        </w:rPr>
        <w:t xml:space="preserve">(423). Rule </w:t>
      </w:r>
      <w:hyperlink r:id="rId87">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 xml:space="preserve">(423) contains characterizations of the terms “tax administered by the department” and “substantially delinquent” in paying a tax. The department may also revoke the license of any licensee who abuses the privileges for which the license was issued; who files a false return; or who fails to file a return (including supporting schedules), pay the full amount of tax due, produce records requested, or extend cooperation to the department. Rule </w:t>
      </w:r>
      <w:hyperlink r:id="rId88">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contains more information about rights to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259.18(5)</w:t>
      </w:r>
      <w:r>
        <w:rPr>
          <w:rFonts w:ascii="Times New Roman" w:hAnsi="Times New Roman"/>
          <w:b w:val="false"/>
          <w:i w:val="false"/>
          <w:color w:val="000000"/>
          <w:sz w:val="22"/>
        </w:rPr>
        <w:t> </w:t>
      </w:r>
      <w:r>
        <w:rPr>
          <w:rFonts w:ascii="Times New Roman" w:hAnsi="Times New Roman"/>
          <w:b w:val="false"/>
          <w:i/>
          <w:color w:val="000000"/>
          <w:sz w:val="22"/>
        </w:rPr>
        <w:t xml:space="preserve">Efficient administration of motor fuel laws. </w:t>
      </w:r>
      <w:r>
        <w:rPr>
          <w:rFonts w:ascii="Times New Roman" w:hAnsi="Times New Roman"/>
          <w:b w:val="false"/>
          <w:i w:val="false"/>
          <w:color w:val="000000"/>
          <w:sz w:val="22"/>
        </w:rPr>
        <w:t xml:space="preserve">When necessary for the efficient administration of Iowa Code chapter </w:t>
      </w:r>
      <w:hyperlink r:id="rId89">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the director may regard persons or facilities in possession of motor fuel, special fuel, biofuel, alcohol, or alcohol derivative substances as blenders, dealers, eligible purchasers, exporters, importers, restrictive suppliers, suppliers, terminal operators, or nonterminal storage facility operators. The department will notify the person or facility of the various requirements under the motor vehicle fuel tax laws and will ensure that a license is issued.</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90">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701—259.19</w:t>
      </w:r>
      <w:r>
        <w:rPr>
          <w:rFonts w:ascii="Times New Roman" w:hAnsi="Times New Roman"/>
          <w:b/>
          <w:i w:val="false"/>
          <w:color w:val="000000"/>
          <w:sz w:val="22"/>
        </w:rPr>
        <w:t xml:space="preserve">(452A) </w:t>
      </w:r>
      <w:r>
        <w:rPr>
          <w:rFonts w:ascii="Times New Roman" w:hAnsi="Times New Roman"/>
          <w:b/>
          <w:i w:val="false"/>
          <w:color w:val="000000"/>
          <w:sz w:val="22"/>
        </w:rPr>
        <w:t xml:space="preserve">Reinstatement of license canceled for cause.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259.19(1)</w:t>
      </w:r>
      <w:r>
        <w:rPr>
          <w:rFonts w:ascii="Times New Roman" w:hAnsi="Times New Roman"/>
          <w:b w:val="false"/>
          <w:i w:val="false"/>
          <w:color w:val="000000"/>
          <w:sz w:val="22"/>
        </w:rPr>
        <w:t> </w:t>
      </w:r>
      <w:r>
        <w:rPr>
          <w:rFonts w:ascii="Times New Roman" w:hAnsi="Times New Roman"/>
          <w:b w:val="false"/>
          <w:i/>
          <w:color w:val="000000"/>
          <w:sz w:val="22"/>
        </w:rPr>
        <w:t xml:space="preserve">Reinstatement generally. </w:t>
      </w:r>
      <w:r>
        <w:rPr>
          <w:rFonts w:ascii="Times New Roman" w:hAnsi="Times New Roman"/>
          <w:b w:val="false"/>
          <w:i w:val="false"/>
          <w:color w:val="000000"/>
          <w:sz w:val="22"/>
        </w:rPr>
        <w:t>A license canceled for cause will be reinstated only on such terms and conditions as the cause may warrant. Terms and conditions will include payments of any applicable fuel tax liability including interest and penalty that is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259.19(2)</w:t>
      </w:r>
      <w:r>
        <w:rPr>
          <w:rFonts w:ascii="Times New Roman" w:hAnsi="Times New Roman"/>
          <w:b w:val="false"/>
          <w:i w:val="false"/>
          <w:color w:val="000000"/>
          <w:sz w:val="22"/>
        </w:rPr>
        <w:t> </w:t>
      </w:r>
      <w:r>
        <w:rPr>
          <w:rFonts w:ascii="Times New Roman" w:hAnsi="Times New Roman"/>
          <w:b w:val="false"/>
          <w:i/>
          <w:color w:val="000000"/>
          <w:sz w:val="22"/>
        </w:rPr>
        <w:t xml:space="preserve">Requirements after cancellation. </w:t>
      </w:r>
      <w:r>
        <w:rPr>
          <w:rFonts w:ascii="Times New Roman" w:hAnsi="Times New Roman"/>
          <w:b w:val="false"/>
          <w:i w:val="false"/>
          <w:color w:val="000000"/>
          <w:sz w:val="22"/>
        </w:rPr>
        <w:t xml:space="preserve">Upon the cancellation of a motor vehicle fuel tax license, the licensee will be required to pay all delinquent fuel tax liabilities including interest and penalty, to file returns, and to post a bond and have refrained from activities requiring a license under Iowa Code sections </w:t>
      </w:r>
      <w:hyperlink r:id="rId92">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 xml:space="preserve"> during the waiting period as required by the director prior to the reinstatement or issuance of a new motor vehicle fuel tax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259.19(3)</w:t>
      </w:r>
      <w:r>
        <w:rPr>
          <w:rFonts w:ascii="Times New Roman" w:hAnsi="Times New Roman"/>
          <w:b w:val="false"/>
          <w:i w:val="false"/>
          <w:color w:val="000000"/>
          <w:sz w:val="22"/>
        </w:rPr>
        <w:t> </w:t>
      </w:r>
      <w:r>
        <w:rPr>
          <w:rFonts w:ascii="Times New Roman" w:hAnsi="Times New Roman"/>
          <w:b w:val="false"/>
          <w:i/>
          <w:color w:val="000000"/>
          <w:sz w:val="22"/>
        </w:rPr>
        <w:t xml:space="preserve">Waiting periods. </w:t>
      </w:r>
      <w:r>
        <w:rPr>
          <w:rFonts w:ascii="Times New Roman" w:hAnsi="Times New Roman"/>
          <w:b w:val="false"/>
          <w:i w:val="false"/>
          <w:color w:val="000000"/>
          <w:sz w:val="22"/>
        </w:rPr>
        <w:t xml:space="preserve">The director may impose a waiting period during which the licensee must refrain from activities requiring a license pursuant to the penalties provided in Iowa Code section </w:t>
      </w:r>
      <w:hyperlink r:id="rId94">
        <w:r>
          <w:rPr>
            <w:rStyle w:val="Hyperlink"/>
            <w:rFonts w:ascii="Times New Roman" w:hAnsi="Times New Roman"/>
            <w:b w:val="false"/>
            <w:i w:val="false"/>
            <w:color w:val="000000"/>
            <w:sz w:val="22"/>
          </w:rPr>
          <w:t>452A.74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Waiting periods of up to 90 days may be imposed as a condition for the restoration of a license or the issuance of a new license after cancellation for cause.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require a statement that the licensee has fulfilled all requirements of said order canceling the license for cause and the dates on which the license holder refrained from restricted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259.19(4)</w:t>
      </w:r>
      <w:r>
        <w:rPr>
          <w:rFonts w:ascii="Times New Roman" w:hAnsi="Times New Roman"/>
          <w:b w:val="false"/>
          <w:i w:val="false"/>
          <w:color w:val="000000"/>
          <w:sz w:val="22"/>
        </w:rPr>
        <w:t> </w:t>
      </w:r>
      <w:r>
        <w:rPr>
          <w:rFonts w:ascii="Times New Roman" w:hAnsi="Times New Roman"/>
          <w:b w:val="false"/>
          <w:i/>
          <w:color w:val="000000"/>
          <w:sz w:val="22"/>
        </w:rPr>
        <w:t xml:space="preserve">Offenses. </w:t>
      </w:r>
      <w:r>
        <w:rPr>
          <w:rFonts w:ascii="Times New Roman" w:hAnsi="Times New Roman"/>
          <w:b w:val="false"/>
          <w:i w:val="false"/>
          <w:color w:val="000000"/>
          <w:sz w:val="22"/>
        </w:rPr>
        <w:t>Each of the following situations will be considered one offense for the purpose of determining the waiting period to reinstate a license canceled for cause or issuing a new license after being canceled for cause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post a bond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file a report or return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tax timely (including unhonored payments, failure to pay and late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file a return and pay tax as shown on the return (counts as one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259.19(5)</w:t>
      </w:r>
      <w:r>
        <w:rPr>
          <w:rFonts w:ascii="Times New Roman" w:hAnsi="Times New Roman"/>
          <w:b w:val="false"/>
          <w:i w:val="false"/>
          <w:color w:val="000000"/>
          <w:sz w:val="22"/>
        </w:rPr>
        <w:t> </w:t>
      </w:r>
      <w:r>
        <w:rPr>
          <w:rFonts w:ascii="Times New Roman" w:hAnsi="Times New Roman"/>
          <w:b w:val="false"/>
          <w:i/>
          <w:color w:val="000000"/>
          <w:sz w:val="22"/>
        </w:rPr>
        <w:t xml:space="preserve">Length of waiting period. </w:t>
      </w:r>
      <w:r>
        <w:rPr>
          <w:rFonts w:ascii="Times New Roman" w:hAnsi="Times New Roman"/>
          <w:b w:val="false"/>
          <w:i w:val="false"/>
          <w:color w:val="000000"/>
          <w:sz w:val="22"/>
        </w:rPr>
        <w:t>The hearing officer or director of revenue may order a waiting period after the cancellation for cause not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Waiting periods for multiple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days for one through five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Seven days for six or seven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days for eight or nine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Thirty days for ten offenses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Waiting periods for multiple cancellations. The hearing officer or director of revenue may order a waiting period not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Forty-five days if the second cancellation for cause occurs within 24 months of the first cancellation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Sixty days if the second cancellation for cause occurs within 18 months of the first cancellation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Ninety days if the second cancellation for cause occurs within 12 months of the first cancellation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Ninety days if the third cancellation for cause occurs within 36 months of the second cancellation for cause.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95">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701—259.20</w:t>
      </w:r>
      <w:r>
        <w:rPr>
          <w:rFonts w:ascii="Times New Roman" w:hAnsi="Times New Roman"/>
          <w:b/>
          <w:i w:val="false"/>
          <w:color w:val="000000"/>
          <w:sz w:val="22"/>
        </w:rPr>
        <w:t xml:space="preserve">(452A) </w:t>
      </w:r>
      <w:r>
        <w:rPr>
          <w:rFonts w:ascii="Times New Roman" w:hAnsi="Times New Roman"/>
          <w:b/>
          <w:i w:val="false"/>
          <w:color w:val="000000"/>
          <w:sz w:val="22"/>
        </w:rPr>
        <w:t xml:space="preserve">Fuel used in implements of husbandry. </w:t>
      </w:r>
      <w:r>
        <w:rPr>
          <w:rFonts w:ascii="Times New Roman" w:hAnsi="Times New Roman"/>
          <w:b w:val="false"/>
          <w:i w:val="false"/>
          <w:color w:val="000000"/>
          <w:sz w:val="22"/>
        </w:rPr>
        <w:t xml:space="preserve">Dyed special fuel is exempt from tax. Motor fuel or undyed special fuel is subject to refund when used in implements of husbandry as defined in Iowa Code section </w:t>
      </w:r>
      <w:hyperlink r:id="rId96">
        <w:r>
          <w:rPr>
            <w:rStyle w:val="Hyperlink"/>
            <w:rFonts w:ascii="Times New Roman" w:hAnsi="Times New Roman"/>
            <w:b w:val="false"/>
            <w:i w:val="false"/>
            <w:color w:val="000000"/>
            <w:sz w:val="22"/>
          </w:rPr>
          <w:t>321.1(32)</w:t>
        </w:r>
      </w:hyperlink>
      <w:r>
        <w:rPr>
          <w:rFonts w:ascii="Times New Roman" w:hAnsi="Times New Roman"/>
          <w:b w:val="false"/>
          <w:i w:val="false"/>
          <w:color w:val="000000"/>
          <w:sz w:val="22"/>
        </w:rPr>
        <w:t xml:space="preserve">. A vehicle as defined in Iowa Code section </w:t>
      </w:r>
      <w:hyperlink r:id="rId97">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 xml:space="preserve"> is not an implement of husbandry. The department of revenue, the state department of transportation, the department of public safety, and any other peace officer as requested by such department is empowered to enforce the use of special fuel or motor fuel in any illegal manner, including the inspection and testing of fuel in the fuel supply tank of an implement of husbandry.</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98">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701—259.21</w:t>
      </w:r>
      <w:r>
        <w:rPr>
          <w:rFonts w:ascii="Times New Roman" w:hAnsi="Times New Roman"/>
          <w:b/>
          <w:i w:val="false"/>
          <w:color w:val="000000"/>
          <w:sz w:val="22"/>
        </w:rPr>
        <w:t xml:space="preserve">(452A) </w:t>
      </w:r>
      <w:r>
        <w:rPr>
          <w:rFonts w:ascii="Times New Roman" w:hAnsi="Times New Roman"/>
          <w:b/>
          <w:i w:val="false"/>
          <w:color w:val="000000"/>
          <w:sz w:val="22"/>
        </w:rPr>
        <w:t xml:space="preserve">Excess tax collected. </w:t>
      </w:r>
      <w:r>
        <w:rPr>
          <w:rFonts w:ascii="Times New Roman" w:hAnsi="Times New Roman"/>
          <w:b w:val="false"/>
          <w:i w:val="false"/>
          <w:color w:val="000000"/>
          <w:sz w:val="22"/>
        </w:rPr>
        <w:t>If a licensee collects tax on exempt fuel or collects more tax than is due, the licensee must return the excess tax paid to the purchaser if the tax has not been paid to the department. If the tax has been paid to the department, the department will return the excess tax paid to the consumer upon appropriate documentation.</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99">
        <w:r>
          <w:rPr>
            <w:rStyle w:val="Hyperlink"/>
            <w:rFonts w:ascii="Times New Roman" w:hAnsi="Times New Roman"/>
            <w:b w:val="false"/>
            <w:i w:val="false"/>
            <w:color w:val="000000"/>
            <w:sz w:val="22"/>
          </w:rPr>
          <w:t>452A.22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701—259.22</w:t>
      </w:r>
      <w:r>
        <w:rPr>
          <w:rFonts w:ascii="Times New Roman" w:hAnsi="Times New Roman"/>
          <w:b/>
          <w:i w:val="false"/>
          <w:color w:val="000000"/>
          <w:sz w:val="22"/>
        </w:rPr>
        <w:t xml:space="preserve">(452A) </w:t>
      </w:r>
      <w:r>
        <w:rPr>
          <w:rFonts w:ascii="Times New Roman" w:hAnsi="Times New Roman"/>
          <w:b/>
          <w:i w:val="false"/>
          <w:color w:val="000000"/>
          <w:sz w:val="22"/>
        </w:rPr>
        <w:t xml:space="preserve">Retailer gallons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required to compile information reported to it by retail dealers regarding the number of gallons of the various fuel classifications sold by retail dealers in the previous calendar year and submit a report to the governor and the legislative services agency by April 1 of each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retail dealer is required to file a report with the department detailing the number of motor fuel gallons sold during the previous calendar year on both a companywide basis and a site-by-site basis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retail dealer report is due by January 31 following the close of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259.22(2)</w:t>
      </w:r>
      <w:r>
        <w:rPr>
          <w:rFonts w:ascii="Times New Roman" w:hAnsi="Times New Roman"/>
          <w:b w:val="false"/>
          <w:i w:val="false"/>
          <w:color w:val="000000"/>
          <w:sz w:val="22"/>
        </w:rPr>
        <w:t> </w:t>
      </w:r>
      <w:r>
        <w:rPr>
          <w:rFonts w:ascii="Times New Roman" w:hAnsi="Times New Roman"/>
          <w:b w:val="false"/>
          <w:i w:val="false"/>
          <w:color w:val="000000"/>
          <w:sz w:val="22"/>
        </w:rPr>
        <w:t>The report filed by the department will include information in the aggregate relating to total sales of gasoline, ethanol blended gasoline, diesel fuel, and biofuels. The report will also include appropriate percentage sales of various fuel products. The report will not include individual retail dealer information, trade secret information, or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259.22(3)</w:t>
      </w:r>
      <w:r>
        <w:rPr>
          <w:rFonts w:ascii="Times New Roman" w:hAnsi="Times New Roman"/>
          <w:b w:val="false"/>
          <w:i w:val="false"/>
          <w:color w:val="000000"/>
          <w:sz w:val="22"/>
        </w:rPr>
        <w:t> </w:t>
      </w:r>
      <w:r>
        <w:rPr>
          <w:rFonts w:ascii="Times New Roman" w:hAnsi="Times New Roman"/>
          <w:b w:val="false"/>
          <w:i w:val="false"/>
          <w:color w:val="000000"/>
          <w:sz w:val="22"/>
        </w:rPr>
        <w:t xml:space="preserve">Any entity selling or otherwise providing gasoline, ethanol blended gasoline, diesel fuel, or biofuels in this state to an end user will be presumed to be a retail dealer under Iowa Code section </w:t>
      </w:r>
      <w:hyperlink r:id="rId100">
        <w:r>
          <w:rPr>
            <w:rStyle w:val="Hyperlink"/>
            <w:rFonts w:ascii="Times New Roman" w:hAnsi="Times New Roman"/>
            <w:b w:val="false"/>
            <w:i w:val="false"/>
            <w:color w:val="000000"/>
            <w:sz w:val="22"/>
          </w:rPr>
          <w:t>452A.2(40)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101">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11/3/95, Notice 9/27/95—published 11/22/95, effective 1/1/96]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12/11/98, Notice 11/4/98—published 12/30/98, effective 2/3/99]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10/15/99, Notice 9/8/99—published 11/3/99, effective 12/8/99]</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8225B</w:t>
      </w:r>
      <w:r>
        <w:rPr>
          <w:rFonts w:ascii="Times New Roman" w:hAnsi="Times New Roman"/>
          <w:b w:val="false"/>
          <w:i w:val="false"/>
          <w:color w:val="000000"/>
          <w:sz w:val="21"/>
        </w:rPr>
        <w:t xml:space="preserve"> (Notice ARC 8043B,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1442C</w:t>
      </w:r>
      <w:r>
        <w:rPr>
          <w:rFonts w:ascii="Times New Roman" w:hAnsi="Times New Roman"/>
          <w:b w:val="false"/>
          <w:i w:val="false"/>
          <w:color w:val="000000"/>
          <w:sz w:val="21"/>
        </w:rPr>
        <w:t xml:space="preserve"> (Notice ARC 1362C,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1805C</w:t>
      </w:r>
      <w:r>
        <w:rPr>
          <w:rFonts w:ascii="Times New Roman" w:hAnsi="Times New Roman"/>
          <w:b w:val="false"/>
          <w:i w:val="false"/>
          <w:color w:val="000000"/>
          <w:sz w:val="21"/>
        </w:rPr>
        <w:t xml:space="preserve"> (Notice ARC 1681C, IAB 10/15/14)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2247C</w:t>
      </w:r>
      <w:r>
        <w:rPr>
          <w:rFonts w:ascii="Times New Roman" w:hAnsi="Times New Roman"/>
          <w:b w:val="false"/>
          <w:i w:val="false"/>
          <w:color w:val="000000"/>
          <w:sz w:val="21"/>
        </w:rPr>
        <w:t xml:space="preserve"> (Notice ARC 2123C, IAB 9/2/15)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9043C</w:t>
      </w:r>
      <w:r>
        <w:rPr>
          <w:rFonts w:ascii="Times New Roman" w:hAnsi="Times New Roman"/>
          <w:b w:val="false"/>
          <w:i w:val="false"/>
          <w:color w:val="000000"/>
          <w:sz w:val="21"/>
        </w:rPr>
        <w:t xml:space="preserve"> (Notice ARC 8739C,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259.pdf" Type="http://schemas.openxmlformats.org/officeDocument/2006/relationships/hyperlink" Id="rId5"/>
    <Relationship TargetMode="External" Target="https://www.legis.iowa.gov/docs/iac/chapter/701.260.pdf" Type="http://schemas.openxmlformats.org/officeDocument/2006/relationships/hyperlink" Id="rId6"/>
    <Relationship TargetMode="External" Target="https://www.legis.iowa.gov/docs/iac/chapter/701.261.pdf" Type="http://schemas.openxmlformats.org/officeDocument/2006/relationships/hyperlink" Id="rId7"/>
    <Relationship TargetMode="External" Target="https://www.legis.iowa.gov/docs/iac/chapter/701.262.pdf" Type="http://schemas.openxmlformats.org/officeDocument/2006/relationships/hyperlink" Id="rId8"/>
    <Relationship TargetMode="External" Target="https://www.legis.iowa.gov/docs/ico/chapter/214A.2.pdf" Type="http://schemas.openxmlformats.org/officeDocument/2006/relationships/hyperlink" Id="rId9"/>
    <Relationship TargetMode="External" Target="https://www.legis.iowa.gov/docs/ico/chapter/214A.2.pdf" Type="http://schemas.openxmlformats.org/officeDocument/2006/relationships/hyperlink" Id="rId10"/>
    <Relationship TargetMode="External" Target="https://www.legis.iowa.gov/docs/ico/chapter/452A.pdf" Type="http://schemas.openxmlformats.org/officeDocument/2006/relationships/hyperlink" Id="rId11"/>
    <Relationship TargetMode="External" Target="https://www.legis.iowa.gov/docs/ico/chapter/452A.pdf" Type="http://schemas.openxmlformats.org/officeDocument/2006/relationships/hyperlink" Id="rId12"/>
    <Relationship TargetMode="External" Target="https://www.legis.iowa.gov/docs/ico/chapter/452A.2.pdf" Type="http://schemas.openxmlformats.org/officeDocument/2006/relationships/hyperlink" Id="rId13"/>
    <Relationship TargetMode="External" Target="https://www.legis.iowa.gov/docs/ico/chapter/452A.57.pdf" Type="http://schemas.openxmlformats.org/officeDocument/2006/relationships/hyperlink" Id="rId14"/>
    <Relationship TargetMode="External" Target="https://www.legis.iowa.gov/docs/ico/chapter/452A.59.pdf" Type="http://schemas.openxmlformats.org/officeDocument/2006/relationships/hyperlink" Id="rId15"/>
    <Relationship TargetMode="External" Target="https://www.legis.iowa.gov/docs/iac/rule/701.11.3.pdf" Type="http://schemas.openxmlformats.org/officeDocument/2006/relationships/hyperlink" Id="rId16"/>
    <Relationship TargetMode="External" Target="https://www.legis.iowa.gov/docs/ico/chapter/452A.8.pdf" Type="http://schemas.openxmlformats.org/officeDocument/2006/relationships/hyperlink" Id="rId17"/>
    <Relationship TargetMode="External" Target="https://www.legis.iowa.gov/docs/ico/chapter/452A.8.pdf" Type="http://schemas.openxmlformats.org/officeDocument/2006/relationships/hyperlink" Id="rId18"/>
    <Relationship TargetMode="External" Target="https://www.legis.iowa.gov/docs/iac/chapter/701.11.pdf" Type="http://schemas.openxmlformats.org/officeDocument/2006/relationships/hyperlink" Id="rId19"/>
    <Relationship TargetMode="External" Target="https://www.legis.iowa.gov/docs/ico/chapter/452A.8.pdf" Type="http://schemas.openxmlformats.org/officeDocument/2006/relationships/hyperlink" Id="rId20"/>
    <Relationship TargetMode="External" Target="https://www.legis.iowa.gov/docs/ico/chapter/452A.10.pdf" Type="http://schemas.openxmlformats.org/officeDocument/2006/relationships/hyperlink" Id="rId21"/>
    <Relationship TargetMode="External" Target="https://www.legis.iowa.gov/docs/ico/chapter/452A.62.pdf" Type="http://schemas.openxmlformats.org/officeDocument/2006/relationships/hyperlink" Id="rId22"/>
    <Relationship TargetMode="External" Target="https://www.legis.iowa.gov/docs/ico/chapter/452A.55.pdf" Type="http://schemas.openxmlformats.org/officeDocument/2006/relationships/hyperlink" Id="rId23"/>
    <Relationship TargetMode="External" Target="https://www.legis.iowa.gov/docs/ico/chapter/452A.69.pdf" Type="http://schemas.openxmlformats.org/officeDocument/2006/relationships/hyperlink" Id="rId24"/>
    <Relationship TargetMode="External" Target="https://www.legis.iowa.gov/docs/ico/chapter/452A.64.pdf" Type="http://schemas.openxmlformats.org/officeDocument/2006/relationships/hyperlink" Id="rId25"/>
    <Relationship TargetMode="External" Target="https://www.legis.iowa.gov/docs/ico/chapter/452A.pdf" Type="http://schemas.openxmlformats.org/officeDocument/2006/relationships/hyperlink" Id="rId26"/>
    <Relationship TargetMode="External" Target="https://www.legis.iowa.gov/docs/iac/chapter/701.259.pdf" Type="http://schemas.openxmlformats.org/officeDocument/2006/relationships/hyperlink" Id="rId27"/>
    <Relationship TargetMode="External" Target="https://www.legis.iowa.gov/docs/iac/chapter/701.262.pdf" Type="http://schemas.openxmlformats.org/officeDocument/2006/relationships/hyperlink" Id="rId28"/>
    <Relationship TargetMode="External" Target="https://www.legis.iowa.gov/docs/ico/chapter/622.105.pdf" Type="http://schemas.openxmlformats.org/officeDocument/2006/relationships/hyperlink" Id="rId29"/>
    <Relationship TargetMode="External" Target="https://www.legis.iowa.gov/docs/ico/chapter/452A.8.pdf" Type="http://schemas.openxmlformats.org/officeDocument/2006/relationships/hyperlink" Id="rId30"/>
    <Relationship TargetMode="External" Target="https://www.legis.iowa.gov/docs/ico/chapter/452A.61.pdf" Type="http://schemas.openxmlformats.org/officeDocument/2006/relationships/hyperlink" Id="rId31"/>
    <Relationship TargetMode="External" Target="https://www.legis.iowa.gov/docs/ico/chapter/452A.64.pdf" Type="http://schemas.openxmlformats.org/officeDocument/2006/relationships/hyperlink" Id="rId32"/>
    <Relationship TargetMode="External" Target="https://www.legis.iowa.gov/docs/ico/chapter/452A.67.pdf" Type="http://schemas.openxmlformats.org/officeDocument/2006/relationships/hyperlink" Id="rId33"/>
    <Relationship TargetMode="External" Target="https://www.legis.iowa.gov/docs/iac/rule/701.259.5.pdf" Type="http://schemas.openxmlformats.org/officeDocument/2006/relationships/hyperlink" Id="rId34"/>
    <Relationship TargetMode="External" Target="https://www.legis.iowa.gov/docs/iac/rule/701.7.9.pdf" Type="http://schemas.openxmlformats.org/officeDocument/2006/relationships/hyperlink" Id="rId35"/>
    <Relationship TargetMode="External" Target="https://www.legis.iowa.gov/docs/ico/chapter/452A.67.pdf" Type="http://schemas.openxmlformats.org/officeDocument/2006/relationships/hyperlink" Id="rId36"/>
    <Relationship TargetMode="External" Target="https://www.legis.iowa.gov/docs/iac/rule/701.259.5.pdf" Type="http://schemas.openxmlformats.org/officeDocument/2006/relationships/hyperlink" Id="rId37"/>
    <Relationship TargetMode="External" Target="https://www.legis.iowa.gov/docs/ico/chapter/452A.65.pdf" Type="http://schemas.openxmlformats.org/officeDocument/2006/relationships/hyperlink" Id="rId38"/>
    <Relationship TargetMode="External" Target="https://www.legis.iowa.gov/docs/ico/chapter/452A.61.pdf" Type="http://schemas.openxmlformats.org/officeDocument/2006/relationships/hyperlink" Id="rId39"/>
    <Relationship TargetMode="External" Target="https://www.legis.iowa.gov/docs/iac/rule/701.10.6.pdf" Type="http://schemas.openxmlformats.org/officeDocument/2006/relationships/hyperlink" Id="rId40"/>
    <Relationship TargetMode="External" Target="https://www.legis.iowa.gov/docs/iac/rule/701.10.2.pdf" Type="http://schemas.openxmlformats.org/officeDocument/2006/relationships/hyperlink" Id="rId41"/>
    <Relationship TargetMode="External" Target="https://www.legis.iowa.gov/docs/iac/rule/701.10.8.pdf" Type="http://schemas.openxmlformats.org/officeDocument/2006/relationships/hyperlink" Id="rId42"/>
    <Relationship TargetMode="External" Target="https://www.legis.iowa.gov/docs/iac/rule/701.10.72.pdf" Type="http://schemas.openxmlformats.org/officeDocument/2006/relationships/hyperlink" Id="rId43"/>
    <Relationship TargetMode="External" Target="https://www.legis.iowa.gov/docs/iac/rule/701.10.71.pdf" Type="http://schemas.openxmlformats.org/officeDocument/2006/relationships/hyperlink" Id="rId44"/>
    <Relationship TargetMode="External" Target="https://www.legis.iowa.gov/docs/ico/chapter/452A.pdf" Type="http://schemas.openxmlformats.org/officeDocument/2006/relationships/hyperlink" Id="rId45"/>
    <Relationship TargetMode="External" Target="https://www.legis.iowa.gov/docs/ico/chapter/452A.59.pdf" Type="http://schemas.openxmlformats.org/officeDocument/2006/relationships/hyperlink" Id="rId46"/>
    <Relationship TargetMode="External" Target="https://www.legis.iowa.gov/docs/ico/chapter/452A.65.pdf" Type="http://schemas.openxmlformats.org/officeDocument/2006/relationships/hyperlink" Id="rId47"/>
    <Relationship TargetMode="External" Target="https://www.legis.iowa.gov/docs/ico/chapter/452A.66.pdf" Type="http://schemas.openxmlformats.org/officeDocument/2006/relationships/hyperlink" Id="rId48"/>
    <Relationship TargetMode="External" Target="https://www.legis.iowa.gov/docs/ico/chapter/452A.pdf" Type="http://schemas.openxmlformats.org/officeDocument/2006/relationships/hyperlink" Id="rId49"/>
    <Relationship TargetMode="External" Target="https://www.legis.iowa.gov/docs/iac/rule/701.8.3.pdf" Type="http://schemas.openxmlformats.org/officeDocument/2006/relationships/hyperlink" Id="rId50"/>
    <Relationship TargetMode="External" Target="https://www.legis.iowa.gov/docs/ico/chapter/452A.60.pdf" Type="http://schemas.openxmlformats.org/officeDocument/2006/relationships/hyperlink" Id="rId51"/>
    <Relationship TargetMode="External" Target="https://www.legis.iowa.gov/docs/ico/chapter/452A.pdf" Type="http://schemas.openxmlformats.org/officeDocument/2006/relationships/hyperlink" Id="rId52"/>
    <Relationship TargetMode="External" Target="https://www.legis.iowa.gov/docs/ico/chapter/214A.2.pdf" Type="http://schemas.openxmlformats.org/officeDocument/2006/relationships/hyperlink" Id="rId53"/>
    <Relationship TargetMode="External" Target="https://www.legis.iowa.gov/docs/iac/rule/701.259.11.pdf" Type="http://schemas.openxmlformats.org/officeDocument/2006/relationships/hyperlink" Id="rId54"/>
    <Relationship TargetMode="External" Target="https://www.legis.iowa.gov/docs/ico/chapter/452A.10.pdf" Type="http://schemas.openxmlformats.org/officeDocument/2006/relationships/hyperlink" Id="rId55"/>
    <Relationship TargetMode="External" Target="https://www.legis.iowa.gov/docs/ico/chapter/452A.12.pdf" Type="http://schemas.openxmlformats.org/officeDocument/2006/relationships/hyperlink" Id="rId56"/>
    <Relationship TargetMode="External" Target="https://www.legis.iowa.gov/docs/ico/chapter/452A.60.pdf" Type="http://schemas.openxmlformats.org/officeDocument/2006/relationships/hyperlink" Id="rId57"/>
    <Relationship TargetMode="External" Target="https://www.legis.iowa.gov/docs/ico/chapter/452A.72.pdf" Type="http://schemas.openxmlformats.org/officeDocument/2006/relationships/hyperlink" Id="rId58"/>
    <Relationship TargetMode="External" Target="https://www.legis.iowa.gov/docs/ico/chapter/452A.5.pdf" Type="http://schemas.openxmlformats.org/officeDocument/2006/relationships/hyperlink" Id="rId59"/>
    <Relationship TargetMode="External" Target="https://www.legis.iowa.gov/docs/ico/chapter/452A.72.pdf" Type="http://schemas.openxmlformats.org/officeDocument/2006/relationships/hyperlink" Id="rId60"/>
    <Relationship TargetMode="External" Target="https://www.legis.iowa.gov/docs/ico/chapter/452A.63.pdf" Type="http://schemas.openxmlformats.org/officeDocument/2006/relationships/hyperlink" Id="rId61"/>
    <Relationship TargetMode="External" Target="https://www.legis.iowa.gov/docs/ico/chapter/452A.pdf" Type="http://schemas.openxmlformats.org/officeDocument/2006/relationships/hyperlink" Id="rId62"/>
    <Relationship TargetMode="External" Target="https://www.legis.iowa.gov/docs/ico/chapter/452A.pdf" Type="http://schemas.openxmlformats.org/officeDocument/2006/relationships/hyperlink" Id="rId63"/>
    <Relationship TargetMode="External" Target="https://www.legis.iowa.gov/docs/ico/chapter/452A.63.pdf" Type="http://schemas.openxmlformats.org/officeDocument/2006/relationships/hyperlink" Id="rId64"/>
    <Relationship TargetMode="External" Target="https://www.legis.iowa.gov/docs/ico/chapter/452A.62.pdf" Type="http://schemas.openxmlformats.org/officeDocument/2006/relationships/hyperlink" Id="rId65"/>
    <Relationship TargetMode="External" Target="https://www.legis.iowa.gov/docs/ico/chapter/452A.76.pdf" Type="http://schemas.openxmlformats.org/officeDocument/2006/relationships/hyperlink" Id="rId66"/>
    <Relationship TargetMode="External" Target="https://www.legis.iowa.gov/docs/ico/chapter/17A.pdf" Type="http://schemas.openxmlformats.org/officeDocument/2006/relationships/hyperlink" Id="rId67"/>
    <Relationship TargetMode="External" Target="https://www.legis.iowa.gov/docs/iac/chapter/701.7.pdf" Type="http://schemas.openxmlformats.org/officeDocument/2006/relationships/hyperlink" Id="rId68"/>
    <Relationship TargetMode="External" Target="https://www.legis.iowa.gov/docs/ico/chapter/17A.pdf" Type="http://schemas.openxmlformats.org/officeDocument/2006/relationships/hyperlink" Id="rId69"/>
    <Relationship TargetMode="External" Target="https://www.legis.iowa.gov/docs/iac/chapter/701.7.pdf" Type="http://schemas.openxmlformats.org/officeDocument/2006/relationships/hyperlink" Id="rId70"/>
    <Relationship TargetMode="External" Target="https://www.legis.iowa.gov/docs/iac/rule/701.7.9.pdf" Type="http://schemas.openxmlformats.org/officeDocument/2006/relationships/hyperlink" Id="rId71"/>
    <Relationship TargetMode="External" Target="https://www.legis.iowa.gov/docs/ico/chapter/452A.64.pdf" Type="http://schemas.openxmlformats.org/officeDocument/2006/relationships/hyperlink" Id="rId72"/>
    <Relationship TargetMode="External" Target="https://www.legis.iowa.gov/docs/ico/chapter/423.35.pdf" Type="http://schemas.openxmlformats.org/officeDocument/2006/relationships/hyperlink" Id="rId73"/>
    <Relationship TargetMode="External" Target="https://www.legis.iowa.gov/docs/ico/chapter/452A.66.pdf" Type="http://schemas.openxmlformats.org/officeDocument/2006/relationships/hyperlink" Id="rId74"/>
    <Relationship TargetMode="External" Target="https://www.legis.iowa.gov/docs/iac/rule/701.259.24.pdf" Type="http://schemas.openxmlformats.org/officeDocument/2006/relationships/hyperlink" Id="rId75"/>
    <Relationship TargetMode="External" Target="https://www.legis.iowa.gov/docs/ico/chapter/421.27.pdf" Type="http://schemas.openxmlformats.org/officeDocument/2006/relationships/hyperlink" Id="rId76"/>
    <Relationship TargetMode="External" Target="https://www.legis.iowa.gov/docs/iac/rule/701.259.17.pdf" Type="http://schemas.openxmlformats.org/officeDocument/2006/relationships/hyperlink" Id="rId77"/>
    <Relationship TargetMode="External" Target="https://www.legis.iowa.gov/docs/ico/chapter/421.27.pdf" Type="http://schemas.openxmlformats.org/officeDocument/2006/relationships/hyperlink" Id="rId78"/>
    <Relationship TargetMode="External" Target="https://www.legis.iowa.gov/docs/iac/rule/701.259.17.pdf" Type="http://schemas.openxmlformats.org/officeDocument/2006/relationships/hyperlink" Id="rId79"/>
    <Relationship TargetMode="External" Target="https://www.legis.iowa.gov/docs/iac/rule/701.259.17.pdf" Type="http://schemas.openxmlformats.org/officeDocument/2006/relationships/hyperlink" Id="rId80"/>
    <Relationship TargetMode="External" Target="https://www.legis.iowa.gov/docs/ico/chapter/423.35.pdf" Type="http://schemas.openxmlformats.org/officeDocument/2006/relationships/hyperlink" Id="rId81"/>
    <Relationship TargetMode="External" Target="https://www.legis.iowa.gov/docs/ico/chapter/452A.66.pdf" Type="http://schemas.openxmlformats.org/officeDocument/2006/relationships/hyperlink" Id="rId82"/>
    <Relationship TargetMode="External" Target="https://www.legis.iowa.gov/docs/iac/rule/701.201.10.pdf" Type="http://schemas.openxmlformats.org/officeDocument/2006/relationships/hyperlink" Id="rId83"/>
    <Relationship TargetMode="External" Target="https://www.legis.iowa.gov/docs/iac/rule/701.201.10.pdf" Type="http://schemas.openxmlformats.org/officeDocument/2006/relationships/hyperlink" Id="rId84"/>
    <Relationship TargetMode="External" Target="https://www.legis.iowa.gov/docs/iac/rule/701.7.9.pdf" Type="http://schemas.openxmlformats.org/officeDocument/2006/relationships/hyperlink" Id="rId85"/>
    <Relationship TargetMode="External" Target="https://www.legis.iowa.gov/docs/iac/rule/701.201.11.pdf" Type="http://schemas.openxmlformats.org/officeDocument/2006/relationships/hyperlink" Id="rId86"/>
    <Relationship TargetMode="External" Target="https://www.legis.iowa.gov/docs/iac/rule/701.201.10.pdf" Type="http://schemas.openxmlformats.org/officeDocument/2006/relationships/hyperlink" Id="rId87"/>
    <Relationship TargetMode="External" Target="https://www.legis.iowa.gov/docs/iac/rule/701.7.9.pdf" Type="http://schemas.openxmlformats.org/officeDocument/2006/relationships/hyperlink" Id="rId88"/>
    <Relationship TargetMode="External" Target="https://www.legis.iowa.gov/docs/ico/chapter/452A.pdf" Type="http://schemas.openxmlformats.org/officeDocument/2006/relationships/hyperlink" Id="rId89"/>
    <Relationship TargetMode="External" Target="https://www.legis.iowa.gov/docs/ico/chapter/452A.4.pdf" Type="http://schemas.openxmlformats.org/officeDocument/2006/relationships/hyperlink" Id="rId90"/>
    <Relationship TargetMode="External" Target="https://www.legis.iowa.gov/docs/ico/chapter/452A.6.pdf" Type="http://schemas.openxmlformats.org/officeDocument/2006/relationships/hyperlink" Id="rId91"/>
    <Relationship TargetMode="External" Target="https://www.legis.iowa.gov/docs/ico/chapter/452A.4.pdf" Type="http://schemas.openxmlformats.org/officeDocument/2006/relationships/hyperlink" Id="rId92"/>
    <Relationship TargetMode="External" Target="https://www.legis.iowa.gov/docs/ico/chapter/452A.6.pdf" Type="http://schemas.openxmlformats.org/officeDocument/2006/relationships/hyperlink" Id="rId93"/>
    <Relationship TargetMode="External" Target="https://www.legis.iowa.gov/docs/ico/chapter/452A.74.pdf" Type="http://schemas.openxmlformats.org/officeDocument/2006/relationships/hyperlink" Id="rId94"/>
    <Relationship TargetMode="External" Target="https://www.legis.iowa.gov/docs/ico/chapter/452A.68.pdf" Type="http://schemas.openxmlformats.org/officeDocument/2006/relationships/hyperlink" Id="rId95"/>
    <Relationship TargetMode="External" Target="https://www.legis.iowa.gov/docs/ico/chapter/321.1.pdf" Type="http://schemas.openxmlformats.org/officeDocument/2006/relationships/hyperlink" Id="rId96"/>
    <Relationship TargetMode="External" Target="https://www.legis.iowa.gov/docs/ico/chapter/321.1.pdf" Type="http://schemas.openxmlformats.org/officeDocument/2006/relationships/hyperlink" Id="rId97"/>
    <Relationship TargetMode="External" Target="https://www.legis.iowa.gov/docs/ico/chapter/452A.76.pdf" Type="http://schemas.openxmlformats.org/officeDocument/2006/relationships/hyperlink" Id="rId98"/>
    <Relationship TargetMode="External" Target="https://www.legis.iowa.gov/docs/ico/chapter/452A.22.pdf" Type="http://schemas.openxmlformats.org/officeDocument/2006/relationships/hyperlink" Id="rId99"/>
    <Relationship TargetMode="External" Target="https://www.legis.iowa.gov/docs/ico/chapter/452A.2.pdf" Type="http://schemas.openxmlformats.org/officeDocument/2006/relationships/hyperlink" Id="rId100"/>
    <Relationship TargetMode="External" Target="https://www.legis.iowa.gov/docs/ico/chapter/452A.33.pdf" Type="http://schemas.openxmlformats.org/officeDocument/2006/relationships/hyperlink" Id="rId10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