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2505</w:t>
      </w:r>
    </w:p>
    <w:p>
      <w:pPr>
        <w:spacing w:before="0" w:after="0"/>
        <w:ind w:left="120"/>
        <w:jc w:val="center"/>
      </w:pP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6/30/31</w:t>
      </w:r>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record that is not available as a matter of right for examination and copying by members of the public under applicable provisions of law. Confidential records include but are not limited to records or information contained in records that the agency is prohibited by law from making available for examination by members of the public; records or information contained in records that are specified as confidential by Iowa Code section </w:t>
      </w:r>
      <w:hyperlink r:id="rId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99G.34</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123.38A</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and confidential state tax information and federal tax information.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state tax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information that is protected from disclosure by Iowa Code sections </w:t>
      </w:r>
      <w:hyperlink r:id="rId11">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437A.14</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437B.10</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453B.10</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450.68</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Confidential state tax information includes but is not limited to state tax returns and return information. Confidential state tax information does not include FTI. If confidential state tax information is contained in a record, that record may also be considered a confidential record protected by Iowa Code chapter </w:t>
      </w:r>
      <w:hyperlink r:id="rId1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tax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“FTI”</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return or return information received directly from the Internal Revenue Service or obtained through an authorized secondary source acting on behalf of the Internal Revenue Service pursuant to an Internal Revenue Code Section 6103(p)(2)(B) agreement. Copies of tax returns or return information provided to the agency directly by a taxpayer or the taxpayer’s representative, including but not limited to tax returns or return information provided to the agency through electronic filing as defined in </w:t>
      </w:r>
      <w:hyperlink r:id="rId19">
        <w:r>
          <w:rPr>
            <w:rStyle w:val="Hyperlink"/>
            <w:rFonts w:ascii="Times New Roman" w:hAnsi="Times New Roman"/>
            <w:b w:val="false"/>
            <w:i w:val="false"/>
            <w:color w:val="000000"/>
            <w:sz w:val="22"/>
          </w:rPr>
          <w:t>701—subrule 8.5(1)</w:t>
        </w:r>
      </w:hyperlink>
      <w:r>
        <w:rPr>
          <w:rFonts w:ascii="Times New Roman" w:hAnsi="Times New Roman"/>
          <w:b w:val="false"/>
          <w:i w:val="false"/>
          <w:color w:val="000000"/>
          <w:sz w:val="22"/>
        </w:rPr>
        <w:t>, or obtained from public information files (e.g., federal tax liens on file with the county clerk, Offers in Compromise available for public inspection, and court records) are not considered FTI.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“Lawful 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agency, the director of revenue, the agency’s public information officer, or a person lawfully delegated authority by the agency to act for the agency in implementing Iowa Code chapter </w:t>
      </w:r>
      <w:hyperlink r:id="rId2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information about or pertaining to an individual in a record that identifies the individual and that is contained in a record system. The term “personally identifiable information” includes “personal information” as defined in Iowa Code section </w:t>
      </w:r>
      <w:hyperlink r:id="rId21">
        <w:r>
          <w:rPr>
            <w:rStyle w:val="Hyperlink"/>
            <w:rFonts w:ascii="Times New Roman" w:hAnsi="Times New Roman"/>
            <w:b w:val="false"/>
            <w:i w:val="false"/>
            <w:color w:val="000000"/>
            <w:sz w:val="22"/>
          </w:rPr>
          <w:t>715C.1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control of the agency from which a record may be retrieved by a personal identifier, such as the name of an individual, number, symbol, or other unique retriever assigned to an individual. A record system is a “system” as defined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“Routine 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disclosure of a record without the consent of the subject or subjects, for a purpose that is compatible with the purpose for which the record was collected. “Routine use” includes disclosures required by statute other than the public records laws codified at Iowa Code chapter </w:t>
      </w:r>
      <w:hyperlink r:id="rId2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“System”</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Computer hardware or software;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Computerized processes and procedures;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Noncomputerized processes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 administration”</w:t>
      </w:r>
      <w:r>
        <w:rPr>
          <w:rFonts w:ascii="Times New Roman" w:hAnsi="Times New Roman"/>
          <w:b w:val="false"/>
          <w:i w:val="false"/>
          <w:color w:val="000000"/>
          <w:sz w:val="22"/>
        </w:rPr>
        <w:t> </w:t>
      </w:r>
      <w:r>
        <w:rPr>
          <w:rFonts w:ascii="Times New Roman" w:hAnsi="Times New Roman"/>
          <w:b w:val="false"/>
          <w:i w:val="false"/>
          <w:color w:val="000000"/>
          <w:sz w:val="22"/>
        </w:rPr>
        <w:t>means the administration, management, conduct, direction, and supervision of the execution and application of the state tax laws; means the development and formulation of state tax policy; and includes assessment, collection, enforcement, litigation, publication, and statistical gathering functions.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Requests for public records. </w:t>
      </w:r>
      <w:r>
        <w:rPr>
          <w:rFonts w:ascii="Times New Roman" w:hAnsi="Times New Roman"/>
          <w:b w:val="false"/>
          <w:i w:val="false"/>
          <w:color w:val="000000"/>
          <w:sz w:val="22"/>
        </w:rPr>
        <w:t>Requests for access to public records maintained by the agency shall be made, whenever possible, by email. Otherwise, requests can be made in writing, in person, by telephone using the agency’s telephone number, or through other electronic means made available by the agency. Requests should identify the particular public records sought by name or description in order to facilitate identification of relevant public records. Requests should include the name, address, email, and telephone number of the person requesting the information. A member of the public need not give a reason for requesting public records. For public records requests that involve searches of electronic stores of information, the agency may condition the search on the requester providing search terms for the 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Requests for confidential records. </w:t>
      </w:r>
      <w:r>
        <w:rPr>
          <w:rFonts w:ascii="Times New Roman" w:hAnsi="Times New Roman"/>
          <w:b w:val="false"/>
          <w:i w:val="false"/>
          <w:color w:val="000000"/>
          <w:sz w:val="22"/>
        </w:rPr>
        <w:t xml:space="preserve">Requests for access to confidential records maintained by the agency shall be made in the same manner as paragraph </w:t>
      </w:r>
      <w:hyperlink r:id="rId23">
        <w:r>
          <w:rPr>
            <w:rStyle w:val="Hyperlink"/>
            <w:rFonts w:ascii="Times New Roman" w:hAnsi="Times New Roman"/>
            <w:b w:val="false"/>
            <w:i w:val="false"/>
            <w:color w:val="000000"/>
            <w:sz w:val="22"/>
          </w:rPr>
          <w:t>2505.3(3)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agency may require the requester to provide additional documentation, including but not limited to proof of identity and authority to secure access to the record. The agency may also require the requester to sign a certified statement or affidavit listing the specific reasons justifying access to the record and provide any proof necessary to establish relevant facts.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701—2505.4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2505.4(8)</w:t>
      </w:r>
      <w:r>
        <w:rPr>
          <w:rFonts w:ascii="Times New Roman" w:hAnsi="Times New Roman"/>
          <w:b w:val="false"/>
          <w:i w:val="false"/>
          <w:color w:val="000000"/>
          <w:sz w:val="22"/>
        </w:rPr>
        <w:t> </w:t>
      </w:r>
      <w:r>
        <w:rPr>
          <w:rFonts w:ascii="Times New Roman" w:hAnsi="Times New Roman"/>
          <w:b w:val="false"/>
          <w:i/>
          <w:color w:val="000000"/>
          <w:sz w:val="22"/>
        </w:rPr>
        <w:t xml:space="preserve">Requesting a copy of a return. </w:t>
      </w:r>
      <w:r>
        <w:rPr>
          <w:rFonts w:ascii="Times New Roman" w:hAnsi="Times New Roman"/>
          <w:b w:val="false"/>
          <w:i w:val="false"/>
          <w:color w:val="000000"/>
          <w:sz w:val="22"/>
        </w:rPr>
        <w:t>A taxpayer requesting a copy of the taxpayer’s own tax return must do so via GovConnectIowa. There will be a $5 charge for each return requested. Payment will be received prior to release of the return.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701—2505.7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2505.7(1)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w:t>
      </w:r>
      <w:r>
        <w:rPr>
          <w:rFonts w:ascii="Times New Roman" w:hAnsi="Times New Roman"/>
          <w:b w:val="false"/>
          <w:i w:val="false"/>
          <w:color w:val="000000"/>
          <w:sz w:val="22"/>
        </w:rPr>
        <w:t xml:space="preserve">To the extent permitted by law, the subject may consent in writing to agency disclosure of confidential records as provided in rules </w:t>
      </w:r>
      <w:hyperlink r:id="rId24">
        <w:r>
          <w:rPr>
            <w:rStyle w:val="Hyperlink"/>
            <w:rFonts w:ascii="Times New Roman" w:hAnsi="Times New Roman"/>
            <w:b w:val="false"/>
            <w:i w:val="false"/>
            <w:color w:val="000000"/>
            <w:sz w:val="22"/>
          </w:rPr>
          <w:t>701—2505.9</w:t>
        </w:r>
      </w:hyperlink>
      <w:r>
        <w:rPr>
          <w:rFonts w:ascii="Times New Roman" w:hAnsi="Times New Roman"/>
          <w:b w:val="false"/>
          <w:i w:val="false"/>
          <w:color w:val="000000"/>
          <w:sz w:val="22"/>
        </w:rPr>
        <w:t xml:space="preserve">(17A,22,99G,123,421-453E) and </w:t>
      </w:r>
      <w:hyperlink r:id="rId25">
        <w:r>
          <w:rPr>
            <w:rStyle w:val="Hyperlink"/>
            <w:rFonts w:ascii="Times New Roman" w:hAnsi="Times New Roman"/>
            <w:b w:val="false"/>
            <w:i w:val="false"/>
            <w:color w:val="000000"/>
            <w:sz w:val="22"/>
          </w:rPr>
          <w:t>701—2507.6</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2505.7(2)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not an authorization—separate authorization required. </w:t>
      </w:r>
      <w:r>
        <w:rPr>
          <w:rFonts w:ascii="Times New Roman" w:hAnsi="Times New Roman"/>
          <w:b w:val="false"/>
          <w:i w:val="false"/>
          <w:color w:val="000000"/>
          <w:sz w:val="22"/>
        </w:rPr>
        <w:t xml:space="preserve">A letter from the subject of a confidential record to a public official that seeks the official’s intervention on behalf of the subject in a matter that involves the agency is not, to the extent permitted by law, treated as an authorization to release sufficient information about the subject to the official to resolve the matter. The subject of a confidential record filing a complaint needs to submit a disclosure authorization as provided in rules </w:t>
      </w:r>
      <w:hyperlink r:id="rId26">
        <w:r>
          <w:rPr>
            <w:rStyle w:val="Hyperlink"/>
            <w:rFonts w:ascii="Times New Roman" w:hAnsi="Times New Roman"/>
            <w:b w:val="false"/>
            <w:i w:val="false"/>
            <w:color w:val="000000"/>
            <w:sz w:val="22"/>
          </w:rPr>
          <w:t>701—2505.9</w:t>
        </w:r>
      </w:hyperlink>
      <w:r>
        <w:rPr>
          <w:rFonts w:ascii="Times New Roman" w:hAnsi="Times New Roman"/>
          <w:b w:val="false"/>
          <w:i w:val="false"/>
          <w:color w:val="000000"/>
          <w:sz w:val="22"/>
        </w:rPr>
        <w:t xml:space="preserve">(17A,22,99G,123,421-453E) and </w:t>
      </w:r>
      <w:hyperlink r:id="rId27">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701—2505.9</w:t>
      </w:r>
      <w:r>
        <w:rPr>
          <w:rFonts w:ascii="Times New Roman" w:hAnsi="Times New Roman"/>
          <w:b/>
          <w:i w:val="false"/>
          <w:color w:val="000000"/>
          <w:sz w:val="22"/>
        </w:rPr>
        <w:t xml:space="preserve">(17A,22,99G,123,421-453E) </w:t>
      </w:r>
      <w:r>
        <w:rPr>
          <w:rFonts w:ascii="Times New Roman" w:hAnsi="Times New Roman"/>
          <w:b/>
          <w:i w:val="false"/>
          <w:color w:val="000000"/>
          <w:sz w:val="22"/>
        </w:rPr>
        <w:t xml:space="preserve">Tax information disclosure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2505.9(1)</w:t>
      </w:r>
      <w:r>
        <w:rPr>
          <w:rFonts w:ascii="Times New Roman" w:hAnsi="Times New Roman"/>
          <w:b w:val="false"/>
          <w:i w:val="false"/>
          <w:color w:val="000000"/>
          <w:sz w:val="22"/>
        </w:rPr>
        <w:t> </w:t>
      </w:r>
      <w:r>
        <w:rPr>
          <w:rFonts w:ascii="Times New Roman" w:hAnsi="Times New Roman"/>
          <w:b w:val="false"/>
          <w:i/>
          <w:color w:val="000000"/>
          <w:sz w:val="22"/>
        </w:rPr>
        <w:t xml:space="preserve">Powers authorized. </w:t>
      </w:r>
      <w:r>
        <w:rPr>
          <w:rFonts w:ascii="Times New Roman" w:hAnsi="Times New Roman"/>
          <w:b w:val="false"/>
          <w:i w:val="false"/>
          <w:color w:val="000000"/>
          <w:sz w:val="22"/>
        </w:rPr>
        <w:t xml:space="preserve">A taxpayer may designate an individual to receive, inspect, and discuss the taxpayer’s confidential state tax information from the agency. Such designation does not authorize the designee to act or authorize any action on the taxpayer’s behalf in any way other than to receive information and communicate with the agency. Information about transfers of decision-making authority is contained in Iowa Code section </w:t>
      </w:r>
      <w:hyperlink r:id="rId28">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and rule </w:t>
      </w:r>
      <w:hyperlink r:id="rId29">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2505.9(2)</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tax information disclosure designation form. </w:t>
      </w:r>
      <w:r>
        <w:rPr>
          <w:rFonts w:ascii="Times New Roman" w:hAnsi="Times New Roman"/>
          <w:b w:val="false"/>
          <w:i w:val="false"/>
          <w:color w:val="000000"/>
          <w:sz w:val="22"/>
        </w:rPr>
        <w:t>A taxpayer must use the agency’s tax information disclosure designation form, or other designated method authorized by the agency, to designate an individual to receive, inspect, and discuss confidential state tax information. A tax information disclosure designation form must contain the following information to be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Legal name and address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number of the taxpayer (e.g., social security number (SSN), federal identification number (FEIN), or any federal- or Iowa-issued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designee’s name, mailing address, and identification number (e.g., preparer’s tax identification number (PTIN), FEIN, SSN, individual taxpayer identification number (ITIN), or Iowa department of revenue-issued account number (IAN)). In lieu of a designee’s identification number, a taxpayer may indicate that an IAN is being requested for the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of the matter(s) for which disclosure is authorized,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of tax(es) involved or an indication that all tax types are within the scope of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year(s) or period(s) involved or an indication that the scope is unlimited (not to exceed three years into the future beyond the signature date);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Business tax permit number or an indication that all tax types are within the scope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clear expression of the taxpayer’s intention concerning any restrictions to the scope of authority granted to the recognized representative(s) as provided in subrule </w:t>
      </w:r>
      <w:hyperlink r:id="rId30">
        <w:r>
          <w:rPr>
            <w:rStyle w:val="Hyperlink"/>
            <w:rFonts w:ascii="Times New Roman" w:hAnsi="Times New Roman"/>
            <w:b w:val="false"/>
            <w:i w:val="false"/>
            <w:color w:val="000000"/>
            <w:sz w:val="22"/>
          </w:rPr>
          <w:t>2505.9(1)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authorized signature of an individual listed in subrule </w:t>
      </w:r>
      <w:hyperlink r:id="rId31">
        <w:r>
          <w:rPr>
            <w:rStyle w:val="Hyperlink"/>
            <w:rFonts w:ascii="Times New Roman" w:hAnsi="Times New Roman"/>
            <w:b w:val="false"/>
            <w:i w:val="false"/>
            <w:color w:val="000000"/>
            <w:sz w:val="22"/>
          </w:rPr>
          <w:t>2505.9(4)</w:t>
        </w:r>
      </w:hyperlink>
      <w:r>
        <w:rPr>
          <w:rFonts w:ascii="Times New Roman" w:hAnsi="Times New Roman"/>
          <w:b w:val="false"/>
          <w:i w:val="false"/>
          <w:color w:val="000000"/>
          <w:sz w:val="22"/>
        </w:rPr>
        <w:t xml:space="preserve"> meeting the requirements of rule </w:t>
      </w:r>
      <w:hyperlink r:id="rId32">
        <w:r>
          <w:rPr>
            <w:rStyle w:val="Hyperlink"/>
            <w:rFonts w:ascii="Times New Roman" w:hAnsi="Times New Roman"/>
            <w:b w:val="false"/>
            <w:i w:val="false"/>
            <w:color w:val="000000"/>
            <w:sz w:val="22"/>
          </w:rPr>
          <w:t>701—8.2</w:t>
        </w:r>
      </w:hyperlink>
      <w:r>
        <w:rPr>
          <w:rFonts w:ascii="Times New Roman" w:hAnsi="Times New Roman"/>
          <w:b w:val="false"/>
          <w:i w:val="false"/>
          <w:color w:val="000000"/>
          <w:sz w:val="22"/>
        </w:rPr>
        <w:t>(421);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required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2505.9(3)</w:t>
      </w:r>
      <w:r>
        <w:rPr>
          <w:rFonts w:ascii="Times New Roman" w:hAnsi="Times New Roman"/>
          <w:b w:val="false"/>
          <w:i w:val="false"/>
          <w:color w:val="000000"/>
          <w:sz w:val="22"/>
        </w:rPr>
        <w:t> </w:t>
      </w:r>
      <w:r>
        <w:rPr>
          <w:rFonts w:ascii="Times New Roman" w:hAnsi="Times New Roman"/>
          <w:b w:val="false"/>
          <w:i/>
          <w:color w:val="000000"/>
          <w:sz w:val="22"/>
        </w:rPr>
        <w:t xml:space="preserve">Authorization period for a tax information disclosure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tax information disclosure designation may not be used to authorize disclosure for tax periods that end more than three years after the date on which the tax information disclosure designation is signed by the taxpayer. A tax information disclosure designation may concern an unlimited number of tax periods that have ended prior to the date on which the tax information disclosure designation is received by the agency; however, tax periods must be stated if the intention is to limit the periods. If the tax periods section is left blank, all tax periods, including those ending up to three years in the future,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tax information disclosure designation continues to be effective for tax periods as defined in paragraph </w:t>
      </w:r>
      <w:hyperlink r:id="rId33">
        <w:r>
          <w:rPr>
            <w:rStyle w:val="Hyperlink"/>
            <w:rFonts w:ascii="Times New Roman" w:hAnsi="Times New Roman"/>
            <w:b w:val="false"/>
            <w:i w:val="false"/>
            <w:color w:val="000000"/>
            <w:sz w:val="22"/>
          </w:rPr>
          <w:t>2505.9(3)</w:t>
        </w:r>
      </w:hyperlink>
      <w:r>
        <w:rPr>
          <w:rFonts w:ascii="Times New Roman" w:hAnsi="Times New Roman"/>
          <w:b w:val="false"/>
          <w:i/>
          <w:color w:val="000000"/>
          <w:sz w:val="22"/>
        </w:rPr>
        <w:t>“a”</w:t>
      </w:r>
      <w:r>
        <w:rPr>
          <w:rFonts w:ascii="Times New Roman" w:hAnsi="Times New Roman"/>
          <w:b w:val="false"/>
          <w:i w:val="false"/>
          <w:color w:val="000000"/>
          <w:sz w:val="22"/>
        </w:rPr>
        <w:t xml:space="preserve"> until revocation by the taxpayer; incapacity of the taxpayer; death of the taxpayer; or withdrawal, death, or incapacity of the tax information disclosure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2505.9(4)</w:t>
      </w:r>
      <w:r>
        <w:rPr>
          <w:rFonts w:ascii="Times New Roman" w:hAnsi="Times New Roman"/>
          <w:b w:val="false"/>
          <w:i w:val="false"/>
          <w:color w:val="000000"/>
          <w:sz w:val="22"/>
        </w:rPr>
        <w:t> </w:t>
      </w:r>
      <w:r>
        <w:rPr>
          <w:rFonts w:ascii="Times New Roman" w:hAnsi="Times New Roman"/>
          <w:b w:val="false"/>
          <w:i/>
          <w:color w:val="000000"/>
          <w:sz w:val="22"/>
        </w:rPr>
        <w:t xml:space="preserve">Individuals who may execute a tax information disclosure designation. </w:t>
      </w:r>
      <w:r>
        <w:rPr>
          <w:rFonts w:ascii="Times New Roman" w:hAnsi="Times New Roman"/>
          <w:b w:val="false"/>
          <w:i w:val="false"/>
          <w:color w:val="000000"/>
          <w:sz w:val="22"/>
        </w:rPr>
        <w:t>The individual(s) who may execute a tax information disclosure designation depends on the type of taxpayer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In matters involving an individual taxpayer, a tax information disclosure designation must be signed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Joint or combined returns. </w:t>
      </w:r>
      <w:r>
        <w:rPr>
          <w:rFonts w:ascii="Times New Roman" w:hAnsi="Times New Roman"/>
          <w:b w:val="false"/>
          <w:i w:val="false"/>
          <w:color w:val="000000"/>
          <w:sz w:val="22"/>
        </w:rPr>
        <w:t>In matters involving a joint return or married taxpayers who have elected to file separately on a combined return, each taxpayer must complete and submit a tax information disclosure designation form for the joint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Third parties. </w:t>
      </w:r>
      <w:r>
        <w:rPr>
          <w:rFonts w:ascii="Times New Roman" w:hAnsi="Times New Roman"/>
          <w:b w:val="false"/>
          <w:i w:val="false"/>
          <w:color w:val="000000"/>
          <w:sz w:val="22"/>
        </w:rPr>
        <w:t xml:space="preserve">The tax information disclosure designation form may be signed by an individual who has been authorized to act on behalf of the taxpayer under Iowa Code section </w:t>
      </w:r>
      <w:hyperlink r:id="rId34">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2505.9(5)</w:t>
      </w:r>
      <w:r>
        <w:rPr>
          <w:rFonts w:ascii="Times New Roman" w:hAnsi="Times New Roman"/>
          <w:b w:val="false"/>
          <w:i w:val="false"/>
          <w:color w:val="000000"/>
          <w:sz w:val="22"/>
        </w:rPr>
        <w:t> </w:t>
      </w:r>
      <w:r>
        <w:rPr>
          <w:rFonts w:ascii="Times New Roman" w:hAnsi="Times New Roman"/>
          <w:b w:val="false"/>
          <w:i/>
          <w:color w:val="000000"/>
          <w:sz w:val="22"/>
        </w:rPr>
        <w:t xml:space="preserve">Revocation and withdrawal.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Revocation by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written statement. By filing a statement of revocation with the agency, a taxpayer may revoke a tax information disclosure designation without authorizing a new representative. The statement of revocation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identification number of the taxpayer (e.g., SSN, FEIN, or any federal- or Iowa-issued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address, and identification number (e.g., PTIN, FEIN, SSN, ITIN, or IAN) of the designee whose designation is to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clear statement to revoke the designee’s disclosure designation;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Signature of an authorized signatory as described in subrule </w:t>
      </w:r>
      <w:hyperlink r:id="rId35">
        <w:r>
          <w:rPr>
            <w:rStyle w:val="Hyperlink"/>
            <w:rFonts w:ascii="Times New Roman" w:hAnsi="Times New Roman"/>
            <w:b w:val="false"/>
            <w:i w:val="false"/>
            <w:color w:val="000000"/>
            <w:sz w:val="22"/>
          </w:rPr>
          <w:t>2505.9(4)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automatically revoke. A new tax information disclosure designation for a particular tax type(s) and tax period(s) does not revoke a prior tax information disclosure designation for any tax type(s) and tax period(s) unless the taxpayer has indicated in a written submission to the agency that a prior tax information disclosure designation is to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Withdrawal by the designee. </w:t>
      </w:r>
      <w:r>
        <w:rPr>
          <w:rFonts w:ascii="Times New Roman" w:hAnsi="Times New Roman"/>
          <w:b w:val="false"/>
          <w:i w:val="false"/>
          <w:color w:val="000000"/>
          <w:sz w:val="22"/>
        </w:rPr>
        <w:t>By filing a statement with the agency, a designee may withdraw from the designation in a matter in which a tax information disclosure designation has been filed. The statement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identification number of the taxpayer (e.g., SSN, FEIN, or any federal- or Iowa-issued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address, and tax identification number (e.g., PTIN, FEIN, SSN, ITIN, or IAN) of the designee whose designation is to be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clear statement that the designee wishes to withdraw;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Signature of withdrawing designee and signature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2505.9(6)</w:t>
      </w:r>
      <w:r>
        <w:rPr>
          <w:rFonts w:ascii="Times New Roman" w:hAnsi="Times New Roman"/>
          <w:b w:val="false"/>
          <w:i w:val="false"/>
          <w:color w:val="000000"/>
          <w:sz w:val="22"/>
        </w:rPr>
        <w:t> </w:t>
      </w:r>
      <w:r>
        <w:rPr>
          <w:rFonts w:ascii="Times New Roman" w:hAnsi="Times New Roman"/>
          <w:b w:val="false"/>
          <w:i/>
          <w:color w:val="000000"/>
          <w:sz w:val="22"/>
        </w:rPr>
        <w:t xml:space="preserve">Submitting a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Submit separately. </w:t>
      </w:r>
      <w:r>
        <w:rPr>
          <w:rFonts w:ascii="Times New Roman" w:hAnsi="Times New Roman"/>
          <w:b w:val="false"/>
          <w:i w:val="false"/>
          <w:color w:val="000000"/>
          <w:sz w:val="22"/>
        </w:rPr>
        <w:t xml:space="preserve">A tax information disclosure designation form may not be submitted as an attachment to a tax return, except as provided by these rules. A tax information disclosure designation form must be submitted separately to the agency in accordance with the submission instructions on the form. However, the agency may, at its discretion, provide a method for authorizing disclosure on the face of a tax return as defined in Iowa Code section </w:t>
      </w:r>
      <w:hyperlink r:id="rId36">
        <w:r>
          <w:rPr>
            <w:rStyle w:val="Hyperlink"/>
            <w:rFonts w:ascii="Times New Roman" w:hAnsi="Times New Roman"/>
            <w:b w:val="false"/>
            <w:i w:val="false"/>
            <w:color w:val="000000"/>
            <w:sz w:val="22"/>
          </w:rPr>
          <w:t>421.6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Original or electronic forms accepted. </w:t>
      </w:r>
      <w:r>
        <w:rPr>
          <w:rFonts w:ascii="Times New Roman" w:hAnsi="Times New Roman"/>
          <w:b w:val="false"/>
          <w:i w:val="false"/>
          <w:color w:val="000000"/>
          <w:sz w:val="22"/>
        </w:rPr>
        <w:t xml:space="preserve">The agency will accept either the original, a copy, or an electronically scanned and transmitted form. A copy received by facsimile transmission (fax) or email will be accepted. All forms, whether original copy, received via fax, or electronically scanned and transmitted forms, must include a valid signature meeting the requirements of rule </w:t>
      </w:r>
      <w:hyperlink r:id="rId37">
        <w:r>
          <w:rPr>
            <w:rStyle w:val="Hyperlink"/>
            <w:rFonts w:ascii="Times New Roman" w:hAnsi="Times New Roman"/>
            <w:b w:val="false"/>
            <w:i w:val="false"/>
            <w:color w:val="000000"/>
            <w:sz w:val="22"/>
          </w:rPr>
          <w:t>701—8.2</w:t>
        </w:r>
      </w:hyperlink>
      <w:r>
        <w:rPr>
          <w:rFonts w:ascii="Times New Roman" w:hAnsi="Times New Roman"/>
          <w:b w:val="false"/>
          <w:i w:val="false"/>
          <w:color w:val="000000"/>
          <w:sz w:val="22"/>
        </w:rPr>
        <w:t>(421) of the taxpayer to be represented.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Timely submission. </w:t>
      </w:r>
      <w:r>
        <w:rPr>
          <w:rFonts w:ascii="Times New Roman" w:hAnsi="Times New Roman"/>
          <w:b w:val="false"/>
          <w:i w:val="false"/>
          <w:color w:val="000000"/>
          <w:sz w:val="22"/>
        </w:rPr>
        <w:t>If the form is not submitted within six months of the date it is signed, it will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Evaluation of documentation provided. </w:t>
      </w:r>
      <w:r>
        <w:rPr>
          <w:rFonts w:ascii="Times New Roman" w:hAnsi="Times New Roman"/>
          <w:b w:val="false"/>
          <w:i w:val="false"/>
          <w:color w:val="000000"/>
          <w:sz w:val="22"/>
        </w:rPr>
        <w:t>The agency will evaluate the tax information disclosure designation form and any additional documentation to confirm authorization. Authorization to receive, inspect, and discuss confidential state tax information from the agency shall only cover those matters and time frames covered by the submitted documentation. The party claiming authorization to receive, inspect, and discuss confidential state tax information from the agency on behalf of a taxpayer shall have the burden to prove, to the satisfaction of the agency, the existence and extent of the claimed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701—2505.10</w:t>
      </w:r>
      <w:r>
        <w:rPr>
          <w:rFonts w:ascii="Times New Roman" w:hAnsi="Times New Roman"/>
          <w:b/>
          <w:i w:val="false"/>
          <w:color w:val="000000"/>
          <w:sz w:val="22"/>
        </w:rPr>
        <w:t xml:space="preserve">(17A,22,99G,123,421-453E) </w:t>
      </w:r>
      <w:r>
        <w:rPr>
          <w:rFonts w:ascii="Times New Roman" w:hAnsi="Times New Roman"/>
          <w:b/>
          <w:i w:val="false"/>
          <w:color w:val="000000"/>
          <w:sz w:val="22"/>
        </w:rPr>
        <w:t xml:space="preserve">Release to subject or owner of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record may request to review the subject’s own records by following the procedures in rules </w:t>
      </w:r>
      <w:hyperlink r:id="rId38">
        <w:r>
          <w:rPr>
            <w:rStyle w:val="Hyperlink"/>
            <w:rFonts w:ascii="Times New Roman" w:hAnsi="Times New Roman"/>
            <w:b w:val="false"/>
            <w:i w:val="false"/>
            <w:color w:val="000000"/>
            <w:sz w:val="22"/>
          </w:rPr>
          <w:t>701—2505.3</w:t>
        </w:r>
      </w:hyperlink>
      <w:r>
        <w:rPr>
          <w:rFonts w:ascii="Times New Roman" w:hAnsi="Times New Roman"/>
          <w:b w:val="false"/>
          <w:i w:val="false"/>
          <w:color w:val="000000"/>
          <w:sz w:val="22"/>
        </w:rPr>
        <w:t xml:space="preserve">(17A,22) and </w:t>
      </w:r>
      <w:hyperlink r:id="rId39">
        <w:r>
          <w:rPr>
            <w:rStyle w:val="Hyperlink"/>
            <w:rFonts w:ascii="Times New Roman" w:hAnsi="Times New Roman"/>
            <w:b w:val="false"/>
            <w:i w:val="false"/>
            <w:color w:val="000000"/>
            <w:sz w:val="22"/>
          </w:rPr>
          <w:t>701—2505.4</w:t>
        </w:r>
      </w:hyperlink>
      <w:r>
        <w:rPr>
          <w:rFonts w:ascii="Times New Roman" w:hAnsi="Times New Roman"/>
          <w:b w:val="false"/>
          <w:i w:val="false"/>
          <w:color w:val="000000"/>
          <w:sz w:val="22"/>
        </w:rPr>
        <w:t>(17A,22).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to the agency that are protected from disclosure under Iowa Code section </w:t>
      </w:r>
      <w:hyperlink r:id="rId4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Such protected communications include responses to questionnaires solicited by the agency that relate to tax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that are a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Peace officers’ investigative reports except when disclosure is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records that may be withheld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2505.10(2)</w:t>
      </w:r>
      <w:r>
        <w:rPr>
          <w:rFonts w:ascii="Times New Roman" w:hAnsi="Times New Roman"/>
          <w:b w:val="false"/>
          <w:i w:val="false"/>
          <w:color w:val="000000"/>
          <w:sz w:val="22"/>
        </w:rPr>
        <w:t> </w:t>
      </w:r>
      <w:r>
        <w:rPr>
          <w:rFonts w:ascii="Times New Roman" w:hAnsi="Times New Roman"/>
          <w:b w:val="false"/>
          <w:i w:val="false"/>
          <w:color w:val="000000"/>
          <w:sz w:val="22"/>
        </w:rPr>
        <w:t>Where a requested record contains information on multiple subjects, the agency may take reasonable steps to protect confidential information relating to the subject or subjects that did not make the request when releasing the record to the requesting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701—2505.11</w:t>
      </w:r>
      <w:r>
        <w:rPr>
          <w:rFonts w:ascii="Times New Roman" w:hAnsi="Times New Roman"/>
          <w:b/>
          <w:i w:val="false"/>
          <w:color w:val="000000"/>
          <w:sz w:val="22"/>
        </w:rPr>
        <w:t xml:space="preserve">(17A,22,99G,123,421-453E) </w:t>
      </w:r>
      <w:r>
        <w:rPr>
          <w:rFonts w:ascii="Times New Roman" w:hAnsi="Times New Roman"/>
          <w:b/>
          <w:i w:val="false"/>
          <w:color w:val="000000"/>
          <w:sz w:val="22"/>
        </w:rPr>
        <w:t xml:space="preserve">Personally identifiable information collected and stored by the department. </w:t>
      </w:r>
      <w:r>
        <w:rPr>
          <w:rFonts w:ascii="Times New Roman" w:hAnsi="Times New Roman"/>
          <w:b w:val="false"/>
          <w:i w:val="false"/>
          <w:color w:val="000000"/>
          <w:sz w:val="22"/>
        </w:rPr>
        <w:t>The department collects and maintains both public records and confidential records that contain personally identifiable information. This rule describes the nature, extent, retrieval, storage, and processing of personally identifiable information within the department’s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2505.11(1)</w:t>
      </w:r>
      <w:r>
        <w:rPr>
          <w:rFonts w:ascii="Times New Roman" w:hAnsi="Times New Roman"/>
          <w:b w:val="false"/>
          <w:i w:val="false"/>
          <w:color w:val="000000"/>
          <w:sz w:val="22"/>
        </w:rPr>
        <w:t> </w:t>
      </w:r>
      <w:r>
        <w:rPr>
          <w:rFonts w:ascii="Times New Roman" w:hAnsi="Times New Roman"/>
          <w:b w:val="false"/>
          <w:i/>
          <w:color w:val="000000"/>
          <w:sz w:val="22"/>
        </w:rPr>
        <w:t xml:space="preserve">Nature and extent. </w:t>
      </w:r>
      <w:r>
        <w:rPr>
          <w:rFonts w:ascii="Times New Roman" w:hAnsi="Times New Roman"/>
          <w:b w:val="false"/>
          <w:i w:val="false"/>
          <w:color w:val="000000"/>
          <w:sz w:val="22"/>
        </w:rPr>
        <w:t>All record systems maintained by the department may contain personally identifiable information concerning matters such as income; property holdings; exchanges; financial transactions; licensing; contested case matters; waivers of rule and declaratory rulings; procurement and leases; bailment shipments; lottery prize claims; lottery sales commission payments; audit and examination; litigation; personnel; and demographic information, such as address and number of dependents.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2505.11(2)</w:t>
      </w:r>
      <w:r>
        <w:rPr>
          <w:rFonts w:ascii="Times New Roman" w:hAnsi="Times New Roman"/>
          <w:b w:val="false"/>
          <w:i w:val="false"/>
          <w:color w:val="000000"/>
          <w:sz w:val="22"/>
        </w:rPr>
        <w:t> </w:t>
      </w:r>
      <w:r>
        <w:rPr>
          <w:rFonts w:ascii="Times New Roman" w:hAnsi="Times New Roman"/>
          <w:b w:val="false"/>
          <w:i/>
          <w:color w:val="000000"/>
          <w:sz w:val="22"/>
        </w:rPr>
        <w:t xml:space="preserve">Retrieval. </w:t>
      </w:r>
      <w:r>
        <w:rPr>
          <w:rFonts w:ascii="Times New Roman" w:hAnsi="Times New Roman"/>
          <w:b w:val="false"/>
          <w:i w:val="false"/>
          <w:color w:val="000000"/>
          <w:sz w:val="22"/>
        </w:rPr>
        <w:t>Personal identifiers are used to retrieve information from any of the record systems that the department maintains that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2505.11(3)</w:t>
      </w:r>
      <w:r>
        <w:rPr>
          <w:rFonts w:ascii="Times New Roman" w:hAnsi="Times New Roman"/>
          <w:b w:val="false"/>
          <w:i w:val="false"/>
          <w:color w:val="000000"/>
          <w:sz w:val="22"/>
        </w:rPr>
        <w:t> </w:t>
      </w:r>
      <w:r>
        <w:rPr>
          <w:rFonts w:ascii="Times New Roman" w:hAnsi="Times New Roman"/>
          <w:b w:val="false"/>
          <w:i/>
          <w:color w:val="000000"/>
          <w:sz w:val="22"/>
        </w:rPr>
        <w:t xml:space="preserve">Means of storage. </w:t>
      </w:r>
      <w:r>
        <w:rPr>
          <w:rFonts w:ascii="Times New Roman" w:hAnsi="Times New Roman"/>
          <w:b w:val="false"/>
          <w:i w:val="false"/>
          <w:color w:val="000000"/>
          <w:sz w:val="22"/>
        </w:rPr>
        <w:t>Paper, microform, and various electronic means of storage are used to store records containing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2505.11(4)</w:t>
      </w:r>
      <w:r>
        <w:rPr>
          <w:rFonts w:ascii="Times New Roman" w:hAnsi="Times New Roman"/>
          <w:b w:val="false"/>
          <w:i w:val="false"/>
          <w:color w:val="000000"/>
          <w:sz w:val="22"/>
        </w:rPr>
        <w:t> </w:t>
      </w:r>
      <w:r>
        <w:rPr>
          <w:rFonts w:ascii="Times New Roman" w:hAnsi="Times New Roman"/>
          <w:b w:val="false"/>
          <w:i/>
          <w:color w:val="000000"/>
          <w:sz w:val="22"/>
        </w:rPr>
        <w:t xml:space="preserve">Comparison. </w:t>
      </w:r>
      <w:r>
        <w:rPr>
          <w:rFonts w:ascii="Times New Roman" w:hAnsi="Times New Roman"/>
          <w:b w:val="false"/>
          <w:i w:val="false"/>
          <w:color w:val="000000"/>
          <w:sz w:val="22"/>
        </w:rPr>
        <w:t>Electronic or manual data processing may be used to match, to collate, or to compare personally identifiable information in one system with personally identifiable information in another system of records or with personally identifiable information within the same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2505.11(5)</w:t>
      </w:r>
      <w:r>
        <w:rPr>
          <w:rFonts w:ascii="Times New Roman" w:hAnsi="Times New Roman"/>
          <w:b w:val="false"/>
          <w:i w:val="false"/>
          <w:color w:val="000000"/>
          <w:sz w:val="22"/>
        </w:rPr>
        <w:t> </w:t>
      </w:r>
      <w:r>
        <w:rPr>
          <w:rFonts w:ascii="Times New Roman" w:hAnsi="Times New Roman"/>
          <w:b w:val="false"/>
          <w:i/>
          <w:color w:val="000000"/>
          <w:sz w:val="22"/>
        </w:rPr>
        <w:t xml:space="preserve">Comparison with data from outside the department. </w:t>
      </w:r>
      <w:r>
        <w:rPr>
          <w:rFonts w:ascii="Times New Roman" w:hAnsi="Times New Roman"/>
          <w:b w:val="false"/>
          <w:i w:val="false"/>
          <w:color w:val="000000"/>
          <w:sz w:val="22"/>
        </w:rPr>
        <w:t>Personally identifiable information in systems of records maintained by the department may be compared with information from outside the department when specified by law. Permitted comparisons include but are not limited to comparisons for the purpose of setoffs.</w:t>
      </w:r>
    </w:p>
    <w:p>
      <w:pPr>
        <w:spacing w:before="0" w:after="0"/>
        <w:ind w:left="120"/>
        <w:jc w:val="both"/>
      </w:pPr>
      <w:r>
        <w:rPr>
          <w:rFonts w:ascii="Times New Roman" w:hAnsi="Times New Roman"/>
          <w:b/>
          <w:i w:val="false"/>
          <w:color w:val="000000"/>
          <w:sz w:val="22"/>
        </w:rPr>
        <w:t>2505.11(6)</w:t>
      </w:r>
      <w:r>
        <w:rPr>
          <w:rFonts w:ascii="Times New Roman" w:hAnsi="Times New Roman"/>
          <w:b w:val="false"/>
          <w:i w:val="false"/>
          <w:color w:val="000000"/>
          <w:sz w:val="22"/>
        </w:rPr>
        <w:t> </w:t>
      </w:r>
      <w:r>
        <w:rPr>
          <w:rFonts w:ascii="Times New Roman" w:hAnsi="Times New Roman"/>
          <w:b w:val="false"/>
          <w:i/>
          <w:color w:val="000000"/>
          <w:sz w:val="22"/>
        </w:rPr>
        <w:t xml:space="preserve">Records containing personally identifiable information.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Personally identifiable information is collected from documents, returns, and any other record filed with the department, as well as from outside sources, including state and federal agencies. Authority to collect this information is found throughout Iowa Code chapters </w:t>
      </w:r>
      <w:hyperlink r:id="rId41">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as well as Title X of the Iowa Code. The chart below describes department records that contain personally identifiable information and identifies which records are public records, confidential records, partially open records or partially confidential records. A single record may contain information from several categories in the chart. This information is compiled for the purposes of Iowa Code section </w:t>
      </w:r>
      <w:hyperlink r:id="rId45">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tbl>
      <w:tblPr>
        <w:tblW w:w="0" w:type="auto"/>
        <w:tblCellSpacing w:w="0" w:type="auto"/>
        <w:tblBorders>
          <w:top w:val="none"/>
          <w:left w:val="none"/>
          <w:bottom w:val="none"/>
          <w:right w:val="none"/>
          <w:insideH w:val="none"/>
          <w:insideV w:val="none"/>
        </w:tblBorders>
        <w:tblLayout w:type="fixed"/>
      </w:tblPr>
      <w:tblGrid>
        <w:gridCol w:w="1920"/>
        <w:gridCol w:w="7680"/>
      </w:tblGrid>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Code</w:t>
            </w:r>
          </w:p>
        </w:tc>
        <w:tc>
          <w:tcPr>
            <w:tcW w:w="7680"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Meaning</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w:t>
            </w:r>
          </w:p>
        </w:tc>
        <w:tc>
          <w:tcPr>
            <w:tcW w:w="76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records are open for public inspection.</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76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records are confidential and are not open to public inspection.</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76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record is partly open and partly confidential.</w:t>
            </w:r>
          </w:p>
        </w:tc>
      </w:tr>
    </w:tbl>
    <w:tbl>
      <w:tblPr>
        <w:tblW w:w="0" w:type="auto"/>
        <w:tblCellSpacing w:w="0" w:type="auto"/>
        <w:tblBorders>
          <w:top w:val="none"/>
          <w:left w:val="none"/>
          <w:bottom w:val="none"/>
          <w:right w:val="none"/>
          <w:insideH w:val="none"/>
          <w:insideV w:val="none"/>
        </w:tblBorders>
        <w:tblLayout w:type="fixed"/>
      </w:tblPr>
      <w:tblGrid>
        <w:gridCol w:w="4477"/>
        <w:gridCol w:w="895"/>
        <w:gridCol w:w="3580"/>
      </w:tblGrid>
      <w:tr>
        <w:trPr>
          <w:trHeight w:val="345" w:hRule="atLeast"/>
        </w:trPr>
        <w:tc>
          <w:tcPr>
            <w:tcW w:w="4477" w:type="dxa"/>
            <w:tcBorders>
              <w:bottom w:val="single" w:color="000000" w:sz="8"/>
            </w:tcBorders>
            <w:shd w:fill="d0d0d0"/>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Description of Record</w:t>
            </w:r>
          </w:p>
        </w:tc>
        <w:tc>
          <w:tcPr>
            <w:tcW w:w="895" w:type="dxa"/>
            <w:tcBorders>
              <w:bottom w:val="single" w:color="000000" w:sz="8"/>
            </w:tcBorders>
            <w:shd w:fill="d0d0d0"/>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Type of Record</w:t>
            </w:r>
          </w:p>
        </w:tc>
        <w:tc>
          <w:tcPr>
            <w:tcW w:w="3580" w:type="dxa"/>
            <w:tcBorders>
              <w:bottom w:val="single" w:color="000000" w:sz="8"/>
            </w:tcBorders>
            <w:shd w:fill="d0d0d0"/>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Legal Authority for Confidentiality</w:t>
            </w:r>
          </w:p>
        </w:tc>
      </w:tr>
      <w:tr>
        <w:trPr>
          <w:trHeight w:val="51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State tax returns, return information, permit records, tax liability and penalty records, tax policy, tax research records, and all related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Title X, including Iowa Code sections </w:t>
            </w:r>
            <w:hyperlink r:id="rId46">
              <w:r>
                <w:rPr>
                  <w:rStyle w:val="Hyperlink"/>
                  <w:rFonts w:ascii="Times New Roman" w:hAnsi="Times New Roman"/>
                  <w:b w:val="false"/>
                  <w:i w:val="false"/>
                  <w:color w:val="000000"/>
                  <w:sz w:val="14"/>
                </w:rPr>
                <w:t>422.20</w:t>
              </w:r>
            </w:hyperlink>
            <w:r>
              <w:rPr>
                <w:rFonts w:ascii="Times New Roman" w:hAnsi="Times New Roman"/>
                <w:b w:val="false"/>
                <w:i w:val="false"/>
                <w:color w:val="000000"/>
                <w:sz w:val="14"/>
              </w:rPr>
              <w:t xml:space="preserve"> and </w:t>
            </w:r>
            <w:hyperlink r:id="rId47">
              <w:r>
                <w:rPr>
                  <w:rStyle w:val="Hyperlink"/>
                  <w:rFonts w:ascii="Times New Roman" w:hAnsi="Times New Roman"/>
                  <w:b w:val="false"/>
                  <w:i w:val="false"/>
                  <w:color w:val="000000"/>
                  <w:sz w:val="14"/>
                </w:rPr>
                <w:t>422.72</w:t>
              </w:r>
            </w:hyperlink>
          </w:p>
        </w:tc>
      </w:tr>
      <w:tr>
        <w:trPr>
          <w:trHeight w:val="51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Nontax collection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Title X, including Iowa Code sections </w:t>
            </w:r>
            <w:hyperlink r:id="rId48">
              <w:r>
                <w:rPr>
                  <w:rStyle w:val="Hyperlink"/>
                  <w:rFonts w:ascii="Times New Roman" w:hAnsi="Times New Roman"/>
                  <w:b w:val="false"/>
                  <w:i w:val="false"/>
                  <w:color w:val="000000"/>
                  <w:sz w:val="14"/>
                </w:rPr>
                <w:t>422.20</w:t>
              </w:r>
            </w:hyperlink>
            <w:r>
              <w:rPr>
                <w:rFonts w:ascii="Times New Roman" w:hAnsi="Times New Roman"/>
                <w:b w:val="false"/>
                <w:i w:val="false"/>
                <w:color w:val="000000"/>
                <w:sz w:val="14"/>
              </w:rPr>
              <w:t xml:space="preserve"> and </w:t>
            </w:r>
            <w:hyperlink r:id="rId49">
              <w:r>
                <w:rPr>
                  <w:rStyle w:val="Hyperlink"/>
                  <w:rFonts w:ascii="Times New Roman" w:hAnsi="Times New Roman"/>
                  <w:b w:val="false"/>
                  <w:i w:val="false"/>
                  <w:color w:val="000000"/>
                  <w:sz w:val="14"/>
                </w:rPr>
                <w:t>422.72</w:t>
              </w:r>
            </w:hyperlink>
            <w:r>
              <w:rPr>
                <w:rFonts w:ascii="Times New Roman" w:hAnsi="Times New Roman"/>
                <w:b w:val="false"/>
                <w:i w:val="false"/>
                <w:color w:val="000000"/>
                <w:sz w:val="14"/>
              </w:rPr>
              <w:t>, and contractual authority</w:t>
            </w:r>
          </w:p>
        </w:tc>
      </w:tr>
      <w:tr>
        <w:trPr>
          <w:trHeight w:val="195"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Federal tax returns and return information</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26 U.S.C.</w:t>
            </w:r>
            <w:r>
              <w:rPr>
                <w:rFonts w:ascii="Times New Roman" w:hAnsi="Times New Roman"/>
                <w:b w:val="false"/>
                <w:i w:val="false"/>
                <w:color w:val="000000"/>
                <w:sz w:val="14"/>
              </w:rPr>
              <w:t xml:space="preserve"> Section 6103</w:t>
            </w:r>
          </w:p>
        </w:tc>
      </w:tr>
      <w:tr>
        <w:trPr>
          <w:trHeight w:val="36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Department personnel records, communication records, budget records, and payroll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sections </w:t>
            </w:r>
            <w:hyperlink r:id="rId50">
              <w:r>
                <w:rPr>
                  <w:rStyle w:val="Hyperlink"/>
                  <w:rFonts w:ascii="Times New Roman" w:hAnsi="Times New Roman"/>
                  <w:b w:val="false"/>
                  <w:i w:val="false"/>
                  <w:color w:val="000000"/>
                  <w:sz w:val="14"/>
                </w:rPr>
                <w:t>22.7</w:t>
              </w:r>
            </w:hyperlink>
            <w:r>
              <w:rPr>
                <w:rFonts w:ascii="Times New Roman" w:hAnsi="Times New Roman"/>
                <w:b w:val="false"/>
                <w:i w:val="false"/>
                <w:color w:val="000000"/>
                <w:sz w:val="14"/>
              </w:rPr>
              <w:t xml:space="preserve"> and </w:t>
            </w:r>
            <w:hyperlink r:id="rId51">
              <w:r>
                <w:rPr>
                  <w:rStyle w:val="Hyperlink"/>
                  <w:rFonts w:ascii="Times New Roman" w:hAnsi="Times New Roman"/>
                  <w:b w:val="false"/>
                  <w:i w:val="false"/>
                  <w:color w:val="000000"/>
                  <w:sz w:val="14"/>
                </w:rPr>
                <w:t>99G.34(2)</w:t>
              </w:r>
            </w:hyperlink>
          </w:p>
        </w:tc>
      </w:tr>
      <w:tr>
        <w:trPr>
          <w:trHeight w:val="195"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Minutes of closed meetings of a government body</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52">
              <w:r>
                <w:rPr>
                  <w:rStyle w:val="Hyperlink"/>
                  <w:rFonts w:ascii="Times New Roman" w:hAnsi="Times New Roman"/>
                  <w:b w:val="false"/>
                  <w:i w:val="false"/>
                  <w:color w:val="000000"/>
                  <w:sz w:val="14"/>
                </w:rPr>
                <w:t>21.5(4)</w:t>
              </w:r>
            </w:hyperlink>
          </w:p>
        </w:tc>
      </w:tr>
      <w:tr>
        <w:trPr>
          <w:trHeight w:val="51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Records that constitute attorney work product or attorney-client communications or are otherwise privileged</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53">
              <w:r>
                <w:rPr>
                  <w:rStyle w:val="Hyperlink"/>
                  <w:rFonts w:ascii="Times New Roman" w:hAnsi="Times New Roman"/>
                  <w:b w:val="false"/>
                  <w:i w:val="false"/>
                  <w:color w:val="000000"/>
                  <w:sz w:val="14"/>
                </w:rPr>
                <w:t>22.7(4)</w:t>
              </w:r>
            </w:hyperlink>
            <w:r>
              <w:rPr>
                <w:rFonts w:ascii="Times New Roman" w:hAnsi="Times New Roman"/>
                <w:b w:val="false"/>
                <w:i w:val="false"/>
                <w:color w:val="000000"/>
                <w:sz w:val="14"/>
              </w:rPr>
              <w:t>, Iowa Rule of Civil Procedure 1.503, Federal Rule of Civil Procedure 26(b)(3), and case law</w:t>
            </w:r>
          </w:p>
        </w:tc>
      </w:tr>
      <w:tr>
        <w:trPr>
          <w:trHeight w:val="24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Sealed bids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54">
              <w:r>
                <w:rPr>
                  <w:rStyle w:val="Hyperlink"/>
                  <w:rFonts w:ascii="Times New Roman" w:hAnsi="Times New Roman"/>
                  <w:b w:val="false"/>
                  <w:i w:val="false"/>
                  <w:color w:val="000000"/>
                  <w:sz w:val="14"/>
                </w:rPr>
                <w:t>72.3</w:t>
              </w:r>
            </w:hyperlink>
          </w:p>
        </w:tc>
      </w:tr>
      <w:tr>
        <w:trPr>
          <w:trHeight w:val="21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Final orders, decisions, and opinions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55">
              <w:r>
                <w:rPr>
                  <w:rStyle w:val="Hyperlink"/>
                  <w:rFonts w:ascii="Times New Roman" w:hAnsi="Times New Roman"/>
                  <w:b w:val="false"/>
                  <w:i w:val="false"/>
                  <w:color w:val="000000"/>
                  <w:sz w:val="14"/>
                </w:rPr>
                <w:t>17A.3(1)</w:t>
              </w:r>
            </w:hyperlink>
            <w:r>
              <w:rPr>
                <w:rFonts w:ascii="Times New Roman" w:hAnsi="Times New Roman"/>
                <w:b w:val="false"/>
                <w:i/>
                <w:color w:val="000000"/>
                <w:sz w:val="14"/>
              </w:rPr>
              <w:t>“b”</w:t>
            </w:r>
          </w:p>
        </w:tc>
      </w:tr>
      <w:tr>
        <w:trPr>
          <w:trHeight w:val="36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License and permit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56">
              <w:r>
                <w:rPr>
                  <w:rStyle w:val="Hyperlink"/>
                  <w:rFonts w:ascii="Times New Roman" w:hAnsi="Times New Roman"/>
                  <w:b w:val="false"/>
                  <w:i w:val="false"/>
                  <w:color w:val="000000"/>
                  <w:sz w:val="14"/>
                </w:rPr>
                <w:t>99G.24</w:t>
              </w:r>
            </w:hyperlink>
            <w:r>
              <w:rPr>
                <w:rFonts w:ascii="Times New Roman" w:hAnsi="Times New Roman"/>
                <w:b w:val="false"/>
                <w:i w:val="false"/>
                <w:color w:val="000000"/>
                <w:sz w:val="14"/>
              </w:rPr>
              <w:t xml:space="preserve">, chapter </w:t>
            </w:r>
            <w:hyperlink r:id="rId57">
              <w:r>
                <w:rPr>
                  <w:rStyle w:val="Hyperlink"/>
                  <w:rFonts w:ascii="Times New Roman" w:hAnsi="Times New Roman"/>
                  <w:b w:val="false"/>
                  <w:i w:val="false"/>
                  <w:color w:val="000000"/>
                  <w:sz w:val="14"/>
                </w:rPr>
                <w:t>123</w:t>
              </w:r>
            </w:hyperlink>
            <w:r>
              <w:rPr>
                <w:rFonts w:ascii="Times New Roman" w:hAnsi="Times New Roman"/>
                <w:b w:val="false"/>
                <w:i w:val="false"/>
                <w:color w:val="000000"/>
                <w:sz w:val="14"/>
              </w:rPr>
              <w:t>, and Title X</w:t>
            </w:r>
          </w:p>
        </w:tc>
      </w:tr>
      <w:tr>
        <w:trPr>
          <w:trHeight w:val="36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Investigation, audit, and examination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sections </w:t>
            </w:r>
            <w:hyperlink r:id="rId58">
              <w:r>
                <w:rPr>
                  <w:rStyle w:val="Hyperlink"/>
                  <w:rFonts w:ascii="Times New Roman" w:hAnsi="Times New Roman"/>
                  <w:b w:val="false"/>
                  <w:i w:val="false"/>
                  <w:color w:val="000000"/>
                  <w:sz w:val="14"/>
                </w:rPr>
                <w:t>99G.34(4)</w:t>
              </w:r>
            </w:hyperlink>
            <w:r>
              <w:rPr>
                <w:rFonts w:ascii="Times New Roman" w:hAnsi="Times New Roman"/>
                <w:b w:val="false"/>
                <w:i w:val="false"/>
                <w:color w:val="000000"/>
                <w:sz w:val="14"/>
              </w:rPr>
              <w:t xml:space="preserve">, </w:t>
            </w:r>
            <w:hyperlink r:id="rId59">
              <w:r>
                <w:rPr>
                  <w:rStyle w:val="Hyperlink"/>
                  <w:rFonts w:ascii="Times New Roman" w:hAnsi="Times New Roman"/>
                  <w:b w:val="false"/>
                  <w:i w:val="false"/>
                  <w:color w:val="000000"/>
                  <w:sz w:val="14"/>
                </w:rPr>
                <w:t>99G.35</w:t>
              </w:r>
            </w:hyperlink>
            <w:r>
              <w:rPr>
                <w:rFonts w:ascii="Times New Roman" w:hAnsi="Times New Roman"/>
                <w:b w:val="false"/>
                <w:i w:val="false"/>
                <w:color w:val="000000"/>
                <w:sz w:val="14"/>
              </w:rPr>
              <w:t xml:space="preserve">, </w:t>
            </w:r>
            <w:hyperlink r:id="rId60">
              <w:r>
                <w:rPr>
                  <w:rStyle w:val="Hyperlink"/>
                  <w:rFonts w:ascii="Times New Roman" w:hAnsi="Times New Roman"/>
                  <w:b w:val="false"/>
                  <w:i w:val="false"/>
                  <w:color w:val="000000"/>
                  <w:sz w:val="14"/>
                </w:rPr>
                <w:t>123.38A</w:t>
              </w:r>
            </w:hyperlink>
            <w:r>
              <w:rPr>
                <w:rFonts w:ascii="Times New Roman" w:hAnsi="Times New Roman"/>
                <w:b w:val="false"/>
                <w:i w:val="false"/>
                <w:color w:val="000000"/>
                <w:sz w:val="14"/>
              </w:rPr>
              <w:t xml:space="preserve">, </w:t>
            </w:r>
            <w:hyperlink r:id="rId61">
              <w:r>
                <w:rPr>
                  <w:rStyle w:val="Hyperlink"/>
                  <w:rFonts w:ascii="Times New Roman" w:hAnsi="Times New Roman"/>
                  <w:b w:val="false"/>
                  <w:i w:val="false"/>
                  <w:color w:val="000000"/>
                  <w:sz w:val="14"/>
                </w:rPr>
                <w:t>422.20</w:t>
              </w:r>
            </w:hyperlink>
            <w:r>
              <w:rPr>
                <w:rFonts w:ascii="Times New Roman" w:hAnsi="Times New Roman"/>
                <w:b w:val="false"/>
                <w:i w:val="false"/>
                <w:color w:val="000000"/>
                <w:sz w:val="14"/>
              </w:rPr>
              <w:t xml:space="preserve">, and </w:t>
            </w:r>
            <w:hyperlink r:id="rId62">
              <w:r>
                <w:rPr>
                  <w:rStyle w:val="Hyperlink"/>
                  <w:rFonts w:ascii="Times New Roman" w:hAnsi="Times New Roman"/>
                  <w:b w:val="false"/>
                  <w:i w:val="false"/>
                  <w:color w:val="000000"/>
                  <w:sz w:val="14"/>
                </w:rPr>
                <w:t>422.72</w:t>
              </w:r>
            </w:hyperlink>
          </w:p>
        </w:tc>
      </w:tr>
      <w:tr>
        <w:trPr>
          <w:trHeight w:val="36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Lottery player and winner lists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sections </w:t>
            </w:r>
            <w:hyperlink r:id="rId63">
              <w:r>
                <w:rPr>
                  <w:rStyle w:val="Hyperlink"/>
                  <w:rFonts w:ascii="Times New Roman" w:hAnsi="Times New Roman"/>
                  <w:b w:val="false"/>
                  <w:i w:val="false"/>
                  <w:color w:val="000000"/>
                  <w:sz w:val="14"/>
                </w:rPr>
                <w:t>99G.34(2)</w:t>
              </w:r>
            </w:hyperlink>
            <w:r>
              <w:rPr>
                <w:rFonts w:ascii="Times New Roman" w:hAnsi="Times New Roman"/>
                <w:b w:val="false"/>
                <w:i w:val="false"/>
                <w:color w:val="000000"/>
                <w:sz w:val="14"/>
              </w:rPr>
              <w:t xml:space="preserve">, </w:t>
            </w:r>
            <w:hyperlink r:id="rId64">
              <w:r>
                <w:rPr>
                  <w:rStyle w:val="Hyperlink"/>
                  <w:rFonts w:ascii="Times New Roman" w:hAnsi="Times New Roman"/>
                  <w:b w:val="false"/>
                  <w:i w:val="false"/>
                  <w:color w:val="000000"/>
                  <w:sz w:val="14"/>
                </w:rPr>
                <w:t>99G.34(5)</w:t>
              </w:r>
            </w:hyperlink>
            <w:r>
              <w:rPr>
                <w:rFonts w:ascii="Times New Roman" w:hAnsi="Times New Roman"/>
                <w:b w:val="false"/>
                <w:i w:val="false"/>
                <w:color w:val="000000"/>
                <w:sz w:val="14"/>
              </w:rPr>
              <w:t xml:space="preserve">, and </w:t>
            </w:r>
            <w:hyperlink r:id="rId65">
              <w:r>
                <w:rPr>
                  <w:rStyle w:val="Hyperlink"/>
                  <w:rFonts w:ascii="Times New Roman" w:hAnsi="Times New Roman"/>
                  <w:b w:val="false"/>
                  <w:i w:val="false"/>
                  <w:color w:val="000000"/>
                  <w:sz w:val="14"/>
                </w:rPr>
                <w:t>99G.41(3)</w:t>
              </w:r>
            </w:hyperlink>
          </w:p>
        </w:tc>
      </w:tr>
      <w:tr>
        <w:trPr>
          <w:trHeight w:val="36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Lottery retailer compensation payments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sections </w:t>
            </w:r>
            <w:hyperlink r:id="rId66">
              <w:r>
                <w:rPr>
                  <w:rStyle w:val="Hyperlink"/>
                  <w:rFonts w:ascii="Times New Roman" w:hAnsi="Times New Roman"/>
                  <w:b w:val="false"/>
                  <w:i w:val="false"/>
                  <w:color w:val="000000"/>
                  <w:sz w:val="14"/>
                </w:rPr>
                <w:t>99G.24(2)</w:t>
              </w:r>
            </w:hyperlink>
            <w:r>
              <w:rPr>
                <w:rFonts w:ascii="Times New Roman" w:hAnsi="Times New Roman"/>
                <w:b w:val="false"/>
                <w:i w:val="false"/>
                <w:color w:val="000000"/>
                <w:sz w:val="14"/>
              </w:rPr>
              <w:t xml:space="preserve">, </w:t>
            </w:r>
            <w:hyperlink r:id="rId67">
              <w:r>
                <w:rPr>
                  <w:rStyle w:val="Hyperlink"/>
                  <w:rFonts w:ascii="Times New Roman" w:hAnsi="Times New Roman"/>
                  <w:b w:val="false"/>
                  <w:i w:val="false"/>
                  <w:color w:val="000000"/>
                  <w:sz w:val="14"/>
                </w:rPr>
                <w:t>99G.34(2)</w:t>
              </w:r>
            </w:hyperlink>
            <w:r>
              <w:rPr>
                <w:rFonts w:ascii="Times New Roman" w:hAnsi="Times New Roman"/>
                <w:b w:val="false"/>
                <w:i w:val="false"/>
                <w:color w:val="000000"/>
                <w:sz w:val="14"/>
              </w:rPr>
              <w:t xml:space="preserve">, and </w:t>
            </w:r>
            <w:hyperlink r:id="rId68">
              <w:r>
                <w:rPr>
                  <w:rStyle w:val="Hyperlink"/>
                  <w:rFonts w:ascii="Times New Roman" w:hAnsi="Times New Roman"/>
                  <w:b w:val="false"/>
                  <w:i w:val="false"/>
                  <w:color w:val="000000"/>
                  <w:sz w:val="14"/>
                </w:rPr>
                <w:t>99G.41(5)</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for public records requests may be found in rules </w:t>
      </w:r>
      <w:hyperlink r:id="rId69">
        <w:r>
          <w:rPr>
            <w:rStyle w:val="Hyperlink"/>
            <w:rFonts w:ascii="Times New Roman" w:hAnsi="Times New Roman"/>
            <w:b w:val="false"/>
            <w:i w:val="false"/>
            <w:color w:val="000000"/>
            <w:sz w:val="22"/>
          </w:rPr>
          <w:t>7—2505.3</w:t>
        </w:r>
      </w:hyperlink>
      <w:r>
        <w:rPr>
          <w:rFonts w:ascii="Times New Roman" w:hAnsi="Times New Roman"/>
          <w:b w:val="false"/>
          <w:i w:val="false"/>
          <w:color w:val="000000"/>
          <w:sz w:val="22"/>
        </w:rPr>
        <w:t xml:space="preserve">(17A) and </w:t>
      </w:r>
      <w:hyperlink r:id="rId70">
        <w:r>
          <w:rPr>
            <w:rStyle w:val="Hyperlink"/>
            <w:rFonts w:ascii="Times New Roman" w:hAnsi="Times New Roman"/>
            <w:b w:val="false"/>
            <w:i w:val="false"/>
            <w:color w:val="000000"/>
            <w:sz w:val="22"/>
          </w:rPr>
          <w:t>701—2505.3</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procedure for allowing a person to have additions, dissents, or objections entered in the record will be determined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the confidential record may either request the record independently and give it to the named third party or authorize the third party to request the subject’s confidential information under Iowa Code section </w:t>
      </w:r>
      <w:hyperlink r:id="rId71">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422.20(7)</w:t>
        </w:r>
      </w:hyperlink>
      <w:r>
        <w:rPr>
          <w:rFonts w:ascii="Times New Roman" w:hAnsi="Times New Roman"/>
          <w:b w:val="false"/>
          <w:i w:val="false"/>
          <w:color w:val="000000"/>
          <w:sz w:val="22"/>
        </w:rPr>
        <w:t xml:space="preserve">, or </w:t>
      </w:r>
      <w:hyperlink r:id="rId73">
        <w:r>
          <w:rPr>
            <w:rStyle w:val="Hyperlink"/>
            <w:rFonts w:ascii="Times New Roman" w:hAnsi="Times New Roman"/>
            <w:b w:val="false"/>
            <w:i w:val="false"/>
            <w:color w:val="000000"/>
            <w:sz w:val="22"/>
          </w:rPr>
          <w:t>422.72(9)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utilize information, including confidential information, in executing its duties under the Iowa Code. Subjects of the information will not be notified when the information is used. Persons outside of the department receiving confidential information are held to the same confidentiality standard as departmental employees. Whether information is required or optional will be indicated along with the request for information. Failing to provide required information may result in penalties or interest being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utilizes more than one data processing system, and information is matched between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7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through </w:t>
      </w:r>
      <w:hyperlink r:id="rId79">
        <w:r>
          <w:rPr>
            <w:rStyle w:val="Hyperlink"/>
            <w:rFonts w:ascii="Times New Roman" w:hAnsi="Times New Roman"/>
            <w:b w:val="false"/>
            <w:i w:val="false"/>
            <w:color w:val="000000"/>
            <w:sz w:val="22"/>
          </w:rPr>
          <w:t>453E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0437D, IAB 7/22/26, effective 6/30/26]</w:t>
      </w:r>
    </w:p>
    <w:sectPr>
      <w:footerReference r:id="rId8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99G.34.pdf" Type="http://schemas.openxmlformats.org/officeDocument/2006/relationships/hyperlink" Id="rId9"/>
    <Relationship TargetMode="External" Target="https://www.legis.iowa.gov/docs/ico/chapter/123.38A.pdf" Type="http://schemas.openxmlformats.org/officeDocument/2006/relationships/hyperlink" Id="rId10"/>
    <Relationship TargetMode="External" Target="https://www.legis.iowa.gov/docs/ico/chapter/422.20.pdf" Type="http://schemas.openxmlformats.org/officeDocument/2006/relationships/hyperlink" Id="rId11"/>
    <Relationship TargetMode="External" Target="https://www.legis.iowa.gov/docs/ico/chapter/422.72.pdf" Type="http://schemas.openxmlformats.org/officeDocument/2006/relationships/hyperlink" Id="rId12"/>
    <Relationship TargetMode="External" Target="https://www.legis.iowa.gov/docs/ico/chapter/437A.14.pdf" Type="http://schemas.openxmlformats.org/officeDocument/2006/relationships/hyperlink" Id="rId13"/>
    <Relationship TargetMode="External" Target="https://www.legis.iowa.gov/docs/ico/chapter/437B.10.pdf" Type="http://schemas.openxmlformats.org/officeDocument/2006/relationships/hyperlink" Id="rId14"/>
    <Relationship TargetMode="External" Target="https://www.legis.iowa.gov/docs/ico/chapter/453B.10.pdf" Type="http://schemas.openxmlformats.org/officeDocument/2006/relationships/hyperlink" Id="rId15"/>
    <Relationship TargetMode="External" Target="https://www.legis.iowa.gov/docs/ico/chapter/450.68.pdf" Type="http://schemas.openxmlformats.org/officeDocument/2006/relationships/hyperlink" Id="rId16"/>
    <Relationship TargetMode="External" Target="https://www.legis.iowa.gov/docs/ico/chapter/452A.63.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ac/rule/701.8.5.pdf" Type="http://schemas.openxmlformats.org/officeDocument/2006/relationships/hyperlink" Id="rId19"/>
    <Relationship TargetMode="External" Target="https://www.legis.iowa.gov/docs/ico/chapter/22.pdf" Type="http://schemas.openxmlformats.org/officeDocument/2006/relationships/hyperlink" Id="rId20"/>
    <Relationship TargetMode="External" Target="https://www.legis.iowa.gov/docs/ico/chapter/715C.1.pdf" Type="http://schemas.openxmlformats.org/officeDocument/2006/relationships/hyperlink" Id="rId21"/>
    <Relationship TargetMode="External" Target="https://www.legis.iowa.gov/docs/ico/chapter/22.pdf" Type="http://schemas.openxmlformats.org/officeDocument/2006/relationships/hyperlink" Id="rId22"/>
    <Relationship TargetMode="External" Target="https://www.legis.iowa.gov/docs/iac/rule/701.2505.3.pdf" Type="http://schemas.openxmlformats.org/officeDocument/2006/relationships/hyperlink" Id="rId23"/>
    <Relationship TargetMode="External" Target="https://www.legis.iowa.gov/docs/iac/rule/701.2505.9.pdf" Type="http://schemas.openxmlformats.org/officeDocument/2006/relationships/hyperlink" Id="rId24"/>
    <Relationship TargetMode="External" Target="https://www.legis.iowa.gov/docs/iac/rule/701.2507.6.pdf" Type="http://schemas.openxmlformats.org/officeDocument/2006/relationships/hyperlink" Id="rId25"/>
    <Relationship TargetMode="External" Target="https://www.legis.iowa.gov/docs/iac/rule/701.2505.9.pdf" Type="http://schemas.openxmlformats.org/officeDocument/2006/relationships/hyperlink" Id="rId26"/>
    <Relationship TargetMode="External" Target="https://www.legis.iowa.gov/docs/iac/rule/701.8.8.pdf" Type="http://schemas.openxmlformats.org/officeDocument/2006/relationships/hyperlink" Id="rId27"/>
    <Relationship TargetMode="External" Target="https://www.legis.iowa.gov/docs/ico/chapter/421.59.pdf" Type="http://schemas.openxmlformats.org/officeDocument/2006/relationships/hyperlink" Id="rId28"/>
    <Relationship TargetMode="External" Target="https://www.legis.iowa.gov/docs/iac/rule/701.8.8.pdf" Type="http://schemas.openxmlformats.org/officeDocument/2006/relationships/hyperlink" Id="rId29"/>
    <Relationship TargetMode="External" Target="https://www.legis.iowa.gov/docs/iac/rule/701.2505.9.pdf" Type="http://schemas.openxmlformats.org/officeDocument/2006/relationships/hyperlink" Id="rId30"/>
    <Relationship TargetMode="External" Target="https://www.legis.iowa.gov/docs/iac/rule/701.2505.9.pdf" Type="http://schemas.openxmlformats.org/officeDocument/2006/relationships/hyperlink" Id="rId31"/>
    <Relationship TargetMode="External" Target="https://www.legis.iowa.gov/docs/iac/rule/701.8.2.pdf" Type="http://schemas.openxmlformats.org/officeDocument/2006/relationships/hyperlink" Id="rId32"/>
    <Relationship TargetMode="External" Target="https://www.legis.iowa.gov/docs/iac/rule/701.2505.9.pdf" Type="http://schemas.openxmlformats.org/officeDocument/2006/relationships/hyperlink" Id="rId33"/>
    <Relationship TargetMode="External" Target="https://www.legis.iowa.gov/docs/ico/chapter/421.59.pdf" Type="http://schemas.openxmlformats.org/officeDocument/2006/relationships/hyperlink" Id="rId34"/>
    <Relationship TargetMode="External" Target="https://www.legis.iowa.gov/docs/iac/rule/701.2505.9.pdf" Type="http://schemas.openxmlformats.org/officeDocument/2006/relationships/hyperlink" Id="rId35"/>
    <Relationship TargetMode="External" Target="https://www.legis.iowa.gov/docs/ico/chapter/421.6.pdf" Type="http://schemas.openxmlformats.org/officeDocument/2006/relationships/hyperlink" Id="rId36"/>
    <Relationship TargetMode="External" Target="https://www.legis.iowa.gov/docs/iac/rule/701.8.2.pdf" Type="http://schemas.openxmlformats.org/officeDocument/2006/relationships/hyperlink" Id="rId37"/>
    <Relationship TargetMode="External" Target="https://www.legis.iowa.gov/docs/iac/rule/701.2505.3.pdf" Type="http://schemas.openxmlformats.org/officeDocument/2006/relationships/hyperlink" Id="rId38"/>
    <Relationship TargetMode="External" Target="https://www.legis.iowa.gov/docs/iac/rule/701.2505.4.pdf" Type="http://schemas.openxmlformats.org/officeDocument/2006/relationships/hyperlink" Id="rId39"/>
    <Relationship TargetMode="External" Target="https://www.legis.iowa.gov/docs/ico/chapter/22.7.pdf" Type="http://schemas.openxmlformats.org/officeDocument/2006/relationships/hyperlink" Id="rId40"/>
    <Relationship TargetMode="External" Target="https://www.legis.iowa.gov/docs/ico/chapter/8A.pdf" Type="http://schemas.openxmlformats.org/officeDocument/2006/relationships/hyperlink" Id="rId41"/>
    <Relationship TargetMode="External" Target="https://www.legis.iowa.gov/docs/ico/chapter/17A.pdf" Type="http://schemas.openxmlformats.org/officeDocument/2006/relationships/hyperlink" Id="rId42"/>
    <Relationship TargetMode="External" Target="https://www.legis.iowa.gov/docs/ico/chapter/99G.pdf" Type="http://schemas.openxmlformats.org/officeDocument/2006/relationships/hyperlink" Id="rId43"/>
    <Relationship TargetMode="External" Target="https://www.legis.iowa.gov/docs/ico/chapter/123.pdf" Type="http://schemas.openxmlformats.org/officeDocument/2006/relationships/hyperlink" Id="rId44"/>
    <Relationship TargetMode="External" Target="https://www.legis.iowa.gov/docs/ico/chapter/22.11.pdf" Type="http://schemas.openxmlformats.org/officeDocument/2006/relationships/hyperlink" Id="rId45"/>
    <Relationship TargetMode="External" Target="https://www.legis.iowa.gov/docs/ico/chapter/422.20.pdf" Type="http://schemas.openxmlformats.org/officeDocument/2006/relationships/hyperlink" Id="rId46"/>
    <Relationship TargetMode="External" Target="https://www.legis.iowa.gov/docs/ico/chapter/422.72.pdf" Type="http://schemas.openxmlformats.org/officeDocument/2006/relationships/hyperlink" Id="rId47"/>
    <Relationship TargetMode="External" Target="https://www.legis.iowa.gov/docs/ico/chapter/422.20.pdf" Type="http://schemas.openxmlformats.org/officeDocument/2006/relationships/hyperlink" Id="rId48"/>
    <Relationship TargetMode="External" Target="https://www.legis.iowa.gov/docs/ico/chapter/422.72.pdf" Type="http://schemas.openxmlformats.org/officeDocument/2006/relationships/hyperlink" Id="rId49"/>
    <Relationship TargetMode="External" Target="https://www.legis.iowa.gov/docs/ico/chapter/22.7.pdf" Type="http://schemas.openxmlformats.org/officeDocument/2006/relationships/hyperlink" Id="rId50"/>
    <Relationship TargetMode="External" Target="https://www.legis.iowa.gov/docs/ico/chapter/99G.34.pdf" Type="http://schemas.openxmlformats.org/officeDocument/2006/relationships/hyperlink" Id="rId51"/>
    <Relationship TargetMode="External" Target="https://www.legis.iowa.gov/docs/ico/chapter/21.5.pdf" Type="http://schemas.openxmlformats.org/officeDocument/2006/relationships/hyperlink" Id="rId52"/>
    <Relationship TargetMode="External" Target="https://www.legis.iowa.gov/docs/ico/chapter/22.7.pdf" Type="http://schemas.openxmlformats.org/officeDocument/2006/relationships/hyperlink" Id="rId53"/>
    <Relationship TargetMode="External" Target="https://www.legis.iowa.gov/docs/ico/chapter/72.3.pdf" Type="http://schemas.openxmlformats.org/officeDocument/2006/relationships/hyperlink" Id="rId54"/>
    <Relationship TargetMode="External" Target="https://www.legis.iowa.gov/docs/ico/chapter/17A.3.pdf" Type="http://schemas.openxmlformats.org/officeDocument/2006/relationships/hyperlink" Id="rId55"/>
    <Relationship TargetMode="External" Target="https://www.legis.iowa.gov/docs/ico/chapter/99G.24.pdf" Type="http://schemas.openxmlformats.org/officeDocument/2006/relationships/hyperlink" Id="rId56"/>
    <Relationship TargetMode="External" Target="https://www.legis.iowa.gov/docs/ico/chapter/123.pdf" Type="http://schemas.openxmlformats.org/officeDocument/2006/relationships/hyperlink" Id="rId57"/>
    <Relationship TargetMode="External" Target="https://www.legis.iowa.gov/docs/ico/chapter/99G.34.pdf" Type="http://schemas.openxmlformats.org/officeDocument/2006/relationships/hyperlink" Id="rId58"/>
    <Relationship TargetMode="External" Target="https://www.legis.iowa.gov/docs/ico/chapter/99G.35.pdf" Type="http://schemas.openxmlformats.org/officeDocument/2006/relationships/hyperlink" Id="rId59"/>
    <Relationship TargetMode="External" Target="https://www.legis.iowa.gov/docs/ico/chapter/123.38A.pdf" Type="http://schemas.openxmlformats.org/officeDocument/2006/relationships/hyperlink" Id="rId60"/>
    <Relationship TargetMode="External" Target="https://www.legis.iowa.gov/docs/ico/chapter/422.20.pdf" Type="http://schemas.openxmlformats.org/officeDocument/2006/relationships/hyperlink" Id="rId61"/>
    <Relationship TargetMode="External" Target="https://www.legis.iowa.gov/docs/ico/chapter/422.72.pdf" Type="http://schemas.openxmlformats.org/officeDocument/2006/relationships/hyperlink" Id="rId62"/>
    <Relationship TargetMode="External" Target="https://www.legis.iowa.gov/docs/ico/chapter/99G.34.pdf" Type="http://schemas.openxmlformats.org/officeDocument/2006/relationships/hyperlink" Id="rId63"/>
    <Relationship TargetMode="External" Target="https://www.legis.iowa.gov/docs/ico/chapter/99G.34.pdf" Type="http://schemas.openxmlformats.org/officeDocument/2006/relationships/hyperlink" Id="rId64"/>
    <Relationship TargetMode="External" Target="https://www.legis.iowa.gov/docs/ico/chapter/99G.41.pdf" Type="http://schemas.openxmlformats.org/officeDocument/2006/relationships/hyperlink" Id="rId65"/>
    <Relationship TargetMode="External" Target="https://www.legis.iowa.gov/docs/ico/chapter/99G.24.pdf" Type="http://schemas.openxmlformats.org/officeDocument/2006/relationships/hyperlink" Id="rId66"/>
    <Relationship TargetMode="External" Target="https://www.legis.iowa.gov/docs/ico/chapter/99G.34.pdf" Type="http://schemas.openxmlformats.org/officeDocument/2006/relationships/hyperlink" Id="rId67"/>
    <Relationship TargetMode="External" Target="https://www.legis.iowa.gov/docs/ico/chapter/99G.41.pdf" Type="http://schemas.openxmlformats.org/officeDocument/2006/relationships/hyperlink" Id="rId68"/>
    <Relationship TargetMode="External" Target="https://www.legis.iowa.gov/docs/iac/rule/7.2505.3.pdf" Type="http://schemas.openxmlformats.org/officeDocument/2006/relationships/hyperlink" Id="rId69"/>
    <Relationship TargetMode="External" Target="https://www.legis.iowa.gov/docs/iac/rule/701.2505.3.pdf" Type="http://schemas.openxmlformats.org/officeDocument/2006/relationships/hyperlink" Id="rId70"/>
    <Relationship TargetMode="External" Target="https://www.legis.iowa.gov/docs/ico/chapter/421.59.pdf" Type="http://schemas.openxmlformats.org/officeDocument/2006/relationships/hyperlink" Id="rId71"/>
    <Relationship TargetMode="External" Target="https://www.legis.iowa.gov/docs/ico/chapter/422.20.pdf" Type="http://schemas.openxmlformats.org/officeDocument/2006/relationships/hyperlink" Id="rId72"/>
    <Relationship TargetMode="External" Target="https://www.legis.iowa.gov/docs/ico/chapter/422.72.pdf" Type="http://schemas.openxmlformats.org/officeDocument/2006/relationships/hyperlink" Id="rId73"/>
    <Relationship TargetMode="External" Target="https://www.legis.iowa.gov/docs/ico/chapter/17A.pdf" Type="http://schemas.openxmlformats.org/officeDocument/2006/relationships/hyperlink" Id="rId74"/>
    <Relationship TargetMode="External" Target="https://www.legis.iowa.gov/docs/ico/chapter/22.pdf" Type="http://schemas.openxmlformats.org/officeDocument/2006/relationships/hyperlink" Id="rId75"/>
    <Relationship TargetMode="External" Target="https://www.legis.iowa.gov/docs/ico/chapter/99G.pdf" Type="http://schemas.openxmlformats.org/officeDocument/2006/relationships/hyperlink" Id="rId76"/>
    <Relationship TargetMode="External" Target="https://www.legis.iowa.gov/docs/ico/chapter/123.pdf" Type="http://schemas.openxmlformats.org/officeDocument/2006/relationships/hyperlink" Id="rId77"/>
    <Relationship TargetMode="External" Target="https://www.legis.iowa.gov/docs/ico/chapter/421.pdf" Type="http://schemas.openxmlformats.org/officeDocument/2006/relationships/hyperlink" Id="rId78"/>
    <Relationship TargetMode="External" Target="https://www.legis.iowa.gov/docs/ico/chapter/453E.pdf" Type="http://schemas.openxmlformats.org/officeDocument/2006/relationships/hyperlink" Id="rId79"/>
    <Relationship Target="footer.xml" Type="http://schemas.openxmlformats.org/officeDocument/2006/relationships/footer"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