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CHALLENGES TO ADMINISTRATIVE LEVIES</w:t>
      </w:r>
    </w:p>
    <w:p>
      <w:pPr>
        <w:spacing w:before="0" w:after="0"/>
        <w:ind w:left="120"/>
        <w:jc w:val="center"/>
      </w:pPr>
      <w:r>
        <w:rPr>
          <w:rFonts w:ascii="Times New Roman" w:hAnsi="Times New Roman"/>
          <w:b w:val="false"/>
          <w:i w:val="false"/>
          <w:color w:val="000000"/>
          <w:sz w:val="14"/>
        </w:rPr>
        <w:t>[Prior to 11/2/22, see Revenue Department[701] Ch 154]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701—25.1</w:t>
      </w:r>
      <w:r>
        <w:rPr>
          <w:rFonts w:ascii="Times New Roman" w:hAnsi="Times New Roman"/>
          <w:b/>
          <w:i w:val="false"/>
          <w:color w:val="000000"/>
          <w:sz w:val="22"/>
        </w:rPr>
        <w:t xml:space="preserve">(421) </w:t>
      </w:r>
      <w:r>
        <w:rPr>
          <w:rFonts w:ascii="Times New Roman" w:hAnsi="Times New Roman"/>
          <w:b/>
          <w:i w:val="false"/>
          <w:color w:val="000000"/>
          <w:sz w:val="22"/>
        </w:rPr>
        <w:t xml:space="preserve">Administrative levies. </w:t>
      </w:r>
      <w:r>
        <w:rPr>
          <w:rFonts w:ascii="Times New Roman" w:hAnsi="Times New Roman"/>
          <w:b w:val="false"/>
          <w:i w:val="false"/>
          <w:color w:val="000000"/>
          <w:sz w:val="22"/>
        </w:rPr>
        <w:t xml:space="preserve">For purposes of this chapter, “administrative levy” means an administrative wage assignment or an administrative levy against accounts.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w:t>
      </w:r>
      <w:r>
        <w:rPr>
          <w:rFonts w:ascii="Times New Roman" w:hAnsi="Times New Roman"/>
          <w:b/>
          <w:i w:val="false"/>
          <w:color w:val="000000"/>
          <w:sz w:val="22"/>
        </w:rPr>
        <w:t xml:space="preserve">(421) </w:t>
      </w:r>
      <w:r>
        <w:rPr>
          <w:rFonts w:ascii="Times New Roman" w:hAnsi="Times New Roman"/>
          <w:b/>
          <w:i w:val="false"/>
          <w:color w:val="000000"/>
          <w:sz w:val="22"/>
        </w:rPr>
        <w:t xml:space="preserve">Challenges to administrative levies. </w:t>
      </w:r>
      <w:r>
        <w:rPr>
          <w:rFonts w:ascii="Times New Roman" w:hAnsi="Times New Roman"/>
          <w:b w:val="false"/>
          <w:i w:val="false"/>
          <w:color w:val="000000"/>
          <w:sz w:val="22"/>
        </w:rPr>
        <w:t xml:space="preserve">A challenge to an administrative levy against an account can only be made by an obligor or a person named on the account. Challenges may be submitted to the department via the manner described on the challenge notice furnished to the obligor by the department pursuant to Iowa Code section </w:t>
      </w:r>
      <w:hyperlink r:id="rId5">
        <w:r>
          <w:rPr>
            <w:rStyle w:val="Hyperlink"/>
            <w:rFonts w:ascii="Times New Roman" w:hAnsi="Times New Roman"/>
            <w:b w:val="false"/>
            <w:i w:val="false"/>
            <w:color w:val="000000"/>
            <w:sz w:val="22"/>
          </w:rPr>
          <w:t>421.17A(3)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421.17B(3)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w:t>
      </w:r>
      <w:r>
        <w:rPr>
          <w:rFonts w:ascii="Times New Roman" w:hAnsi="Times New Roman"/>
          <w:b/>
          <w:i w:val="false"/>
          <w:color w:val="000000"/>
          <w:sz w:val="22"/>
        </w:rPr>
        <w:t xml:space="preserve">(421) </w:t>
      </w:r>
      <w:r>
        <w:rPr>
          <w:rFonts w:ascii="Times New Roman" w:hAnsi="Times New Roman"/>
          <w:b/>
          <w:i w:val="false"/>
          <w:color w:val="000000"/>
          <w:sz w:val="22"/>
        </w:rPr>
        <w:t xml:space="preserve">Challenge procedure. </w:t>
      </w:r>
      <w:r>
        <w:rPr>
          <w:rFonts w:ascii="Times New Roman" w:hAnsi="Times New Roman"/>
          <w:b w:val="false"/>
          <w:i w:val="false"/>
          <w:color w:val="000000"/>
          <w:sz w:val="22"/>
        </w:rPr>
        <w:t xml:space="preserve">A challenge to an administrative levy will be reviewed by the central collections unit of the department. This review is not subject to the provisions of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timely challenge, the central collections unit of the department will review the obligor’s account and contact the obligor. If the central collections unit of the department declines to release the levy, a telephone hearing will be scheduled.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telephone hearing is scheduled, the central collections unit of the department will send a notice to the obligor containing the hearing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central collections unit will issue a decision in writing.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701—25.4</w:t>
      </w:r>
      <w:r>
        <w:rPr>
          <w:rFonts w:ascii="Times New Roman" w:hAnsi="Times New Roman"/>
          <w:b/>
          <w:i w:val="false"/>
          <w:color w:val="000000"/>
          <w:sz w:val="22"/>
        </w:rPr>
        <w:t xml:space="preserve">(421) </w:t>
      </w:r>
      <w:r>
        <w:rPr>
          <w:rFonts w:ascii="Times New Roman" w:hAnsi="Times New Roman"/>
          <w:b/>
          <w:i w:val="false"/>
          <w:color w:val="000000"/>
          <w:sz w:val="22"/>
        </w:rPr>
        <w:t xml:space="preserve">Form and time of challenge. </w:t>
      </w:r>
      <w:r>
        <w:rPr>
          <w:rFonts w:ascii="Times New Roman" w:hAnsi="Times New Roman"/>
          <w:b w:val="false"/>
          <w:i w:val="false"/>
          <w:color w:val="000000"/>
          <w:sz w:val="22"/>
        </w:rPr>
        <w:t xml:space="preserve">The obligor or an account holder of interest must submit a written challenge to an administrative levy within ten days of the date of the notice. Challenges must be submitted to the department in the manner described on the notice furnished by the department to the obligor or account holder of interest.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w:t>
      </w:r>
      <w:r>
        <w:rPr>
          <w:rFonts w:ascii="Times New Roman" w:hAnsi="Times New Roman"/>
          <w:b/>
          <w:i w:val="false"/>
          <w:color w:val="000000"/>
          <w:sz w:val="22"/>
        </w:rPr>
        <w:t xml:space="preserve">(421) </w:t>
      </w:r>
      <w:r>
        <w:rPr>
          <w:rFonts w:ascii="Times New Roman" w:hAnsi="Times New Roman"/>
          <w:b/>
          <w:i w:val="false"/>
          <w:color w:val="000000"/>
          <w:sz w:val="22"/>
        </w:rPr>
        <w:t xml:space="preserve">Issues that may be raised. </w:t>
      </w:r>
      <w:r>
        <w:rPr>
          <w:rFonts w:ascii="Times New Roman" w:hAnsi="Times New Roman"/>
          <w:b w:val="false"/>
          <w:i w:val="false"/>
          <w:color w:val="000000"/>
          <w:sz w:val="22"/>
        </w:rPr>
        <w:t>The issues raised by the challenging party, which are limited to a mistake of fact, may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challenging party has the same name as the obligor but is not the obligor.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challenging party does not have an interest in the account that is being seized.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amount listed in the notice to the obligor is greater than the amount actually owed.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 cases of non-tax debt, exemptions claimed by the debtor under state or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421.17A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421.17B</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3/8/96, Notice 1/31/96—published 3/27/96, effective 5/1/96]</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6872C</w:t>
      </w:r>
      <w:r>
        <w:rPr>
          <w:rFonts w:ascii="Times New Roman" w:hAnsi="Times New Roman"/>
          <w:b w:val="false"/>
          <w:i w:val="false"/>
          <w:color w:val="000000"/>
          <w:sz w:val="21"/>
        </w:rPr>
        <w:t xml:space="preserve"> (Notice ARC 6748C,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7835C</w:t>
      </w:r>
      <w:r>
        <w:rPr>
          <w:rFonts w:ascii="Times New Roman" w:hAnsi="Times New Roman"/>
          <w:b w:val="false"/>
          <w:i w:val="false"/>
          <w:color w:val="000000"/>
          <w:sz w:val="21"/>
        </w:rPr>
        <w:t xml:space="preserve"> (Notice ARC 7181C,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17A.pdf" Type="http://schemas.openxmlformats.org/officeDocument/2006/relationships/hyperlink" Id="rId5"/>
    <Relationship TargetMode="External" Target="https://www.legis.iowa.gov/docs/ico/chapter/421.17B.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421.17.pdf" Type="http://schemas.openxmlformats.org/officeDocument/2006/relationships/hyperlink" Id="rId8"/>
    <Relationship TargetMode="External" Target="https://www.legis.iowa.gov/docs/ico/chapter/421.17A.pdf" Type="http://schemas.openxmlformats.org/officeDocument/2006/relationships/hyperlink" Id="rId9"/>
    <Relationship TargetMode="External" Target="https://www.legis.iowa.gov/docs/ico/chapter/421.17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