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LICENSE SANCTIONS FOR COLLECTION OF DEBTS OWED THE STATE OF IOWA OR A STATE AGENCY</w:t>
      </w:r>
    </w:p>
    <w:p>
      <w:pPr>
        <w:spacing w:before="0" w:after="0"/>
        <w:ind w:left="120"/>
        <w:jc w:val="center"/>
      </w:pPr>
      <w:r>
        <w:rPr>
          <w:rFonts w:ascii="Times New Roman" w:hAnsi="Times New Roman"/>
          <w:b w:val="false"/>
          <w:i w:val="false"/>
          <w:color w:val="000000"/>
          <w:sz w:val="14"/>
        </w:rPr>
        <w:t>[Prior to 11/2/22, see Revenue Department[701] Ch 153]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701—24.1</w:t>
      </w:r>
      <w:r>
        <w:rPr>
          <w:rFonts w:ascii="Times New Roman" w:hAnsi="Times New Roman"/>
          <w:b/>
          <w:i w:val="false"/>
          <w:color w:val="000000"/>
          <w:sz w:val="22"/>
        </w:rPr>
        <w:t xml:space="preserve">(272D)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the following terms shall have the same definitions as Iowa Code section </w:t>
      </w:r>
      <w:hyperlink r:id="rId5">
        <w:r>
          <w:rPr>
            <w:rStyle w:val="Hyperlink"/>
            <w:rFonts w:ascii="Times New Roman" w:hAnsi="Times New Roman"/>
            <w:b w:val="false"/>
            <w:i w:val="false"/>
            <w:color w:val="000000"/>
            <w:sz w:val="22"/>
          </w:rPr>
          <w:t>272D.1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Certificate of noncompliance.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Liability.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License.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Licensee.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Licensing authority.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Obligor.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Person.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Unit.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Withdrawal of a certificate of noncompliance.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701—24.2</w:t>
      </w:r>
      <w:r>
        <w:rPr>
          <w:rFonts w:ascii="Times New Roman" w:hAnsi="Times New Roman"/>
          <w:b/>
          <w:i w:val="false"/>
          <w:color w:val="000000"/>
          <w:sz w:val="22"/>
        </w:rPr>
        <w:t xml:space="preserve">(272D) </w:t>
      </w:r>
      <w:r>
        <w:rPr>
          <w:rFonts w:ascii="Times New Roman" w:hAnsi="Times New Roman"/>
          <w:b/>
          <w:i w:val="false"/>
          <w:color w:val="000000"/>
          <w:sz w:val="22"/>
        </w:rPr>
        <w:t xml:space="preserve">Notice to person of potential sanction of license. </w:t>
      </w:r>
      <w:r>
        <w:rPr>
          <w:rFonts w:ascii="Times New Roman" w:hAnsi="Times New Roman"/>
          <w:b w:val="false"/>
          <w:i w:val="false"/>
          <w:color w:val="000000"/>
          <w:sz w:val="22"/>
        </w:rPr>
        <w:t xml:space="preserve">Before issuing a certificate of noncompliance, the unit must send a notice to a person in accordance with Iowa Code section </w:t>
      </w:r>
      <w:hyperlink r:id="rId6">
        <w:r>
          <w:rPr>
            <w:rStyle w:val="Hyperlink"/>
            <w:rFonts w:ascii="Times New Roman" w:hAnsi="Times New Roman"/>
            <w:b w:val="false"/>
            <w:i w:val="false"/>
            <w:color w:val="000000"/>
            <w:sz w:val="22"/>
          </w:rPr>
          <w:t>272D.3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701—24.3</w:t>
      </w:r>
      <w:r>
        <w:rPr>
          <w:rFonts w:ascii="Times New Roman" w:hAnsi="Times New Roman"/>
          <w:b/>
          <w:i w:val="false"/>
          <w:color w:val="000000"/>
          <w:sz w:val="22"/>
        </w:rPr>
        <w:t xml:space="preserve">(272D) </w:t>
      </w:r>
      <w:r>
        <w:rPr>
          <w:rFonts w:ascii="Times New Roman" w:hAnsi="Times New Roman"/>
          <w:b/>
          <w:i w:val="false"/>
          <w:color w:val="000000"/>
          <w:sz w:val="22"/>
        </w:rPr>
        <w:t xml:space="preserve">Challenges. </w:t>
      </w:r>
      <w:r>
        <w:rPr>
          <w:rFonts w:ascii="Times New Roman" w:hAnsi="Times New Roman"/>
          <w:b w:val="false"/>
          <w:i w:val="false"/>
          <w:color w:val="000000"/>
          <w:sz w:val="22"/>
        </w:rPr>
        <w:t xml:space="preserve">A person may challenge the unit’s issuance of a certificate of noncompliance by requesting a conference. Upon receiving a timely written request for a conference, the unit shall grant the person a stay of the issuance of a certificate of noncompliance. The stay shall remain in effect pending the decision of the unit under Iowa Code section </w:t>
      </w:r>
      <w:hyperlink r:id="rId7">
        <w:r>
          <w:rPr>
            <w:rStyle w:val="Hyperlink"/>
            <w:rFonts w:ascii="Times New Roman" w:hAnsi="Times New Roman"/>
            <w:b w:val="false"/>
            <w:i w:val="false"/>
            <w:color w:val="000000"/>
            <w:sz w:val="22"/>
          </w:rPr>
          <w:t>272D.6(1)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24.3(1)</w:t>
      </w:r>
      <w:r>
        <w:rPr>
          <w:rFonts w:ascii="Times New Roman" w:hAnsi="Times New Roman"/>
          <w:b w:val="false"/>
          <w:i w:val="false"/>
          <w:color w:val="000000"/>
          <w:sz w:val="22"/>
        </w:rPr>
        <w:t> </w:t>
      </w:r>
      <w:r>
        <w:rPr>
          <w:rFonts w:ascii="Times New Roman" w:hAnsi="Times New Roman"/>
          <w:b w:val="false"/>
          <w:i/>
          <w:color w:val="000000"/>
          <w:sz w:val="22"/>
        </w:rPr>
        <w:t xml:space="preserve">Conference. </w:t>
      </w:r>
      <w:r>
        <w:rPr>
          <w:rFonts w:ascii="Times New Roman" w:hAnsi="Times New Roman"/>
          <w:b w:val="false"/>
          <w:i w:val="false"/>
          <w:color w:val="000000"/>
          <w:sz w:val="22"/>
        </w:rPr>
        <w:t xml:space="preserve">The person may request a conference with the unit to challenge the unit’s issuance of a certificate of noncompliance following the mailing of the notice of potential license sanction or at any time after a licensing authority serves notice of suspension, revocation, denial of issuance, or nonrenewal of a license. The request for a conference shall be made in writing to the unit. If the conference is requested pursuant to and after the unit’s mailing of a notice of potential license sanction under rule </w:t>
      </w:r>
      <w:hyperlink r:id="rId8">
        <w:r>
          <w:rPr>
            <w:rStyle w:val="Hyperlink"/>
            <w:rFonts w:ascii="Times New Roman" w:hAnsi="Times New Roman"/>
            <w:b w:val="false"/>
            <w:i w:val="false"/>
            <w:color w:val="000000"/>
            <w:sz w:val="22"/>
          </w:rPr>
          <w:t>701—24.2</w:t>
        </w:r>
      </w:hyperlink>
      <w:r>
        <w:rPr>
          <w:rFonts w:ascii="Times New Roman" w:hAnsi="Times New Roman"/>
          <w:b w:val="false"/>
          <w:i w:val="false"/>
          <w:color w:val="000000"/>
          <w:sz w:val="22"/>
        </w:rPr>
        <w:t xml:space="preserve">(272D), the request must be received by the unit within 20 days following the mailing or service of that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unit shall notify the person of the date, time, and location of the conference by regular mail, with the date of the conference to be no earlier than ten days following the unit’s issuance of the notice of the conference. If the person fails to appear at the conference, the unit shall issue a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24.3(3)</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conference will be conducted by telephone unless otherwise indicated in the written notification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701—24.4</w:t>
      </w:r>
      <w:r>
        <w:rPr>
          <w:rFonts w:ascii="Times New Roman" w:hAnsi="Times New Roman"/>
          <w:b/>
          <w:i w:val="false"/>
          <w:color w:val="000000"/>
          <w:sz w:val="22"/>
        </w:rPr>
        <w:t xml:space="preserve">(272D) </w:t>
      </w:r>
      <w:r>
        <w:rPr>
          <w:rFonts w:ascii="Times New Roman" w:hAnsi="Times New Roman"/>
          <w:b/>
          <w:i w:val="false"/>
          <w:color w:val="000000"/>
          <w:sz w:val="22"/>
        </w:rPr>
        <w:t xml:space="preserve">Issuance of certificate of noncompliance.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fails to appear at the conference, the unit shall issue a certificate of noncompliance. If the person does not timely request a conference or pay the amount of liability owed within 20 days of the date the notice was postmarked, the unit shall issue a certificate of noncompliance.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24.4(2)</w:t>
      </w:r>
      <w:r>
        <w:rPr>
          <w:rFonts w:ascii="Times New Roman" w:hAnsi="Times New Roman"/>
          <w:b w:val="false"/>
          <w:i w:val="false"/>
          <w:color w:val="000000"/>
          <w:sz w:val="22"/>
        </w:rPr>
        <w:t> </w:t>
      </w:r>
      <w:r>
        <w:rPr>
          <w:rFonts w:ascii="Times New Roman" w:hAnsi="Times New Roman"/>
          <w:b w:val="false"/>
          <w:i w:val="false"/>
          <w:color w:val="000000"/>
          <w:sz w:val="22"/>
        </w:rPr>
        <w:t>However, the unit will not issue a certificate of noncompliance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unit finds a mistake in the identity of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unit finds a mistake in determining the amount of the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unit determines the amount of the liability is less than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obligor pays the amount due or enters into an acceptable payment plan;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unit finds additional time is required for the person to comply.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701—24.5</w:t>
      </w:r>
      <w:r>
        <w:rPr>
          <w:rFonts w:ascii="Times New Roman" w:hAnsi="Times New Roman"/>
          <w:b/>
          <w:i w:val="false"/>
          <w:color w:val="000000"/>
          <w:sz w:val="22"/>
        </w:rPr>
        <w:t xml:space="preserve">(272D) </w:t>
      </w:r>
      <w:r>
        <w:rPr>
          <w:rFonts w:ascii="Times New Roman" w:hAnsi="Times New Roman"/>
          <w:b/>
          <w:i w:val="false"/>
          <w:color w:val="000000"/>
          <w:sz w:val="22"/>
        </w:rPr>
        <w:t xml:space="preserve">Written agreements. </w:t>
      </w:r>
      <w:r>
        <w:rPr>
          <w:rFonts w:ascii="Times New Roman" w:hAnsi="Times New Roman"/>
          <w:b w:val="false"/>
          <w:i w:val="false"/>
          <w:color w:val="000000"/>
          <w:sz w:val="22"/>
        </w:rPr>
        <w:t xml:space="preserve">The obligor and the unit may enter into a written agreement for payment of the liability owed pursuant to Iowa Code section </w:t>
      </w:r>
      <w:hyperlink r:id="rId9">
        <w:r>
          <w:rPr>
            <w:rStyle w:val="Hyperlink"/>
            <w:rFonts w:ascii="Times New Roman" w:hAnsi="Times New Roman"/>
            <w:b w:val="false"/>
            <w:i w:val="false"/>
            <w:color w:val="000000"/>
            <w:sz w:val="22"/>
          </w:rPr>
          <w:t>272D.5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701—24.6</w:t>
      </w:r>
      <w:r>
        <w:rPr>
          <w:rFonts w:ascii="Times New Roman" w:hAnsi="Times New Roman"/>
          <w:b/>
          <w:i w:val="false"/>
          <w:color w:val="000000"/>
          <w:sz w:val="22"/>
        </w:rPr>
        <w:t xml:space="preserve">(272D) </w:t>
      </w:r>
      <w:r>
        <w:rPr>
          <w:rFonts w:ascii="Times New Roman" w:hAnsi="Times New Roman"/>
          <w:b/>
          <w:i w:val="false"/>
          <w:color w:val="000000"/>
          <w:sz w:val="22"/>
        </w:rPr>
        <w:t xml:space="preserve">Decision of the unit.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unit mails a notice to a person and the person requests a conference, the unit shall issue a written decision if any of the conditions in Iowa Code section </w:t>
      </w:r>
      <w:hyperlink r:id="rId10">
        <w:r>
          <w:rPr>
            <w:rStyle w:val="Hyperlink"/>
            <w:rFonts w:ascii="Times New Roman" w:hAnsi="Times New Roman"/>
            <w:b w:val="false"/>
            <w:i w:val="false"/>
            <w:color w:val="000000"/>
            <w:sz w:val="22"/>
          </w:rPr>
          <w:t>272D.6(1)</w:t>
        </w:r>
      </w:hyperlink>
      <w:r>
        <w:rPr>
          <w:rFonts w:ascii="Times New Roman" w:hAnsi="Times New Roman"/>
          <w:b w:val="false"/>
          <w:i w:val="false"/>
          <w:color w:val="000000"/>
          <w:sz w:val="22"/>
        </w:rPr>
        <w:t xml:space="preserve">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24.6(2)</w:t>
      </w:r>
      <w:r>
        <w:rPr>
          <w:rFonts w:ascii="Times New Roman" w:hAnsi="Times New Roman"/>
          <w:b w:val="false"/>
          <w:i w:val="false"/>
          <w:color w:val="000000"/>
          <w:sz w:val="22"/>
        </w:rPr>
        <w:t> </w:t>
      </w:r>
      <w:r>
        <w:rPr>
          <w:rFonts w:ascii="Times New Roman" w:hAnsi="Times New Roman"/>
          <w:b w:val="false"/>
          <w:i w:val="false"/>
          <w:color w:val="000000"/>
          <w:sz w:val="22"/>
        </w:rPr>
        <w:t xml:space="preserve">Mailing of decision. The unit shall send a copy of the written decision as described in Iowa Code section </w:t>
      </w:r>
      <w:hyperlink r:id="rId11">
        <w:r>
          <w:rPr>
            <w:rStyle w:val="Hyperlink"/>
            <w:rFonts w:ascii="Times New Roman" w:hAnsi="Times New Roman"/>
            <w:b w:val="false"/>
            <w:i w:val="false"/>
            <w:color w:val="000000"/>
            <w:sz w:val="22"/>
          </w:rPr>
          <w:t>272D.6(2)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701—24.7</w:t>
      </w:r>
      <w:r>
        <w:rPr>
          <w:rFonts w:ascii="Times New Roman" w:hAnsi="Times New Roman"/>
          <w:b/>
          <w:i w:val="false"/>
          <w:color w:val="000000"/>
          <w:sz w:val="22"/>
        </w:rPr>
        <w:t xml:space="preserve">(272D) </w:t>
      </w:r>
      <w:r>
        <w:rPr>
          <w:rFonts w:ascii="Times New Roman" w:hAnsi="Times New Roman"/>
          <w:b/>
          <w:i w:val="false"/>
          <w:color w:val="000000"/>
          <w:sz w:val="22"/>
        </w:rPr>
        <w:t xml:space="preserve">Certificate of noncompliance to licensing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unit shall issue a certificate of noncompliance to any appropriate licensing authority as required by Iowa Code section </w:t>
      </w:r>
      <w:hyperlink r:id="rId12">
        <w:r>
          <w:rPr>
            <w:rStyle w:val="Hyperlink"/>
            <w:rFonts w:ascii="Times New Roman" w:hAnsi="Times New Roman"/>
            <w:b w:val="false"/>
            <w:i w:val="false"/>
            <w:color w:val="000000"/>
            <w:sz w:val="22"/>
          </w:rPr>
          <w:t>272D.7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24.7(2)</w:t>
      </w:r>
      <w:r>
        <w:rPr>
          <w:rFonts w:ascii="Times New Roman" w:hAnsi="Times New Roman"/>
          <w:b w:val="false"/>
          <w:i w:val="false"/>
          <w:color w:val="000000"/>
          <w:sz w:val="22"/>
        </w:rPr>
        <w:t> </w:t>
      </w:r>
      <w:r>
        <w:rPr>
          <w:rFonts w:ascii="Times New Roman" w:hAnsi="Times New Roman"/>
          <w:b w:val="false"/>
          <w:i w:val="false"/>
          <w:color w:val="000000"/>
          <w:sz w:val="22"/>
        </w:rPr>
        <w:t>The suspension, revocation, or denial shall be effective no sooner than 30 days following the date of notice to the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701—24.8</w:t>
      </w:r>
      <w:r>
        <w:rPr>
          <w:rFonts w:ascii="Times New Roman" w:hAnsi="Times New Roman"/>
          <w:b/>
          <w:i w:val="false"/>
          <w:color w:val="000000"/>
          <w:sz w:val="22"/>
        </w:rPr>
        <w:t xml:space="preserve">(272D) </w:t>
      </w:r>
      <w:r>
        <w:rPr>
          <w:rFonts w:ascii="Times New Roman" w:hAnsi="Times New Roman"/>
          <w:b/>
          <w:i w:val="false"/>
          <w:color w:val="000000"/>
          <w:sz w:val="22"/>
        </w:rPr>
        <w:t xml:space="preserve">Requirements of the licensing authority. </w:t>
      </w:r>
      <w:r>
        <w:rPr>
          <w:rFonts w:ascii="Times New Roman" w:hAnsi="Times New Roman"/>
          <w:b w:val="false"/>
          <w:i w:val="false"/>
          <w:color w:val="000000"/>
          <w:sz w:val="22"/>
        </w:rPr>
        <w:t xml:space="preserve">Licensing authorities shall observe the requirements and procedures of Iowa Code section </w:t>
      </w:r>
      <w:hyperlink r:id="rId13">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701—24.9</w:t>
      </w:r>
      <w:r>
        <w:rPr>
          <w:rFonts w:ascii="Times New Roman" w:hAnsi="Times New Roman"/>
          <w:b/>
          <w:i w:val="false"/>
          <w:color w:val="000000"/>
          <w:sz w:val="22"/>
        </w:rPr>
        <w:t xml:space="preserve">(272D) </w:t>
      </w:r>
      <w:r>
        <w:rPr>
          <w:rFonts w:ascii="Times New Roman" w:hAnsi="Times New Roman"/>
          <w:b/>
          <w:i w:val="false"/>
          <w:color w:val="000000"/>
          <w:sz w:val="22"/>
        </w:rPr>
        <w:t xml:space="preserve">District court hearing. </w:t>
      </w:r>
      <w:r>
        <w:rPr>
          <w:rFonts w:ascii="Times New Roman" w:hAnsi="Times New Roman"/>
          <w:b w:val="false"/>
          <w:i w:val="false"/>
          <w:color w:val="000000"/>
          <w:sz w:val="22"/>
        </w:rPr>
        <w:t xml:space="preserve">A person may file an application for review of the decision by the unit or following issuance of notice by the licensing authority with the district court as described in Iowa Code section </w:t>
      </w:r>
      <w:hyperlink r:id="rId14">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xml:space="preserve">. Actions initiated by the unit under this chapter shall not be subject to contested case proceedings or further review pursuant to Iowa Code chapter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and any resulting court hearing shall be an original hearing before the district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272D.2</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272D.5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7835C</w:t>
      </w:r>
      <w:r>
        <w:rPr>
          <w:rFonts w:ascii="Times New Roman" w:hAnsi="Times New Roman"/>
          <w:b w:val="false"/>
          <w:i w:val="false"/>
          <w:color w:val="000000"/>
          <w:sz w:val="21"/>
        </w:rPr>
        <w:t xml:space="preserve"> (Notice ARC 7181C, IAB 12/13/23)</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D.1.pdf" Type="http://schemas.openxmlformats.org/officeDocument/2006/relationships/hyperlink" Id="rId5"/>
    <Relationship TargetMode="External" Target="https://www.legis.iowa.gov/docs/ico/chapter/272D.3.pdf" Type="http://schemas.openxmlformats.org/officeDocument/2006/relationships/hyperlink" Id="rId6"/>
    <Relationship TargetMode="External" Target="https://www.legis.iowa.gov/docs/ico/chapter/272D.6.pdf" Type="http://schemas.openxmlformats.org/officeDocument/2006/relationships/hyperlink" Id="rId7"/>
    <Relationship TargetMode="External" Target="https://www.legis.iowa.gov/docs/iac/rule/701.24.2.pdf" Type="http://schemas.openxmlformats.org/officeDocument/2006/relationships/hyperlink" Id="rId8"/>
    <Relationship TargetMode="External" Target="https://www.legis.iowa.gov/docs/ico/chapter/272D.5.pdf" Type="http://schemas.openxmlformats.org/officeDocument/2006/relationships/hyperlink" Id="rId9"/>
    <Relationship TargetMode="External" Target="https://www.legis.iowa.gov/docs/ico/chapter/272D.6.pdf" Type="http://schemas.openxmlformats.org/officeDocument/2006/relationships/hyperlink" Id="rId10"/>
    <Relationship TargetMode="External" Target="https://www.legis.iowa.gov/docs/ico/chapter/272D.6.pdf" Type="http://schemas.openxmlformats.org/officeDocument/2006/relationships/hyperlink" Id="rId11"/>
    <Relationship TargetMode="External" Target="https://www.legis.iowa.gov/docs/ico/chapter/272D.7.pdf" Type="http://schemas.openxmlformats.org/officeDocument/2006/relationships/hyperlink" Id="rId12"/>
    <Relationship TargetMode="External" Target="https://www.legis.iowa.gov/docs/ico/chapter/272D.8.pdf" Type="http://schemas.openxmlformats.org/officeDocument/2006/relationships/hyperlink" Id="rId13"/>
    <Relationship TargetMode="External" Target="https://www.legis.iowa.gov/docs/ico/chapter/272D.9.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272D.2.pdf" Type="http://schemas.openxmlformats.org/officeDocument/2006/relationships/hyperlink" Id="rId16"/>
    <Relationship TargetMode="External" Target="https://www.legis.iowa.gov/docs/ico/chapter/272D.5.pdf" Type="http://schemas.openxmlformats.org/officeDocument/2006/relationships/hyperlink" Id="rId17"/>
    <Relationship TargetMode="External" Target="https://www.legis.iowa.gov/docs/ico/chapter/272D.9.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