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 xml:space="preserve">RESALE AND PROCESSING EXEMPTIONS PRIMARILY </w:t>
      </w:r>
      <w:r>
        <w:br/>
      </w:r>
      <w:r>
        <w:rPr>
          <w:rFonts w:ascii="Times New Roman" w:hAnsi="Times New Roman"/>
          <w:b w:val="false"/>
          <w:i w:val="false"/>
          <w:color w:val="000000"/>
          <w:sz w:val="21"/>
        </w:rPr>
        <w:t>OF BENEFIT TO RETAILERS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701—225.1</w:t>
      </w:r>
      <w:r>
        <w:rPr>
          <w:rFonts w:ascii="Times New Roman" w:hAnsi="Times New Roman"/>
          <w:b/>
          <w:i w:val="false"/>
          <w:color w:val="000000"/>
          <w:sz w:val="22"/>
        </w:rPr>
        <w:t xml:space="preserve">(423) </w:t>
      </w:r>
      <w:r>
        <w:rPr>
          <w:rFonts w:ascii="Times New Roman" w:hAnsi="Times New Roman"/>
          <w:b/>
          <w:i w:val="false"/>
          <w:color w:val="000000"/>
          <w:sz w:val="22"/>
        </w:rPr>
        <w:t xml:space="preserve">Paper or plastic plates, cups, and dishes; paper napkins; wooden or plastic spoons and forks; and straws. </w:t>
      </w:r>
      <w:r>
        <w:rPr>
          <w:rFonts w:ascii="Times New Roman" w:hAnsi="Times New Roman"/>
          <w:b w:val="false"/>
          <w:i w:val="false"/>
          <w:color w:val="000000"/>
          <w:sz w:val="22"/>
        </w:rPr>
        <w:t>When paper or plastic cups, plates, and dishes, paper napkins, and wooden or plastic spoons, forks, and other utensils are sold with food or other items to a buyer, and the buyer uses or consumes the utensils, sales of those utensils to retailers are considered sales for resale. The sales price from the sale of such items by retailers to consumers or users is subject to tax.</w:t>
      </w:r>
    </w:p>
    <w:p>
      <w:pPr>
        <w:spacing w:before="0" w:after="0"/>
        <w:ind w:left="120"/>
        <w:jc w:val="both"/>
      </w:pPr>
      <w:r>
        <w:rPr>
          <w:rFonts w:ascii="Times New Roman" w:hAnsi="Times New Roman"/>
          <w:b w:val="false"/>
          <w:i w:val="false"/>
          <w:color w:val="000000"/>
          <w:sz w:val="22"/>
        </w:rPr>
        <w:t>When these articles are transferred in connection with a service or sold for free distribution by retailers apart from a retail sale, the transaction is deemed to be a retail sale to the retailer and therefore is taxable.</w:t>
      </w:r>
    </w:p>
    <w:p>
      <w:pPr>
        <w:spacing w:before="0" w:after="0"/>
        <w:ind w:left="120"/>
        <w:jc w:val="both"/>
      </w:pPr>
      <w:r>
        <w:rPr>
          <w:rFonts w:ascii="Times New Roman" w:hAnsi="Times New Roman"/>
          <w:b w:val="false"/>
          <w:i w:val="false"/>
          <w:color w:val="000000"/>
          <w:sz w:val="22"/>
        </w:rPr>
        <w:t>Sales of reusable placemats to retailers that sell meals are also subject to tax.</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retailer purchases napkins and disposable forks and knives for the retailer’s restaurant. The retailer provides these items free of charge, apart from the retail sale of food at the retailer’s restaurant. Sale of these items to the retailer is a retail sale and is subject to tax.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retailer purchases napkins and disposable forks and knives for the retailer’s restaurant. The retailer sells these items with tangible personal property to the retailer’s customers. The sale of these items to the retailer is considered a sale for resale and is not subject to Iowa sales tax at the time of purchase.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701—225.2</w:t>
      </w:r>
      <w:r>
        <w:rPr>
          <w:rFonts w:ascii="Times New Roman" w:hAnsi="Times New Roman"/>
          <w:b/>
          <w:i w:val="false"/>
          <w:color w:val="000000"/>
          <w:sz w:val="22"/>
        </w:rPr>
        <w:t xml:space="preserve">(423) </w:t>
      </w:r>
      <w:r>
        <w:rPr>
          <w:rFonts w:ascii="Times New Roman" w:hAnsi="Times New Roman"/>
          <w:b/>
          <w:i w:val="false"/>
          <w:color w:val="000000"/>
          <w:sz w:val="22"/>
        </w:rPr>
        <w:t xml:space="preserve">Services used in the repair or reconditioning of certain tangible personal property. </w:t>
      </w:r>
      <w:r>
        <w:rPr>
          <w:rFonts w:ascii="Times New Roman" w:hAnsi="Times New Roman"/>
          <w:b w:val="false"/>
          <w:i w:val="false"/>
          <w:color w:val="000000"/>
          <w:sz w:val="22"/>
        </w:rPr>
        <w:t>Services are exempt from tax when used in the reconditioning or repairing of tangible personal property of the type that is normally sold in the regular course of the retailer’s business and that is held for sale by the retailer.</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owns a retail appliance store and contracts with B to repair a refrigerator that A is going to resell. A can purchase the repair service from B tax-free because A is regularly engaged in selling refrigerators and will offer the refrigerator for sale when it is repaired.</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B, a used car dealer, owns a used car lot and contracts with C to repair a used car that B is going to sell. B can purchase the repair service from C tax-free because B is regularly engaged in selling used cars and will sell the used car after it is repaired.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C operates a retail farm implement dealership. C accepts a motorboat as part consideration for a piece of farm equipment. C then contracts with D to repair the motor on the boat. C does not normally sell motorboats in the regular course of C’s business. Therefore, the service performed by D for C is subject to tax.</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XYZ owns a retail radio and television store in Iowa and contracts with W to repair a television that XYZ is going to sell. XYZ can purchase television repair service tax-free from W because XYZ is regularly engaged in selling televisions subject to sales tax. However, in this instance, XYZ sells the used television and delivers it into interstate commerce with the result that the Iowa sales tax is not collectible. Regardless of this fact, the exemption is applicable, and no Iowa tax is due for the television repair services performed.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423.1(55)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423.3(50)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701—225.3</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purchased by a person engaged in the performance of a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Tangible personal property purchased by a person engaged in the performance of a service is purchased for resale and not subject to tax if (1) the provider and user of the service intend that a sale of the property will occur, and (2) the property is transferred to the user of the service in connection with the performance of the service in a form or quantity capable of a fixed or definite price value, and (3) the sale is evidenced by a separate charge for the identifiable piece or quantity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Tangible personal property that is not sold in the manner set forth in </w:t>
      </w:r>
      <w:hyperlink r:id="rId8">
        <w:r>
          <w:rPr>
            <w:rStyle w:val="Hyperlink"/>
            <w:rFonts w:ascii="Times New Roman" w:hAnsi="Times New Roman"/>
            <w:b w:val="false"/>
            <w:i w:val="false"/>
            <w:color w:val="000000"/>
            <w:sz w:val="22"/>
          </w:rPr>
          <w:t>paragraph 225.3(1)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above is not purchased for resale and thus is subject to tax at the time of purchase by a person engaged in the performance of a service. Such tangible personal property is considered to be consumed by the purchaser who is engaged in the performance of a service, and the person performing the service shall pay tax upon the sale at the time of purchase.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investment counselor purchases envelopes. These envelopes are used to send out monthly reports to the investment counselor’s clients regarding the clients’ accounts. Tax is due at the time the investment counselor purchases the envelopes if the clients are not billed for these items. Each envelope is transferred to a client in a form or quantity that is capable of a fixed or definite price value. However, there must also be an actual sale to the client (customer) of an item of personal property in order that there be a “resale” of the item.</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retailer purchases television power supplies tax-free and makes a separate charge for the power supply to the customer. Since the power supply is transferred to the customer in a form or quantity capable of a fixed or definite price value, the retailer may purchase the power supply exempt from tax for subsequent resale.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beauty shop purchases shampoo and other items to be used in the performance of the shop’s service. Tax is due at the time the beauty shop purchases such items from the shop’s supplier because the customers of the beauty shop are not separately billed for the items and because the items are not transferred to the customer in a form or quantity capable of a fixed or definite price value. The items are consumed by the beauty shop.</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An accounting firm purchases plastic binders that are used to cover the reports issued to the firm’s customers. These binders would be subject to tax at the time of purchase by the firm where the customer of the firm is not billed for the item, because there is no sale to the customer.</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 meat locker purchases materials, such as wrapping paper and tape, that the meat locker uses to wrap meat for customers who provide the locker with the meat. These materials would be subject to tax at the time of purchase by the meat locker because the materials are not sold to the customer in a form or quantity capable of a fixed or definite price value.</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A jeweler purchases materials, such as main springs and crystals, to be used in the performance of a service. These items are purchased by the jeweler for resale when the items are transferred to the customer in a form or quantity capable of a fixed or definite price value, and each item is actually sold to the customer as evidenced by a separate charge therefor.</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A lawn care service applies fertilizer, herbicides, and pesticides to the lawn care service’s customers’ lawns. The following are examples of invoices to customers that are suitable to indicate a lawn care service’s purchase of the fertilizer, herbicides, and pesticides for resale to those customers: “Chemicals...31 Gal....$60”; “Fertilizer...50 lbs....$100”; and “Materials applied to lawn...4 bushel...$40.” The following are examples of information placed upon an invoice that would not indicate a purchase for resale to the customers invoiced: “Fifty percent of the charge for this service is for materials placed on a lawn,” or “Lawn chemicals...$30” or “Fifty pounds of fertilizer was applied to this lawn.”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225.3(2)</w:t>
      </w:r>
      <w:r>
        <w:rPr>
          <w:rFonts w:ascii="Times New Roman" w:hAnsi="Times New Roman"/>
          <w:b w:val="false"/>
          <w:i w:val="false"/>
          <w:color w:val="000000"/>
          <w:sz w:val="22"/>
        </w:rPr>
        <w:t> </w:t>
      </w:r>
      <w:r>
        <w:rPr>
          <w:rFonts w:ascii="Times New Roman" w:hAnsi="Times New Roman"/>
          <w:b w:val="false"/>
          <w:i/>
          <w:color w:val="000000"/>
          <w:sz w:val="22"/>
        </w:rPr>
        <w:t xml:space="preserve">Purchases made by automobile body shops or garages with body shops.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Chemicals, solvents, sorbents, and reagents. </w:t>
      </w:r>
      <w:r>
        <w:rPr>
          <w:rFonts w:ascii="Times New Roman" w:hAnsi="Times New Roman"/>
          <w:b w:val="false"/>
          <w:i w:val="false"/>
          <w:color w:val="000000"/>
          <w:sz w:val="22"/>
        </w:rPr>
        <w:t xml:space="preserve">Body shops may make exempt purchases of qualifying chemicals, solvents, sorbents, reagents, and other tangible personal property used in a vehicle repair service. Iowa Code section </w:t>
      </w:r>
      <w:hyperlink r:id="rId9">
        <w:r>
          <w:rPr>
            <w:rStyle w:val="Hyperlink"/>
            <w:rFonts w:ascii="Times New Roman" w:hAnsi="Times New Roman"/>
            <w:b w:val="false"/>
            <w:i w:val="false"/>
            <w:color w:val="000000"/>
            <w:sz w:val="22"/>
          </w:rPr>
          <w:t>423.3(99)</w:t>
        </w:r>
      </w:hyperlink>
      <w:r>
        <w:rPr>
          <w:rFonts w:ascii="Times New Roman" w:hAnsi="Times New Roman"/>
          <w:b w:val="false"/>
          <w:i w:val="false"/>
          <w:color w:val="000000"/>
          <w:sz w:val="22"/>
        </w:rPr>
        <w:t xml:space="preserve"> contains more information on the conditions that must be met to qualify for this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for resale. </w:t>
      </w:r>
      <w:r>
        <w:rPr>
          <w:rFonts w:ascii="Times New Roman" w:hAnsi="Times New Roman"/>
          <w:b w:val="false"/>
          <w:i w:val="false"/>
          <w:color w:val="000000"/>
          <w:sz w:val="22"/>
        </w:rPr>
        <w:t>Tangible personal property purchased by body shops can be purchased for resale provided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property purchased for resale is actually transferred to the body shop’s customer by becoming an ingredient or component part of the repair work. More information is contained in Iowa Code section </w:t>
      </w:r>
      <w:hyperlink r:id="rId10">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purchased for resale is itemized as a separate item on the invoice to the body shop’s customer and is transferred to the customer in a form or quantity capable of a fixed or definite price value.</w:t>
      </w:r>
    </w:p>
    <w:p>
      <w:pPr>
        <w:spacing w:before="0" w:after="0"/>
        <w:ind w:left="120"/>
        <w:jc w:val="both"/>
      </w:pPr>
      <w:r>
        <w:rPr>
          <w:rFonts w:ascii="Times New Roman" w:hAnsi="Times New Roman"/>
          <w:b w:val="false"/>
          <w:i w:val="false"/>
          <w:color w:val="000000"/>
          <w:sz w:val="22"/>
        </w:rPr>
        <w:t>If either of the above two conditions is not met, there is no purchase for resale and the body shop is deemed the consumer of the item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w:t>
      </w:r>
      <w:r>
        <w:rPr>
          <w:rFonts w:ascii="Times New Roman" w:hAnsi="Times New Roman"/>
          <w:b w:val="false"/>
          <w:i w:val="false"/>
          <w:color w:val="000000"/>
          <w:sz w:val="22"/>
        </w:rPr>
        <w:t>When body shops purchase items that will be resold (detailed list below) in the course of the repair activity or otherwise exempt, the vendors selling to the body shops are encouraged to accept a valid exemption certificate at the time of purchase. Failure of the vendor to accept a valid exemption certificate may subject that vendor to sales tax liability since the burden of proof would be on the vendor that a sale was made for resale. If the vendor cannot meet that burden, the vendor will be liable for the sales tax. Such burden is not met merely by a showing that the purchaser had obtained from the department an Iowa retail sales tax permit or retail use tax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Parts purchased for resale. </w:t>
      </w:r>
      <w:r>
        <w:rPr>
          <w:rFonts w:ascii="Times New Roman" w:hAnsi="Times New Roman"/>
          <w:b w:val="false"/>
          <w:i w:val="false"/>
          <w:color w:val="000000"/>
          <w:sz w:val="22"/>
        </w:rPr>
        <w:t>The following are nonexclusive examples of parts which can be purchased for resale since they are generally transferred to the body shop’s customer during the course of the repair in a form or quantity capable of a fixed or definite price value and are generally itemized separately as parts:</w:t>
      </w:r>
    </w:p>
    <w:p>
      <w:pPr>
        <w:spacing w:before="0" w:after="0"/>
        <w:ind w:left="120"/>
        <w:jc w:val="both"/>
      </w:pPr>
      <w:r>
        <w:rPr>
          <w:rFonts w:ascii="Times New Roman" w:hAnsi="Times New Roman"/>
          <w:b w:val="false"/>
          <w:i w:val="false"/>
          <w:color w:val="000000"/>
          <w:sz w:val="22"/>
        </w:rPr>
        <w:t>Accessories</w:t>
      </w:r>
    </w:p>
    <w:p>
      <w:pPr>
        <w:spacing w:before="0" w:after="0"/>
        <w:ind w:left="120"/>
        <w:jc w:val="both"/>
      </w:pPr>
      <w:r>
        <w:rPr>
          <w:rFonts w:ascii="Times New Roman" w:hAnsi="Times New Roman"/>
          <w:b w:val="false"/>
          <w:i w:val="false"/>
          <w:color w:val="000000"/>
          <w:sz w:val="22"/>
        </w:rPr>
        <w:t>Batteries</w:t>
      </w:r>
    </w:p>
    <w:p>
      <w:pPr>
        <w:spacing w:before="0" w:after="0"/>
        <w:ind w:left="120"/>
        <w:jc w:val="both"/>
      </w:pPr>
      <w:r>
        <w:rPr>
          <w:rFonts w:ascii="Times New Roman" w:hAnsi="Times New Roman"/>
          <w:b w:val="false"/>
          <w:i w:val="false"/>
          <w:color w:val="000000"/>
          <w:sz w:val="22"/>
        </w:rPr>
        <w:t>Brackets</w:t>
      </w:r>
    </w:p>
    <w:p>
      <w:pPr>
        <w:spacing w:before="0" w:after="0"/>
        <w:ind w:left="120"/>
        <w:jc w:val="both"/>
      </w:pPr>
      <w:r>
        <w:rPr>
          <w:rFonts w:ascii="Times New Roman" w:hAnsi="Times New Roman"/>
          <w:b w:val="false"/>
          <w:i w:val="false"/>
          <w:color w:val="000000"/>
          <w:sz w:val="22"/>
        </w:rPr>
        <w:t>Bulbs</w:t>
      </w:r>
    </w:p>
    <w:p>
      <w:pPr>
        <w:spacing w:before="0" w:after="0"/>
        <w:ind w:left="120"/>
        <w:jc w:val="both"/>
      </w:pPr>
      <w:r>
        <w:rPr>
          <w:rFonts w:ascii="Times New Roman" w:hAnsi="Times New Roman"/>
          <w:b w:val="false"/>
          <w:i w:val="false"/>
          <w:color w:val="000000"/>
          <w:sz w:val="22"/>
        </w:rPr>
        <w:t>Bumpers</w:t>
      </w:r>
    </w:p>
    <w:p>
      <w:pPr>
        <w:spacing w:before="0" w:after="0"/>
        <w:ind w:left="120"/>
        <w:jc w:val="both"/>
      </w:pPr>
      <w:r>
        <w:rPr>
          <w:rFonts w:ascii="Times New Roman" w:hAnsi="Times New Roman"/>
          <w:b w:val="false"/>
          <w:i w:val="false"/>
          <w:color w:val="000000"/>
          <w:sz w:val="22"/>
        </w:rPr>
        <w:t>Cab corners</w:t>
      </w:r>
    </w:p>
    <w:p>
      <w:pPr>
        <w:spacing w:before="0" w:after="0"/>
        <w:ind w:left="120"/>
        <w:jc w:val="both"/>
      </w:pPr>
      <w:r>
        <w:rPr>
          <w:rFonts w:ascii="Times New Roman" w:hAnsi="Times New Roman"/>
          <w:b w:val="false"/>
          <w:i w:val="false"/>
          <w:color w:val="000000"/>
          <w:sz w:val="22"/>
        </w:rPr>
        <w:t>Chassis parts</w:t>
      </w:r>
    </w:p>
    <w:p>
      <w:pPr>
        <w:spacing w:before="0" w:after="0"/>
        <w:ind w:left="120"/>
        <w:jc w:val="both"/>
      </w:pPr>
      <w:r>
        <w:rPr>
          <w:rFonts w:ascii="Times New Roman" w:hAnsi="Times New Roman"/>
          <w:b w:val="false"/>
          <w:i w:val="false"/>
          <w:color w:val="000000"/>
          <w:sz w:val="22"/>
        </w:rPr>
        <w:t>Door guards</w:t>
      </w:r>
    </w:p>
    <w:p>
      <w:pPr>
        <w:spacing w:before="0" w:after="0"/>
        <w:ind w:left="120"/>
        <w:jc w:val="both"/>
      </w:pPr>
      <w:r>
        <w:rPr>
          <w:rFonts w:ascii="Times New Roman" w:hAnsi="Times New Roman"/>
          <w:b w:val="false"/>
          <w:i w:val="false"/>
          <w:color w:val="000000"/>
          <w:sz w:val="22"/>
        </w:rPr>
        <w:t>Door handles</w:t>
      </w:r>
    </w:p>
    <w:p>
      <w:pPr>
        <w:spacing w:before="0" w:after="0"/>
        <w:ind w:left="120"/>
        <w:jc w:val="both"/>
      </w:pPr>
      <w:r>
        <w:rPr>
          <w:rFonts w:ascii="Times New Roman" w:hAnsi="Times New Roman"/>
          <w:b w:val="false"/>
          <w:i w:val="false"/>
          <w:color w:val="000000"/>
          <w:sz w:val="22"/>
        </w:rPr>
        <w:t>Doors</w:t>
      </w:r>
    </w:p>
    <w:p>
      <w:pPr>
        <w:spacing w:before="0" w:after="0"/>
        <w:ind w:left="120"/>
        <w:jc w:val="both"/>
      </w:pPr>
      <w:r>
        <w:rPr>
          <w:rFonts w:ascii="Times New Roman" w:hAnsi="Times New Roman"/>
          <w:b w:val="false"/>
          <w:i w:val="false"/>
          <w:color w:val="000000"/>
          <w:sz w:val="22"/>
        </w:rPr>
        <w:t>Engine parts</w:t>
      </w:r>
    </w:p>
    <w:p>
      <w:pPr>
        <w:spacing w:before="0" w:after="0"/>
        <w:ind w:left="120"/>
        <w:jc w:val="both"/>
      </w:pPr>
      <w:r>
        <w:rPr>
          <w:rFonts w:ascii="Times New Roman" w:hAnsi="Times New Roman"/>
          <w:b w:val="false"/>
          <w:i w:val="false"/>
          <w:color w:val="000000"/>
          <w:sz w:val="22"/>
        </w:rPr>
        <w:t>Fenders</w:t>
      </w:r>
    </w:p>
    <w:p>
      <w:pPr>
        <w:spacing w:before="0" w:after="0"/>
        <w:ind w:left="120"/>
        <w:jc w:val="both"/>
      </w:pPr>
      <w:r>
        <w:rPr>
          <w:rFonts w:ascii="Times New Roman" w:hAnsi="Times New Roman"/>
          <w:b w:val="false"/>
          <w:i w:val="false"/>
          <w:color w:val="000000"/>
          <w:sz w:val="22"/>
        </w:rPr>
        <w:t>Floor mats</w:t>
      </w:r>
    </w:p>
    <w:p>
      <w:pPr>
        <w:spacing w:before="0" w:after="0"/>
        <w:ind w:left="120"/>
        <w:jc w:val="both"/>
      </w:pPr>
      <w:r>
        <w:rPr>
          <w:rFonts w:ascii="Times New Roman" w:hAnsi="Times New Roman"/>
          <w:b w:val="false"/>
          <w:i w:val="false"/>
          <w:color w:val="000000"/>
          <w:sz w:val="22"/>
        </w:rPr>
        <w:t>Grilles</w:t>
      </w:r>
    </w:p>
    <w:p>
      <w:pPr>
        <w:spacing w:before="0" w:after="0"/>
        <w:ind w:left="120"/>
        <w:jc w:val="both"/>
      </w:pPr>
      <w:r>
        <w:rPr>
          <w:rFonts w:ascii="Times New Roman" w:hAnsi="Times New Roman"/>
          <w:b w:val="false"/>
          <w:i w:val="false"/>
          <w:color w:val="000000"/>
          <w:sz w:val="22"/>
        </w:rPr>
        <w:t>Headlamps</w:t>
      </w:r>
    </w:p>
    <w:p>
      <w:pPr>
        <w:spacing w:before="0" w:after="0"/>
        <w:ind w:left="120"/>
        <w:jc w:val="both"/>
      </w:pPr>
      <w:r>
        <w:rPr>
          <w:rFonts w:ascii="Times New Roman" w:hAnsi="Times New Roman"/>
          <w:b w:val="false"/>
          <w:i w:val="false"/>
          <w:color w:val="000000"/>
          <w:sz w:val="22"/>
        </w:rPr>
        <w:t>Hoods</w:t>
      </w:r>
    </w:p>
    <w:p>
      <w:pPr>
        <w:spacing w:before="0" w:after="0"/>
        <w:ind w:left="120"/>
        <w:jc w:val="both"/>
      </w:pPr>
      <w:r>
        <w:rPr>
          <w:rFonts w:ascii="Times New Roman" w:hAnsi="Times New Roman"/>
          <w:b w:val="false"/>
          <w:i w:val="false"/>
          <w:color w:val="000000"/>
          <w:sz w:val="22"/>
        </w:rPr>
        <w:t>Hubcaps</w:t>
      </w:r>
    </w:p>
    <w:p>
      <w:pPr>
        <w:spacing w:before="0" w:after="0"/>
        <w:ind w:left="120"/>
        <w:jc w:val="both"/>
      </w:pPr>
      <w:r>
        <w:rPr>
          <w:rFonts w:ascii="Times New Roman" w:hAnsi="Times New Roman"/>
          <w:b w:val="false"/>
          <w:i w:val="false"/>
          <w:color w:val="000000"/>
          <w:sz w:val="22"/>
        </w:rPr>
        <w:t>Radiators</w:t>
      </w:r>
    </w:p>
    <w:p>
      <w:pPr>
        <w:spacing w:before="0" w:after="0"/>
        <w:ind w:left="120"/>
        <w:jc w:val="both"/>
      </w:pPr>
      <w:r>
        <w:rPr>
          <w:rFonts w:ascii="Times New Roman" w:hAnsi="Times New Roman"/>
          <w:b w:val="false"/>
          <w:i w:val="false"/>
          <w:color w:val="000000"/>
          <w:sz w:val="22"/>
        </w:rPr>
        <w:t>Rocker panels</w:t>
      </w:r>
    </w:p>
    <w:p>
      <w:pPr>
        <w:spacing w:before="0" w:after="0"/>
        <w:ind w:left="120"/>
        <w:jc w:val="both"/>
      </w:pPr>
      <w:r>
        <w:rPr>
          <w:rFonts w:ascii="Times New Roman" w:hAnsi="Times New Roman"/>
          <w:b w:val="false"/>
          <w:i w:val="false"/>
          <w:color w:val="000000"/>
          <w:sz w:val="22"/>
        </w:rPr>
        <w:t>Shock absorbers</w:t>
      </w:r>
    </w:p>
    <w:p>
      <w:pPr>
        <w:spacing w:before="0" w:after="0"/>
        <w:ind w:left="120"/>
        <w:jc w:val="both"/>
      </w:pPr>
      <w:r>
        <w:rPr>
          <w:rFonts w:ascii="Times New Roman" w:hAnsi="Times New Roman"/>
          <w:b w:val="false"/>
          <w:i w:val="false"/>
          <w:color w:val="000000"/>
          <w:sz w:val="22"/>
        </w:rPr>
        <w:t>Side molding</w:t>
      </w:r>
    </w:p>
    <w:p>
      <w:pPr>
        <w:spacing w:before="0" w:after="0"/>
        <w:ind w:left="120"/>
        <w:jc w:val="both"/>
      </w:pPr>
      <w:r>
        <w:rPr>
          <w:rFonts w:ascii="Times New Roman" w:hAnsi="Times New Roman"/>
          <w:b w:val="false"/>
          <w:i w:val="false"/>
          <w:color w:val="000000"/>
          <w:sz w:val="22"/>
        </w:rPr>
        <w:t>Spark plugs</w:t>
      </w:r>
    </w:p>
    <w:p>
      <w:pPr>
        <w:spacing w:before="0" w:after="0"/>
        <w:ind w:left="120"/>
        <w:jc w:val="both"/>
      </w:pPr>
      <w:r>
        <w:rPr>
          <w:rFonts w:ascii="Times New Roman" w:hAnsi="Times New Roman"/>
          <w:b w:val="false"/>
          <w:i w:val="false"/>
          <w:color w:val="000000"/>
          <w:sz w:val="22"/>
        </w:rPr>
        <w:t>Tires</w:t>
      </w:r>
    </w:p>
    <w:p>
      <w:pPr>
        <w:spacing w:before="0" w:after="0"/>
        <w:ind w:left="120"/>
        <w:jc w:val="both"/>
      </w:pPr>
      <w:r>
        <w:rPr>
          <w:rFonts w:ascii="Times New Roman" w:hAnsi="Times New Roman"/>
          <w:b w:val="false"/>
          <w:i w:val="false"/>
          <w:color w:val="000000"/>
          <w:sz w:val="22"/>
        </w:rPr>
        <w:t>Trim</w:t>
      </w:r>
    </w:p>
    <w:p>
      <w:pPr>
        <w:spacing w:before="0" w:after="0"/>
        <w:ind w:left="120"/>
        <w:jc w:val="both"/>
      </w:pPr>
      <w:r>
        <w:rPr>
          <w:rFonts w:ascii="Times New Roman" w:hAnsi="Times New Roman"/>
          <w:b w:val="false"/>
          <w:i w:val="false"/>
          <w:color w:val="000000"/>
          <w:sz w:val="22"/>
        </w:rPr>
        <w:t>Trunk lids</w:t>
      </w:r>
    </w:p>
    <w:p>
      <w:pPr>
        <w:spacing w:before="0" w:after="0"/>
        <w:ind w:left="120"/>
        <w:jc w:val="both"/>
      </w:pPr>
      <w:r>
        <w:rPr>
          <w:rFonts w:ascii="Times New Roman" w:hAnsi="Times New Roman"/>
          <w:b w:val="false"/>
          <w:i w:val="false"/>
          <w:color w:val="000000"/>
          <w:sz w:val="22"/>
        </w:rPr>
        <w:t>Wheels</w:t>
      </w:r>
    </w:p>
    <w:p>
      <w:pPr>
        <w:spacing w:before="0" w:after="0"/>
        <w:ind w:left="120"/>
        <w:jc w:val="both"/>
      </w:pPr>
      <w:r>
        <w:rPr>
          <w:rFonts w:ascii="Times New Roman" w:hAnsi="Times New Roman"/>
          <w:b w:val="false"/>
          <w:i w:val="false"/>
          <w:color w:val="000000"/>
          <w:sz w:val="22"/>
        </w:rPr>
        <w:t>Window glass</w:t>
      </w:r>
    </w:p>
    <w:p>
      <w:pPr>
        <w:spacing w:before="0" w:after="0"/>
        <w:ind w:left="120"/>
        <w:jc w:val="both"/>
      </w:pPr>
      <w:r>
        <w:rPr>
          <w:rFonts w:ascii="Times New Roman" w:hAnsi="Times New Roman"/>
          <w:b w:val="false"/>
          <w:i w:val="false"/>
          <w:color w:val="000000"/>
          <w:sz w:val="22"/>
        </w:rPr>
        <w:t>Windshield ribbon</w:t>
      </w:r>
    </w:p>
    <w:p>
      <w:pPr>
        <w:spacing w:before="0" w:after="0"/>
        <w:ind w:left="120"/>
        <w:jc w:val="both"/>
      </w:pPr>
      <w:r>
        <w:rPr>
          <w:rFonts w:ascii="Times New Roman" w:hAnsi="Times New Roman"/>
          <w:b w:val="false"/>
          <w:i w:val="false"/>
          <w:color w:val="000000"/>
          <w:sz w:val="22"/>
        </w:rPr>
        <w:t>Windshields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Taxable tools and supplies. </w:t>
      </w:r>
      <w:r>
        <w:rPr>
          <w:rFonts w:ascii="Times New Roman" w:hAnsi="Times New Roman"/>
          <w:b w:val="false"/>
          <w:i w:val="false"/>
          <w:color w:val="000000"/>
          <w:sz w:val="22"/>
        </w:rPr>
        <w:t>The following are nonexclusive examples of tools and supplies that are generally not transferred to the body shop’s customer during the course of the repair and, therefore, could not be purchased for resale. The body shop is deemed the consumer of these items since they are not transferred to a customer. Therefore, the body shop must pay tax to the vendor at the time of purchase:</w:t>
      </w:r>
    </w:p>
    <w:p>
      <w:pPr>
        <w:spacing w:before="0" w:after="0"/>
        <w:ind w:left="120"/>
        <w:jc w:val="both"/>
      </w:pPr>
      <w:r>
        <w:rPr>
          <w:rFonts w:ascii="Times New Roman" w:hAnsi="Times New Roman"/>
          <w:b w:val="false"/>
          <w:i w:val="false"/>
          <w:color w:val="000000"/>
          <w:sz w:val="22"/>
        </w:rPr>
        <w:t>Air compressors and parts</w:t>
      </w:r>
    </w:p>
    <w:p>
      <w:pPr>
        <w:spacing w:before="0" w:after="0"/>
        <w:ind w:left="120"/>
        <w:jc w:val="both"/>
      </w:pPr>
      <w:r>
        <w:rPr>
          <w:rFonts w:ascii="Times New Roman" w:hAnsi="Times New Roman"/>
          <w:b w:val="false"/>
          <w:i w:val="false"/>
          <w:color w:val="000000"/>
          <w:sz w:val="22"/>
        </w:rPr>
        <w:t>Body frame straightening equipment</w:t>
      </w:r>
    </w:p>
    <w:p>
      <w:pPr>
        <w:spacing w:before="0" w:after="0"/>
        <w:ind w:left="120"/>
        <w:jc w:val="both"/>
      </w:pPr>
      <w:r>
        <w:rPr>
          <w:rFonts w:ascii="Times New Roman" w:hAnsi="Times New Roman"/>
          <w:b w:val="false"/>
          <w:i w:val="false"/>
          <w:color w:val="000000"/>
          <w:sz w:val="22"/>
        </w:rPr>
        <w:t>Brooms and mops</w:t>
      </w:r>
    </w:p>
    <w:p>
      <w:pPr>
        <w:spacing w:before="0" w:after="0"/>
        <w:ind w:left="120"/>
        <w:jc w:val="both"/>
      </w:pPr>
      <w:r>
        <w:rPr>
          <w:rFonts w:ascii="Times New Roman" w:hAnsi="Times New Roman"/>
          <w:b w:val="false"/>
          <w:i w:val="false"/>
          <w:color w:val="000000"/>
          <w:sz w:val="22"/>
        </w:rPr>
        <w:t>Buffers</w:t>
      </w:r>
    </w:p>
    <w:p>
      <w:pPr>
        <w:spacing w:before="0" w:after="0"/>
        <w:ind w:left="120"/>
        <w:jc w:val="both"/>
      </w:pPr>
      <w:r>
        <w:rPr>
          <w:rFonts w:ascii="Times New Roman" w:hAnsi="Times New Roman"/>
          <w:b w:val="false"/>
          <w:i w:val="false"/>
          <w:color w:val="000000"/>
          <w:sz w:val="22"/>
        </w:rPr>
        <w:t>Chisels</w:t>
      </w:r>
    </w:p>
    <w:p>
      <w:pPr>
        <w:spacing w:before="0" w:after="0"/>
        <w:ind w:left="120"/>
        <w:jc w:val="both"/>
      </w:pPr>
      <w:r>
        <w:rPr>
          <w:rFonts w:ascii="Times New Roman" w:hAnsi="Times New Roman"/>
          <w:b w:val="false"/>
          <w:i w:val="false"/>
          <w:color w:val="000000"/>
          <w:sz w:val="22"/>
        </w:rPr>
        <w:t>Drill bits</w:t>
      </w:r>
    </w:p>
    <w:p>
      <w:pPr>
        <w:spacing w:before="0" w:after="0"/>
        <w:ind w:left="120"/>
        <w:jc w:val="both"/>
      </w:pPr>
      <w:r>
        <w:rPr>
          <w:rFonts w:ascii="Times New Roman" w:hAnsi="Times New Roman"/>
          <w:b w:val="false"/>
          <w:i w:val="false"/>
          <w:color w:val="000000"/>
          <w:sz w:val="22"/>
        </w:rPr>
        <w:t>Drop cords</w:t>
      </w:r>
    </w:p>
    <w:p>
      <w:pPr>
        <w:spacing w:before="0" w:after="0"/>
        <w:ind w:left="120"/>
        <w:jc w:val="both"/>
      </w:pPr>
      <w:r>
        <w:rPr>
          <w:rFonts w:ascii="Times New Roman" w:hAnsi="Times New Roman"/>
          <w:b w:val="false"/>
          <w:i w:val="false"/>
          <w:color w:val="000000"/>
          <w:sz w:val="22"/>
        </w:rPr>
        <w:t>Equipment parts</w:t>
      </w:r>
    </w:p>
    <w:p>
      <w:pPr>
        <w:spacing w:before="0" w:after="0"/>
        <w:ind w:left="120"/>
        <w:jc w:val="both"/>
      </w:pPr>
      <w:r>
        <w:rPr>
          <w:rFonts w:ascii="Times New Roman" w:hAnsi="Times New Roman"/>
          <w:b w:val="false"/>
          <w:i w:val="false"/>
          <w:color w:val="000000"/>
          <w:sz w:val="22"/>
        </w:rPr>
        <w:t>Fire extinguisher fluids</w:t>
      </w:r>
    </w:p>
    <w:p>
      <w:pPr>
        <w:spacing w:before="0" w:after="0"/>
        <w:ind w:left="120"/>
        <w:jc w:val="both"/>
      </w:pPr>
      <w:r>
        <w:rPr>
          <w:rFonts w:ascii="Times New Roman" w:hAnsi="Times New Roman"/>
          <w:b w:val="false"/>
          <w:i w:val="false"/>
          <w:color w:val="000000"/>
          <w:sz w:val="22"/>
        </w:rPr>
        <w:t>Floor jacks</w:t>
      </w:r>
    </w:p>
    <w:p>
      <w:pPr>
        <w:spacing w:before="0" w:after="0"/>
        <w:ind w:left="120"/>
        <w:jc w:val="both"/>
      </w:pPr>
      <w:r>
        <w:rPr>
          <w:rFonts w:ascii="Times New Roman" w:hAnsi="Times New Roman"/>
          <w:b w:val="false"/>
          <w:i w:val="false"/>
          <w:color w:val="000000"/>
          <w:sz w:val="22"/>
        </w:rPr>
        <w:t>Hand soap</w:t>
      </w:r>
    </w:p>
    <w:p>
      <w:pPr>
        <w:spacing w:before="0" w:after="0"/>
        <w:ind w:left="120"/>
        <w:jc w:val="both"/>
      </w:pPr>
      <w:r>
        <w:rPr>
          <w:rFonts w:ascii="Times New Roman" w:hAnsi="Times New Roman"/>
          <w:b w:val="false"/>
          <w:i w:val="false"/>
          <w:color w:val="000000"/>
          <w:sz w:val="22"/>
        </w:rPr>
        <w:t>Hand tools</w:t>
      </w:r>
    </w:p>
    <w:p>
      <w:pPr>
        <w:spacing w:before="0" w:after="0"/>
        <w:ind w:left="120"/>
        <w:jc w:val="both"/>
      </w:pPr>
      <w:r>
        <w:rPr>
          <w:rFonts w:ascii="Times New Roman" w:hAnsi="Times New Roman"/>
          <w:b w:val="false"/>
          <w:i w:val="false"/>
          <w:color w:val="000000"/>
          <w:sz w:val="22"/>
        </w:rPr>
        <w:t>Office supplies</w:t>
      </w:r>
    </w:p>
    <w:p>
      <w:pPr>
        <w:spacing w:before="0" w:after="0"/>
        <w:ind w:left="120"/>
        <w:jc w:val="both"/>
      </w:pPr>
      <w:r>
        <w:rPr>
          <w:rFonts w:ascii="Times New Roman" w:hAnsi="Times New Roman"/>
          <w:b w:val="false"/>
          <w:i w:val="false"/>
          <w:color w:val="000000"/>
          <w:sz w:val="22"/>
        </w:rPr>
        <w:t>Paint brushes</w:t>
      </w:r>
    </w:p>
    <w:p>
      <w:pPr>
        <w:spacing w:before="0" w:after="0"/>
        <w:ind w:left="120"/>
        <w:jc w:val="both"/>
      </w:pPr>
      <w:r>
        <w:rPr>
          <w:rFonts w:ascii="Times New Roman" w:hAnsi="Times New Roman"/>
          <w:b w:val="false"/>
          <w:i w:val="false"/>
          <w:color w:val="000000"/>
          <w:sz w:val="22"/>
        </w:rPr>
        <w:t>Paint sprayers</w:t>
      </w:r>
    </w:p>
    <w:p>
      <w:pPr>
        <w:spacing w:before="0" w:after="0"/>
        <w:ind w:left="120"/>
        <w:jc w:val="both"/>
      </w:pPr>
      <w:r>
        <w:rPr>
          <w:rFonts w:ascii="Times New Roman" w:hAnsi="Times New Roman"/>
          <w:b w:val="false"/>
          <w:i w:val="false"/>
          <w:color w:val="000000"/>
          <w:sz w:val="22"/>
        </w:rPr>
        <w:t>Sanders</w:t>
      </w:r>
    </w:p>
    <w:p>
      <w:pPr>
        <w:spacing w:before="0" w:after="0"/>
        <w:ind w:left="120"/>
        <w:jc w:val="both"/>
      </w:pPr>
      <w:r>
        <w:rPr>
          <w:rFonts w:ascii="Times New Roman" w:hAnsi="Times New Roman"/>
          <w:b w:val="false"/>
          <w:i w:val="false"/>
          <w:color w:val="000000"/>
          <w:sz w:val="22"/>
        </w:rPr>
        <w:t>Signs</w:t>
      </w:r>
    </w:p>
    <w:p>
      <w:pPr>
        <w:spacing w:before="0" w:after="0"/>
        <w:ind w:left="120"/>
        <w:jc w:val="both"/>
      </w:pPr>
      <w:r>
        <w:rPr>
          <w:rFonts w:ascii="Times New Roman" w:hAnsi="Times New Roman"/>
          <w:b w:val="false"/>
          <w:i w:val="false"/>
          <w:color w:val="000000"/>
          <w:sz w:val="22"/>
        </w:rPr>
        <w:t>Spreaders for putty</w:t>
      </w:r>
    </w:p>
    <w:p>
      <w:pPr>
        <w:spacing w:before="0" w:after="0"/>
        <w:ind w:left="120"/>
        <w:jc w:val="both"/>
      </w:pPr>
      <w:r>
        <w:rPr>
          <w:rFonts w:ascii="Times New Roman" w:hAnsi="Times New Roman"/>
          <w:b w:val="false"/>
          <w:i w:val="false"/>
          <w:color w:val="000000"/>
          <w:sz w:val="22"/>
        </w:rPr>
        <w:t>Washing equipment and parts</w:t>
      </w:r>
    </w:p>
    <w:p>
      <w:pPr>
        <w:spacing w:before="0" w:after="0"/>
        <w:ind w:left="120"/>
        <w:jc w:val="both"/>
      </w:pPr>
      <w:r>
        <w:rPr>
          <w:rFonts w:ascii="Times New Roman" w:hAnsi="Times New Roman"/>
          <w:b w:val="false"/>
          <w:i w:val="false"/>
          <w:color w:val="000000"/>
          <w:sz w:val="22"/>
        </w:rPr>
        <w:t>Welding equipment and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Separately itemized. </w:t>
      </w:r>
      <w:r>
        <w:rPr>
          <w:rFonts w:ascii="Times New Roman" w:hAnsi="Times New Roman"/>
          <w:b w:val="false"/>
          <w:i w:val="false"/>
          <w:color w:val="000000"/>
          <w:sz w:val="22"/>
        </w:rPr>
        <w:t xml:space="preserve">A body shop must collect sales tax on the taxable service of repairing motor vehicles. More information is contained in rule </w:t>
      </w:r>
      <w:hyperlink r:id="rId11">
        <w:r>
          <w:rPr>
            <w:rStyle w:val="Hyperlink"/>
            <w:rFonts w:ascii="Times New Roman" w:hAnsi="Times New Roman"/>
            <w:b w:val="false"/>
            <w:i w:val="false"/>
            <w:color w:val="000000"/>
            <w:sz w:val="22"/>
          </w:rPr>
          <w:t>701—218.2(423)</w:t>
        </w:r>
      </w:hyperlink>
      <w:r>
        <w:rPr>
          <w:rFonts w:ascii="Times New Roman" w:hAnsi="Times New Roman"/>
          <w:b w:val="false"/>
          <w:i w:val="false"/>
          <w:color w:val="000000"/>
          <w:sz w:val="22"/>
        </w:rPr>
        <w:t>. However, due to the nature of the insurance formulas, it is possible for the body shop to itemize that portion of the body shop’s billing that would be for repair services and that portion relating to consumed “materials.” It is also possible for the body shop to itemize that portion of the body shop’s charges for parts that the body shop purchases for resale to the body shop’s customers. A body shop does not and cannot resell the tools and supplies previously listed in this rule; the body shop’s purchases of such items are taxable.</w:t>
      </w:r>
    </w:p>
    <w:p>
      <w:pPr>
        <w:spacing w:before="0" w:after="0"/>
        <w:ind w:left="120"/>
        <w:jc w:val="both"/>
      </w:pPr>
      <w:r>
        <w:rPr>
          <w:rFonts w:ascii="Times New Roman" w:hAnsi="Times New Roman"/>
          <w:b w:val="false"/>
          <w:i w:val="false"/>
          <w:color w:val="000000"/>
          <w:sz w:val="22"/>
        </w:rPr>
        <w:t>Therefore, as long as a body shop separately itemizes on the body shop’s invoices to the body shop’s customers the amounts for labor, parts, and “materials,” the body shop should collect sales tax on the labor and the parts, but not on the materials as enumerated in this rule.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B, a body shop, repairs a motor vehicle by replacing a fender and painting the vehicle. In doing the repair work, the body shop uses rags, sealer and primer, paint, solder, thinner, bolts, nuts and washers, masking tape, sandpaper, waxes, buffing pads, chamois, and polishes. In Company B’s invoice to the customer, the labor is separately listed at $600, the part (fender) is separately listed at $600, and the category of “materials” is separately listed for a lump sum of $200, for a total billing of $1,400. The Iowa sales tax computed by Company B should be on $1,200, which is the amount attributable to the labor and the parts. The materials consumed by Company B were separately listed and would not be included in the tax base for the taxable “sales price,” as defined in Iowa Code section </w:t>
      </w:r>
      <w:hyperlink r:id="rId12">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which is taxable under Iowa Code section </w:t>
      </w:r>
      <w:hyperlink r:id="rId13">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Same facts as Example 1, except the “materials” were not separately listed on the invoice, but had been included in either or both of the labor or parts charges by marking up such charges. Company B must collect sales tax on the full charges for parts and labor.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423.1(39)</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701—225.4</w:t>
      </w:r>
      <w:r>
        <w:rPr>
          <w:rFonts w:ascii="Times New Roman" w:hAnsi="Times New Roman"/>
          <w:b/>
          <w:i w:val="false"/>
          <w:color w:val="000000"/>
          <w:sz w:val="22"/>
        </w:rPr>
        <w:t xml:space="preserve">(423) </w:t>
      </w:r>
      <w:r>
        <w:rPr>
          <w:rFonts w:ascii="Times New Roman" w:hAnsi="Times New Roman"/>
          <w:b/>
          <w:i w:val="false"/>
          <w:color w:val="000000"/>
          <w:sz w:val="22"/>
        </w:rPr>
        <w:t xml:space="preserve">Maintenance or repair of fabric or clothing.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color w:val="000000"/>
          <w:sz w:val="22"/>
        </w:rPr>
        <w:t xml:space="preserve">Chemicals, solvents, sorbents, and reagents. </w:t>
      </w:r>
      <w:r>
        <w:rPr>
          <w:rFonts w:ascii="Times New Roman" w:hAnsi="Times New Roman"/>
          <w:b w:val="false"/>
          <w:i w:val="false"/>
          <w:color w:val="000000"/>
          <w:sz w:val="22"/>
        </w:rPr>
        <w:t>Sales of chemicals, solvents, sorbents, or reagents directly used and consumed in the maintenance or repair of fabric or clothing are exempt from tax. This rule’s exemption is mainly applicable to dry-cleaning and laundry establishments; however, it is also applicable to soap or any chemical or solvent used to clean carpeting. The department presumes that a substance is “directly used” in the maintenance or repair of fabric or clothing if the substance comes in contact with the fabric or clothing during the maintenance or repair process. Substances that do not come into direct contact with fabric or clothing may, under appropriate circumstances, be directly used in the maintenance or repair of the fabric or clothing, but direct use will not be presumed.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Perchloroethylene (also known as “perch”) or petroleum solvents used in dry-cleaning machines and coming in direct contact with the clothing being dry-cleaned are typically exempt as being directly used and consumed in the maintenance or repair of fabric or clothing.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Substances used to clean or filter the “perch” or petroleum solvents would also be exempt from tax, even though these substances do not come in direct contact with the clothing being cleaned.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 of soap or detergents especially made for mixing with “perch” or petroleum solvents is exempt from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sale of stain removers to dry cleaners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laundry’s purchase of detergents, bleaches, and fabric softeners is exempt from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commercial laundry’s purchase of water, which is a solvent, is also exempt from tax if purchased for use in the cleaning of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purchase of starch by laundries and “sizing” by dry cleaners is not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701—225.5</w:t>
      </w:r>
      <w:r>
        <w:rPr>
          <w:rFonts w:ascii="Times New Roman" w:hAnsi="Times New Roman"/>
          <w:b/>
          <w:i w:val="false"/>
          <w:color w:val="000000"/>
          <w:sz w:val="22"/>
        </w:rPr>
        <w:t xml:space="preserve">(423) </w:t>
      </w:r>
      <w:r>
        <w:rPr>
          <w:rFonts w:ascii="Times New Roman" w:hAnsi="Times New Roman"/>
          <w:b/>
          <w:i w:val="false"/>
          <w:color w:val="000000"/>
          <w:sz w:val="22"/>
        </w:rPr>
        <w:t xml:space="preserve">The sales price from the leasing of all tangible personal property subject to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225.5(1)</w:t>
      </w:r>
      <w:r>
        <w:rPr>
          <w:rFonts w:ascii="Times New Roman" w:hAnsi="Times New Roman"/>
          <w:b w:val="false"/>
          <w:i w:val="false"/>
          <w:color w:val="000000"/>
          <w:sz w:val="22"/>
        </w:rPr>
        <w:t> </w:t>
      </w:r>
      <w:r>
        <w:rPr>
          <w:rFonts w:ascii="Times New Roman" w:hAnsi="Times New Roman"/>
          <w:b w:val="false"/>
          <w:i/>
          <w:color w:val="000000"/>
          <w:sz w:val="22"/>
        </w:rPr>
        <w:t xml:space="preserve">Leases. </w:t>
      </w:r>
      <w:r>
        <w:rPr>
          <w:rFonts w:ascii="Times New Roman" w:hAnsi="Times New Roman"/>
          <w:b w:val="false"/>
          <w:i w:val="false"/>
          <w:color w:val="000000"/>
          <w:sz w:val="22"/>
        </w:rPr>
        <w:t>The rental of tangible personal property is treated as the sale of that property for the purposes of Iowa sales and use tax law because “leases” and “rentals” of tangible personal property are taxable retail “sales” of that property. The rental of tangible personal property is not a taxable enumerated service. The resale exemption in favor of sales for resale of tangible personal property is applicable to sales and leases of tangible personal property for subsequent rental or lease.</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ABC buys blowers, hand tools, ladders, plumbers’ snakes, sanders, and tillers for subsequent short-term rental to various customers. ABC’s purchases of these items of equipment are purchases for resale and are exempt from tax.</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In addition to its purchases of equipment for subsequent rental, ABC leases from retailers, long-term, items of heavier equipment, such as backhoes, forklifts, manlifts, tractors, and trenchers, again for subsequent leasing to various customers. Since the leasing of tangible personal property is now a purchase of that property, ABC’s leasing for later sublease is a purchase of tangible personal property and is exempt from tax at the time of purchase as the purchase of tangible personal property for subsequent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225.5(2)</w:t>
      </w:r>
      <w:r>
        <w:rPr>
          <w:rFonts w:ascii="Times New Roman" w:hAnsi="Times New Roman"/>
          <w:b w:val="false"/>
          <w:i w:val="false"/>
          <w:color w:val="000000"/>
          <w:sz w:val="22"/>
        </w:rPr>
        <w:t> </w:t>
      </w:r>
      <w:r>
        <w:rPr>
          <w:rFonts w:ascii="Times New Roman" w:hAnsi="Times New Roman"/>
          <w:b w:val="false"/>
          <w:i/>
          <w:color w:val="000000"/>
          <w:sz w:val="22"/>
        </w:rPr>
        <w:t xml:space="preserve">Distinguishing leases and rentals of tangible personal property from the furnishing of nontaxable services. </w:t>
      </w:r>
      <w:r>
        <w:rPr>
          <w:rFonts w:ascii="Times New Roman" w:hAnsi="Times New Roman"/>
          <w:b w:val="false"/>
          <w:i w:val="false"/>
          <w:color w:val="000000"/>
          <w:sz w:val="22"/>
        </w:rPr>
        <w:t xml:space="preserve">In order to determine whether a particular fee is charged for the rental of tangible personal property or for the furnishing of a nontaxable service, the department looks at the substance, rather than the form, of the transaction. When the possession and use of tangible personal property by the recipient is merely incidental as compared to the nontaxable service performed, all of the sales price is derived from the furnishing of such nontaxable service and, unless a separate fee or charge is made for the possession and use of tangible personal property, no sales price is derived from the rental of tangible personal property. When the nontaxable service is merely incidental to the possession and use of the tangible personal property by the recipient, all of the sales price is derived from the furnishing of tangible personal property rental and, unless a separate fee or charge is made for the nontaxable service, no sales price is derived from the nontaxable service. When a tangible personal property rental agreement contains separate fee schedules for rent and for nontaxable service, only the sales price derived from the tangible personal property rental is subject to tax. This rule is not to be so construed as to be at variance with Iowa Code sections </w:t>
      </w:r>
      <w:hyperlink r:id="rId17">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“bf”</w:t>
      </w:r>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xml:space="preserve"> concerning transportation services and bundled service contracts,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225.5(3)</w:t>
      </w:r>
      <w:r>
        <w:rPr>
          <w:rFonts w:ascii="Times New Roman" w:hAnsi="Times New Roman"/>
          <w:b w:val="false"/>
          <w:i w:val="false"/>
          <w:color w:val="000000"/>
          <w:sz w:val="22"/>
        </w:rPr>
        <w:t> </w:t>
      </w:r>
      <w:r>
        <w:rPr>
          <w:rFonts w:ascii="Times New Roman" w:hAnsi="Times New Roman"/>
          <w:b w:val="false"/>
          <w:i/>
          <w:color w:val="000000"/>
          <w:sz w:val="22"/>
        </w:rPr>
        <w:t xml:space="preserve">Rental of real property distinguished from rental of tangible personal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rental contract allows the renter exclusive possession or use of a defined area of real property and, incident to that contract, tangible personal property is provided that allows the renter to utilize the real property, if there is no separate charge for rental of tangible personal property, the sales price is for the rental of real property and is not subject to tax, unless taxable room rental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rents tangible personal property and, incidental to the rental of the property, space is provided for the property’s use, the sales price from the rental shall be subject to tax. It may at times be difficult to determine whether a particular transaction involves the rental of real property with an incidental use of tangible personal property or the rental of tangible personal property with an incidental use of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225.5(4)</w:t>
      </w:r>
      <w:r>
        <w:rPr>
          <w:rFonts w:ascii="Times New Roman" w:hAnsi="Times New Roman"/>
          <w:b w:val="false"/>
          <w:i w:val="false"/>
          <w:color w:val="000000"/>
          <w:sz w:val="22"/>
        </w:rPr>
        <w:t> </w:t>
      </w:r>
      <w:r>
        <w:rPr>
          <w:rFonts w:ascii="Times New Roman" w:hAnsi="Times New Roman"/>
          <w:b w:val="false"/>
          <w:i/>
          <w:color w:val="000000"/>
          <w:sz w:val="22"/>
        </w:rPr>
        <w:t xml:space="preserve">Rental of tangible personal property and rental of fixtures. </w:t>
      </w:r>
      <w:r>
        <w:rPr>
          <w:rFonts w:ascii="Times New Roman" w:hAnsi="Times New Roman"/>
          <w:b w:val="false"/>
          <w:i w:val="false"/>
          <w:color w:val="000000"/>
          <w:sz w:val="22"/>
        </w:rPr>
        <w:t>The rental of tangible personal property that shall, prior to its use by the renter under the rental contract, become a fixture shall not be subject to tax. Such a rental is the rental of real property rather than tangible personal property. In general, any tangible personal property that is connected to real property in a way that it cannot be removed without damage to itself or to the real property is a fixture. The rental of a mobile home or manufactured housing, not sufficiently attached to realty to constitute a fixture, is room rental rather than tangible personal property rental and subject to tax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225.5(5)</w:t>
      </w:r>
      <w:r>
        <w:rPr>
          <w:rFonts w:ascii="Times New Roman" w:hAnsi="Times New Roman"/>
          <w:b w:val="false"/>
          <w:i w:val="false"/>
          <w:color w:val="000000"/>
          <w:sz w:val="22"/>
        </w:rPr>
        <w:t> </w:t>
      </w:r>
      <w:r>
        <w:rPr>
          <w:rFonts w:ascii="Times New Roman" w:hAnsi="Times New Roman"/>
          <w:b w:val="false"/>
          <w:i/>
          <w:color w:val="000000"/>
          <w:sz w:val="22"/>
        </w:rPr>
        <w:t xml:space="preserve">Rental of tangible personal property embodying intangible personal property rights—transactions taxable and exempt. </w:t>
      </w:r>
      <w:r>
        <w:rPr>
          <w:rFonts w:ascii="Times New Roman" w:hAnsi="Times New Roman"/>
          <w:b w:val="false"/>
          <w:i w:val="false"/>
          <w:color w:val="000000"/>
          <w:sz w:val="22"/>
        </w:rPr>
        <w:t xml:space="preserve">Under the law, the sales price from rental of tangible personal property includes royalties and copyright and license fees. The rental of all property that is a tangible medium of expression for the intangible rights of royalties and copyright and license fees is subject to tax. Therefore, the sales price from the rental of films, videodiscs, videocassettes, and computer software that are the tangible means of expression of intangible property rights is subject to tax. The rental of such tangible personal property is subject to tax whether the property is held for rental to the general public or for rental to one or a few persons. More information is contained in rule </w:t>
      </w:r>
      <w:hyperlink r:id="rId19">
        <w:r>
          <w:rPr>
            <w:rStyle w:val="Hyperlink"/>
            <w:rFonts w:ascii="Times New Roman" w:hAnsi="Times New Roman"/>
            <w:b w:val="false"/>
            <w:i w:val="false"/>
            <w:color w:val="000000"/>
            <w:sz w:val="22"/>
          </w:rPr>
          <w:t>701—221.5(423)</w:t>
        </w:r>
      </w:hyperlink>
      <w:r>
        <w:rPr>
          <w:rFonts w:ascii="Times New Roman" w:hAnsi="Times New Roman"/>
          <w:b w:val="false"/>
          <w:i w:val="false"/>
          <w:color w:val="000000"/>
          <w:sz w:val="22"/>
        </w:rPr>
        <w:t xml:space="preserve"> for an exemption from the requirements of this subrule for rental of films, videotapes and other media to lessees imposing a taxable charge for viewing or rental of the media or to lessees that broadcast the contents of these media for public viewing or listening.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225.5(6)</w:t>
      </w:r>
      <w:r>
        <w:rPr>
          <w:rFonts w:ascii="Times New Roman" w:hAnsi="Times New Roman"/>
          <w:b w:val="false"/>
          <w:i w:val="false"/>
          <w:color w:val="000000"/>
          <w:sz w:val="22"/>
        </w:rPr>
        <w:t> </w:t>
      </w:r>
      <w:r>
        <w:rPr>
          <w:rFonts w:ascii="Times New Roman" w:hAnsi="Times New Roman"/>
          <w:b w:val="false"/>
          <w:i/>
          <w:color w:val="000000"/>
          <w:sz w:val="22"/>
        </w:rPr>
        <w:t xml:space="preserve">Deposits and additional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Taxability of a deposit required by an owner of rental property as a condition of the rental depends upon the type of deposit required. A deposit subject to forfeiture for the lessee’s failure to comply with the rental agreement is not subject to tax. This type of deposit is separate from the rental payments and therefore is not taxable as part of the rental. Such deposits may include those for reservation, late return of the rental property or damage to the rental property. Deposits not subject to forfeiture which represent part of the rental receipts are considered part of the taxable rental and are subject to tax. Such deposits may include a deposit of the first rental payment that is applied to the rental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tangible personal property is rented for a flat fee per month, per year, or for other designated periods, plus an additional fee based on quantity and capacity of production or use, the entire charge is taxable.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225.5(7)</w:t>
      </w:r>
      <w:r>
        <w:rPr>
          <w:rFonts w:ascii="Times New Roman" w:hAnsi="Times New Roman"/>
          <w:b w:val="false"/>
          <w:i w:val="false"/>
          <w:color w:val="000000"/>
          <w:sz w:val="22"/>
        </w:rPr>
        <w:t> </w:t>
      </w:r>
      <w:r>
        <w:rPr>
          <w:rFonts w:ascii="Times New Roman" w:hAnsi="Times New Roman"/>
          <w:b w:val="false"/>
          <w:i/>
          <w:color w:val="000000"/>
          <w:sz w:val="22"/>
        </w:rPr>
        <w:t xml:space="preserve">Leasing of tangible personal property moving in interstate commerce.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lease or rental that requires recurring periodic payments, the first periodic payment is taxed to Iowa if the property was delivered to the lessee in Iowa. Periodic payments made subsequent to the first payment may be taxed only by the state in which the property is primarily located for the period covered by the payment. The primary property location shall be as indicated by an address for the property provided by the lessee that is available to the lessor from its records maintained in the ordinary course of business, when use of this address does not constitute bad faith. The property location shall not be altered by intermittent use at different locations, such as use of business property that accompanies employees on business trips and service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nonresident lessor leases tangible personal property to a resident or nonresident lessee and the lessee uses the property in Iowa, the nonresident lessor has the responsibility of collecting Iowa use tax on the lease payments if Iowa is the primary location of the property, provided the lessor is a retailer maintaining a place of business in this state as defined in Iowa Code section </w:t>
      </w:r>
      <w:hyperlink r:id="rId20">
        <w:r>
          <w:rPr>
            <w:rStyle w:val="Hyperlink"/>
            <w:rFonts w:ascii="Times New Roman" w:hAnsi="Times New Roman"/>
            <w:b w:val="false"/>
            <w:i w:val="false"/>
            <w:color w:val="000000"/>
            <w:sz w:val="22"/>
          </w:rPr>
          <w:t>423.1(48)</w:t>
        </w:r>
      </w:hyperlink>
      <w:r>
        <w:rPr>
          <w:rFonts w:ascii="Times New Roman" w:hAnsi="Times New Roman"/>
          <w:b w:val="false"/>
          <w:i w:val="false"/>
          <w:color w:val="000000"/>
          <w:sz w:val="22"/>
        </w:rPr>
        <w:t xml:space="preserve">. Whether the lease agreement is executed in Iowa or not is irrelevant.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lessee rents equipment sourced to Iowa and no tax has been collected from such lessee by the lessor, the lessee should remit Iowa use tax to the department of revenue. In the event no tax is remitted, the department, in its discretion, may seek to collect the tax from the lessor or lessee. In the event that the lessee rents tangible personal property, and the lessor does not maintain a place of business in Iowa and does not collect use tax pursuant to Iowa Code section </w:t>
      </w:r>
      <w:hyperlink r:id="rId21">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such lessee shall remit tax on its rental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 resident lessor leases equipment to a nonresident lessee outside Iowa and the equipment is delivered to the lessee outside Iowa, the act of leasing is exempt from the Iowa sales tax on the rental payments. However, in the event the lessee brings the equipment into Iowa, uses it in Iowa, and Iowa becomes the primary location of the property, Iowa use tax applies to subsequent rental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sales or use tax has already been paid to another state on the sales price of tangible personal property prior to the use of that property in Iowa, a tax credit against the Iowa use tax on the purchase price will be given. After the equipment is brought into Iowa, if sales or use tax is properly payable and is paid to another state on the rental payments of equipment, for the same time the Iowa tax is imposed on such rentals, a tax credit against the Iowa use tax on such rental payments will be given.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423.1(24)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423.1(43)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423.1(54)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423.15(2)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701—225.6</w:t>
      </w:r>
      <w:r>
        <w:rPr>
          <w:rFonts w:ascii="Times New Roman" w:hAnsi="Times New Roman"/>
          <w:b/>
          <w:i w:val="false"/>
          <w:color w:val="000000"/>
          <w:sz w:val="22"/>
        </w:rPr>
        <w:t xml:space="preserve">(423) </w:t>
      </w:r>
      <w:r>
        <w:rPr>
          <w:rFonts w:ascii="Times New Roman" w:hAnsi="Times New Roman"/>
          <w:b/>
          <w:i w:val="false"/>
          <w:color w:val="000000"/>
          <w:sz w:val="22"/>
        </w:rPr>
        <w:t xml:space="preserve">Certain inputs used in taxable vehicle wash and wax services. </w:t>
      </w:r>
      <w:r>
        <w:rPr>
          <w:rFonts w:ascii="Times New Roman" w:hAnsi="Times New Roman"/>
          <w:b w:val="false"/>
          <w:i w:val="false"/>
          <w:color w:val="000000"/>
          <w:sz w:val="22"/>
        </w:rPr>
        <w:t xml:space="preserve">The sales price from the sale of water, electricity, chemicals, solvents, sorbents, or reagents to a retailer to be used in providing a service that includes a vehicle wash and wax that is subject to Iowa Code section </w:t>
      </w:r>
      <w:hyperlink r:id="rId28">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is exempt from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terms mean the same as defined in Iowa Code section </w:t>
      </w:r>
      <w:hyperlink r:id="rId2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701—Chapter 200</w:t>
        </w:r>
      </w:hyperlink>
      <w:r>
        <w:rPr>
          <w:rFonts w:ascii="Times New Roman" w:hAnsi="Times New Roman"/>
          <w:b w:val="false"/>
          <w:i w:val="false"/>
          <w:color w:val="000000"/>
          <w:sz w:val="22"/>
        </w:rPr>
        <w:t>. Additionally,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vehicle wash and wax facility” </w:t>
      </w:r>
      <w:r>
        <w:rPr>
          <w:rFonts w:ascii="Times New Roman" w:hAnsi="Times New Roman"/>
          <w:b w:val="false"/>
          <w:i w:val="false"/>
          <w:color w:val="000000"/>
          <w:sz w:val="22"/>
        </w:rPr>
        <w:t xml:space="preserve">means a vehicle wash and wax facility whose primary purpose is to sell tangible personal property or services other than vehicle wash and wax services, but which also provides vehicle wash and wax services that are taxable under Iowa Code section </w:t>
      </w:r>
      <w:hyperlink r:id="rId31">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Examples of “secondary vehicle wash and wax facilities” include but are not limited to vehicle dealerships, convenience stores, service stations, and wholesale and retail fuel marketing locations that provide taxable vehicle wash and wax services in addition to their primary business purpose. A facility that provides vehicle wash and wax services that also sells tangible personal property or other services is presumed to be a “secondary vehicle wash and wax facility” unless it can prove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“Stand-alone vehicle wash and wax facility” </w:t>
      </w:r>
      <w:r>
        <w:rPr>
          <w:rFonts w:ascii="Times New Roman" w:hAnsi="Times New Roman"/>
          <w:b w:val="false"/>
          <w:i w:val="false"/>
          <w:color w:val="000000"/>
          <w:sz w:val="22"/>
        </w:rPr>
        <w:t xml:space="preserve">means a vehicle wash and wax facility whose primary purpose is to provide vehicle wash and wax services that are taxable under Iowa Code section </w:t>
      </w:r>
      <w:hyperlink r:id="rId32">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A vehicle wash and wax facility is considered a “stand-alone vehicle wash and wax facility” although it sells a de minimis amount of products and services related to vehicle wash and wax services. Nonexclusive examples of products and services related to vehicle wash and wax services include coin-operated vacuum stations and air fresheners and vehicle wipes that are sold out of 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 xml:space="preserve">means the same as defined in Iowa Code section </w:t>
      </w:r>
      <w:hyperlink r:id="rId3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wash and wax facility” </w:t>
      </w:r>
      <w:r>
        <w:rPr>
          <w:rFonts w:ascii="Times New Roman" w:hAnsi="Times New Roman"/>
          <w:b w:val="false"/>
          <w:i w:val="false"/>
          <w:color w:val="000000"/>
          <w:sz w:val="22"/>
        </w:rPr>
        <w:t>means any retailer that provides vehicle wash and wax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wash and wax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“vehicle wash and wax” </w:t>
      </w:r>
      <w:r>
        <w:rPr>
          <w:rFonts w:ascii="Times New Roman" w:hAnsi="Times New Roman"/>
          <w:b w:val="false"/>
          <w:i w:val="false"/>
          <w:color w:val="000000"/>
          <w:sz w:val="22"/>
        </w:rPr>
        <w:t>means washing and waxing services performed inside or outside of the vehicle or both whether the services are performed by hand, machine, or coin-operated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w:t>
      </w:r>
      <w:r>
        <w:rPr>
          <w:rFonts w:ascii="Times New Roman" w:hAnsi="Times New Roman"/>
          <w:b w:val="false"/>
          <w:i w:val="false"/>
          <w:color w:val="000000"/>
          <w:sz w:val="22"/>
        </w:rPr>
        <w:t>means water directly consumed or used in providing the taxable vehicle wash and wax service. “Water” does not include, for example, charges or fees for storm water, sanitary sewer, or solid waste services since these are not fees for water directly used or consumed in providing the taxable vehicle wash and wax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225.6(2)</w:t>
      </w:r>
      <w:r>
        <w:rPr>
          <w:rFonts w:ascii="Times New Roman" w:hAnsi="Times New Roman"/>
          <w:b w:val="false"/>
          <w:i w:val="false"/>
          <w:color w:val="000000"/>
          <w:sz w:val="22"/>
        </w:rPr>
        <w:t> </w:t>
      </w:r>
      <w:r>
        <w:rPr>
          <w:rFonts w:ascii="Times New Roman" w:hAnsi="Times New Roman"/>
          <w:b w:val="false"/>
          <w:i/>
          <w:color w:val="000000"/>
          <w:sz w:val="22"/>
        </w:rPr>
        <w:t xml:space="preserve">Purchases made by a stand-alone vehicle wash and wax facility. </w:t>
      </w:r>
      <w:r>
        <w:rPr>
          <w:rFonts w:ascii="Times New Roman" w:hAnsi="Times New Roman"/>
          <w:b w:val="false"/>
          <w:i w:val="false"/>
          <w:color w:val="000000"/>
          <w:sz w:val="22"/>
        </w:rPr>
        <w:t>Purchases of water, electricity, chemicals, solvents, sorbents, or reagents by a stand-alone vehicle wash and wax facility are presumed to be 100 percent exempt from sales tax. The stand-alone vehicle wash and wax facility is not required to provide the retailers of such items with an exemption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225.6(3)</w:t>
      </w:r>
      <w:r>
        <w:rPr>
          <w:rFonts w:ascii="Times New Roman" w:hAnsi="Times New Roman"/>
          <w:b w:val="false"/>
          <w:i w:val="false"/>
          <w:color w:val="000000"/>
          <w:sz w:val="22"/>
        </w:rPr>
        <w:t> </w:t>
      </w:r>
      <w:r>
        <w:rPr>
          <w:rFonts w:ascii="Times New Roman" w:hAnsi="Times New Roman"/>
          <w:b w:val="false"/>
          <w:i/>
          <w:color w:val="000000"/>
          <w:sz w:val="22"/>
        </w:rPr>
        <w:t xml:space="preserve">Purchases made by a secondary vehicle wash and wax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price of electricity and water. </w:t>
      </w:r>
      <w:r>
        <w:rPr>
          <w:rFonts w:ascii="Times New Roman" w:hAnsi="Times New Roman"/>
          <w:b w:val="false"/>
          <w:i w:val="false"/>
          <w:color w:val="000000"/>
          <w:sz w:val="22"/>
        </w:rPr>
        <w:t>The exemption for the sales price of electricity and water purchased by secondary vehicle wash and wax facilities applies only to the sales price from the sale of electricity and water directly consumed or used in providing vehicle wash and wax services, as distinguished from electricity and water used and consumed for other purposes not related to vehicle wash and wax services (e.g., electricity to operate office equipment or lighting, and water used for cleaning the inside of a gas station or for irrigation).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Separately metered electricity and water. Ideally, a secondary vehicle wash and wax facility will have separate meters to measure its nonexempt electricity and water usage and its exempt electricity and water used for providing taxable vehicle wash and wax services. A secondary vehicle wash and wax facility that separately meters its exempt and nonexempt electricity and water usage and does not use the exempt electricity and water for any other purpose than providing a taxable vehicle wash and wax service does not have to file an exemption certificate with the retailers. The retailer should not charge tax on the charges associated with the meters that measure electricity and water used solely for providing the taxable vehicle wash and wax services.</w:t>
      </w:r>
    </w:p>
    <w:p>
      <w:pPr>
        <w:spacing w:before="0" w:after="0"/>
        <w:ind w:left="120"/>
        <w:jc w:val="both"/>
      </w:pPr>
      <w:r>
        <w:rPr>
          <w:rFonts w:ascii="Times New Roman" w:hAnsi="Times New Roman"/>
          <w:b w:val="false"/>
          <w:i w:val="false"/>
          <w:color w:val="000000"/>
          <w:sz w:val="22"/>
        </w:rPr>
        <w:t>However, if water or electricity that is measured by the meter that separately measures the vehicle wash and wax facility is used for both taxable vehicle wash and wax services and nonexempt purposes (e.g., consumed in performance of its business operations), the secondary vehicle wash and wax facility must allocate the use of the electricity or water according to exempt and nonexempt use if an exemption for nontaxable use is to be claimed. To obtain the exemption for electricity or water under this rule, a secondary vehicle wash and wax facility that has both exempt and nonexempt electricity or water usage measured by the same meter must request the exemption by providing an exemption certificate to the electricity or water retailer.</w:t>
      </w:r>
    </w:p>
    <w:p>
      <w:pPr>
        <w:spacing w:before="0" w:after="0"/>
        <w:ind w:left="120"/>
        <w:jc w:val="both"/>
      </w:pPr>
      <w:r>
        <w:rPr>
          <w:rFonts w:ascii="Times New Roman" w:hAnsi="Times New Roman"/>
          <w:b w:val="false"/>
          <w:i w:val="false"/>
          <w:color w:val="000000"/>
          <w:sz w:val="22"/>
        </w:rPr>
        <w:t>The exemption certificate shall indicate what percentage of the electricity or water is used for taxable vehicle wash and wax services and is therefore exempt. The exemption certificate shall be in writing and detail how the percentages of exempt and nonexempt usage were developed. The rationale provided for the percentage of exempt water and electricity must be reasonable after the nature of the secondary vehicle wash and wax service facility’s primary purpose and all other facts and circumstances are considered. A secondary vehicle wash and wax facility that cannot, or does not want to, determine the percentage of exempt electricity or water usage may forego the exemption. The exemption certificate is valid for three years, but the secondary vehicle wash and wax facility must amend its exemption certificate to reflect any changes that would affect the exemption amount (e.g., summer month water usage compared to winter month water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Exempt and nonexempt usage measured by the same meter. When electricity and water are purchased for vehicle wash and wax services as well as for taxable uses, and the use of the electricity or water is recorded on a single meter, a secondary vehicle wash and wax facility must allocate the use of the electricity or water according to exempt and nonexempt use if an exemption for nontaxable use is to be claimed. To obtain the exemption for electricity or water under this subparagraph, a secondary vehicle wash and wax facility that has both exempt and nonexempt electricity or water usage measured by the same meter must request the exemption by providing an exemption certificate to the electricity or water retailer.</w:t>
      </w:r>
    </w:p>
    <w:p>
      <w:pPr>
        <w:spacing w:before="0" w:after="0"/>
        <w:ind w:left="120"/>
        <w:jc w:val="both"/>
      </w:pPr>
      <w:r>
        <w:rPr>
          <w:rFonts w:ascii="Times New Roman" w:hAnsi="Times New Roman"/>
          <w:b w:val="false"/>
          <w:i w:val="false"/>
          <w:color w:val="000000"/>
          <w:sz w:val="22"/>
        </w:rPr>
        <w:t>The exemption certificate must indicate what percentage of the electricity or water is used for taxable vehicle wash and wax services and is therefore exempt. The exemption certificate shall be in writing and detail how the percentages of exempt and nonexempt usage were developed. The rationale provided for the percentages of exempt water and electricity must be reasonable after the nature of the secondary vehicle wash and wax service provider’s primary purpose and all other facts and circumstances are considered. A secondary vehicle wash and wax facility that cannot, or does not want to, determine the percentages of exempt electricity and water usage may either forego the exemption or install a separate meter. The exemption certificate is valid for three years, but the secondary vehicle wash and wax facility must amend its exemption certificate to reflect any changes that would affect the exemption amount (e.g., summer month water usage compared to winter month water usage).</w:t>
      </w:r>
    </w:p>
    <w:p>
      <w:pPr>
        <w:spacing w:before="0" w:after="0"/>
        <w:ind w:left="120"/>
        <w:jc w:val="both"/>
      </w:pPr>
      <w:r>
        <w:rPr>
          <w:rFonts w:ascii="Times New Roman" w:hAnsi="Times New Roman"/>
          <w:b w:val="false"/>
          <w:i w:val="false"/>
          <w:color w:val="000000"/>
          <w:sz w:val="22"/>
        </w:rPr>
        <w:t>Exemption statutes are strictly construed against the taxpayer in favor of taxation. The secondary vehicle wash and wax facility has the burden of proof regarding the exempt percentages and is liable for any mistakes or misrepresentations made regarding the computation or for failure to notify the electricity or water retailer in writing of the percentage of exempt usage,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Sales price of chemicals, solvents, sorbents, or reagents. </w:t>
      </w:r>
      <w:r>
        <w:rPr>
          <w:rFonts w:ascii="Times New Roman" w:hAnsi="Times New Roman"/>
          <w:b w:val="false"/>
          <w:i w:val="false"/>
          <w:color w:val="000000"/>
          <w:sz w:val="22"/>
        </w:rPr>
        <w:t>The sales price of chemicals, solvents, sorbents, or reagents sold to a secondary vehicle wash and wax facility to be used in providing a taxable vehicle wash and wax service is presumed to be 100 percent exempt from sales tax if the secondary vehicle wash and wax facility’s primary business does not consume or sell the same chemicals, solvents, sorbents, or reagents that are used in providing taxable vehicle wash and wax services. If the secondary vehicle wash and wax facility’s primary business does not use or sell the same products used in providing the taxable vehicle wash and wax service, the facility does not have to provide the retailer with an exemption certificate. However, if the secondary vehicle wash and wax facility may consume the chemicals, solvents, sorbents, or reagents for any purpose other than providing taxable vehicle wash and wax services, the secondary vehicle wash and wax facility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such items without tax liability if the majority of the chemicals, solvents, sorbents, or reagents are used in performing the vehicle wash and wax service and remit the tax to the department at the time such items are consumed in the operation of the primary business. The secondary vehicle wash and wax facility shall provide to the retailer an exemption certificate that indicates that not all items will be used in providing a taxable vehicle wash and wax service and the tax on such items will be remitted at a later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 tax to retailers at the time of purchase if the majority of the chemicals, solvents, sorbents, or reagents will be consumed in the operation of the primary business and deduct the original cost of any such items subsequently used in the vehicle wash and wax service when reporting tax on the facility’s returns.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automobile dealership offers a taxable drive-through vehicle wash and wax service in addition to its primary business purpose of selling vehicles. The automobile dealership is a “secondary vehicle wash and wax facility” because the taxable vehicle wash and wax service is offered secondarily to its primary purpose of selling and servicing vehicles. In addition to providing vehicle wash and wax services to the general public (a taxable vehicle wash and wax service), the automobile dealership uses its vehicle wash and wax facility to wash and wax its inventory. Using the vehicle wash and wax facility to wash or wax inventory is not a taxable vehicle wash and wax service because the vehicle wash and wax service is not sold to customers; the service is “consumed” in performance of the automobile dealership’s business operations. </w:t>
      </w:r>
    </w:p>
    <w:p>
      <w:pPr>
        <w:spacing w:before="0" w:after="0"/>
        <w:ind w:left="120"/>
        <w:jc w:val="both"/>
      </w:pPr>
      <w:r>
        <w:rPr>
          <w:rFonts w:ascii="Times New Roman" w:hAnsi="Times New Roman"/>
          <w:b w:val="false"/>
          <w:i w:val="false"/>
          <w:color w:val="000000"/>
          <w:sz w:val="22"/>
        </w:rPr>
        <w:t>The automobile dealership has electricity and water meters that each separately measure the electricity and water used and consumed in using the vehicle wash and wax facility. Although the automobile dealership separately meters electricity and water, the separate meters do not measure only taxable vehicle wash and wax services. Therefore, to claim the exemption, the automobile dealership shall provide the electricity and water retailers with an exemption certificate that states the percentages of water and electricity used in providing taxable vehicle wash and wax services. The electricity and water retailers shall separately state and bill for the taxable and exempt amounts.</w:t>
      </w:r>
    </w:p>
    <w:p>
      <w:pPr>
        <w:spacing w:before="0" w:after="0"/>
        <w:ind w:left="120"/>
        <w:jc w:val="both"/>
      </w:pPr>
      <w:r>
        <w:rPr>
          <w:rFonts w:ascii="Times New Roman" w:hAnsi="Times New Roman"/>
          <w:b w:val="false"/>
          <w:i w:val="false"/>
          <w:color w:val="000000"/>
          <w:sz w:val="22"/>
        </w:rPr>
        <w:t>The automobile dealership also uses some of the chemicals, solvents, sorbents, or reagents while washing and waxing its inventory, so the automobile dealership may either (1) purchase such items without tax liability if the majority of the chemicals, solvents, sorbents, or reagents are used in performing the vehicle wash and wax service and remit the tax at the time such items are consumed in the operation of the primary business, or (2) pay tax to retailers at the time of purchase if the majority of the chemicals, solvents, sorbents, or reagents will be consumed in the operation of the primary business and deduct the original cost of any such items subsequently used in the vehicle wash and wax service when reporting tax on the dealership’s returns.</w:t>
      </w:r>
    </w:p>
    <w:p>
      <w:pPr>
        <w:spacing w:before="0" w:after="0"/>
        <w:ind w:left="120"/>
        <w:jc w:val="both"/>
      </w:pPr>
      <w:r>
        <w:rPr>
          <w:rFonts w:ascii="Times New Roman" w:hAnsi="Times New Roman"/>
          <w:b w:val="false"/>
          <w:i w:val="false"/>
          <w:color w:val="000000"/>
          <w:sz w:val="22"/>
        </w:rPr>
        <w:t>The exemption is available for the quantity of items used in providing the taxable vehicle wash and wax services even though the automobile dealership does not separately itemize on its receipts the amounts of electricity, water, chemicals, solvents, sorbents, or reagents used in providing the taxable vehicle wash and wax services.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gas station that also sells vehicle wash and wax services does not separately meter the electricity or water used and consumed in providing the taxable vehicle wash and wax services. With the exception of providing vehicle wash and wax services, the gas station does not provide any other additional services. The gas station wants to claim the exemption. To obtain the exemption for electricity or water under this rule, the gas station shall calculate, and has the burden of proving, the amount of exempt electricity or water it uses in providing taxable vehicle wash and wax services. The gas station shall furnish to the electricity or water retailer an exemption certificate that indicates what percentage of the electricity or water is exempt.</w:t>
      </w:r>
    </w:p>
    <w:p>
      <w:pPr>
        <w:spacing w:before="0" w:after="0"/>
        <w:ind w:left="120"/>
        <w:jc w:val="both"/>
      </w:pPr>
      <w:r>
        <w:rPr>
          <w:rFonts w:ascii="Times New Roman" w:hAnsi="Times New Roman"/>
          <w:b w:val="false"/>
          <w:i w:val="false"/>
          <w:color w:val="000000"/>
          <w:sz w:val="22"/>
        </w:rPr>
        <w:t>Additionally, because the gas station only sells gasoline and taxable vehicle wash and wax services, it is unlikely that the gas station will consume the chemicals, solvents, sorbents, or reagents for any purpose other than providing taxable vehicle wash and wax services. Therefore, the sales price of the chemicals, solvents, sorbents, or reagents that the gas station purchased for use in providing taxable vehicle wash and wax services is 100 percent exempt from sales tax. The gas station does not have to provide the retailers of the chemicals, solvents, sorbents, or reagents with an exemption certificate.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Same facts as Example 2, except the gas station does not believe it is feasible to accurately determine the amount of electricity or water usage that can be attributed to the vehicle wash and wax facility. The gas station also does not believe it is economically beneficial to install separate meters to measure the usage of electricity or water for the sole purpose of claiming the exemption. Therefore, the gas station does not claim the exemption and pays sales tax on the full sales price of water or electricity.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423.3(98)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701—225.7</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for certain purchases by commercial enterprises.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225.7(1)</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sales price from the sale of specified digital products and of prewritten computer software sold, and of enumerated services described in Iowa Code section </w:t>
      </w:r>
      <w:hyperlink r:id="rId35">
        <w:r>
          <w:rPr>
            <w:rStyle w:val="Hyperlink"/>
            <w:rFonts w:ascii="Times New Roman" w:hAnsi="Times New Roman"/>
            <w:b w:val="false"/>
            <w:i w:val="false"/>
            <w:color w:val="000000"/>
            <w:sz w:val="22"/>
          </w:rPr>
          <w:t>423.2(1)</w:t>
        </w:r>
      </w:hyperlink>
      <w:r>
        <w:rPr>
          <w:rFonts w:ascii="Times New Roman" w:hAnsi="Times New Roman"/>
          <w:b w:val="false"/>
          <w:i/>
          <w:color w:val="000000"/>
          <w:sz w:val="22"/>
        </w:rPr>
        <w:t>“a”</w:t>
      </w:r>
      <w:r>
        <w:rPr>
          <w:rFonts w:ascii="Times New Roman" w:hAnsi="Times New Roman"/>
          <w:b w:val="false"/>
          <w:i w:val="false"/>
          <w:color w:val="000000"/>
          <w:sz w:val="22"/>
        </w:rPr>
        <w:t xml:space="preserve">(5) or </w:t>
      </w:r>
      <w:hyperlink r:id="rId3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“bq,”</w:t>
      </w:r>
      <w:r>
        <w:rPr>
          <w:rFonts w:ascii="Times New Roman" w:hAnsi="Times New Roman"/>
          <w:b w:val="false"/>
          <w:i/>
          <w:color w:val="000000"/>
          <w:sz w:val="22"/>
        </w:rPr>
        <w:t>“br,”</w:t>
      </w:r>
      <w:r>
        <w:rPr>
          <w:rFonts w:ascii="Times New Roman" w:hAnsi="Times New Roman"/>
          <w:b w:val="false"/>
          <w:i/>
          <w:color w:val="000000"/>
          <w:sz w:val="22"/>
        </w:rPr>
        <w:t>“bs,”</w:t>
      </w:r>
      <w:r>
        <w:rPr>
          <w:rFonts w:ascii="Times New Roman" w:hAnsi="Times New Roman"/>
          <w:b w:val="false"/>
          <w:i w:val="false"/>
          <w:color w:val="000000"/>
          <w:sz w:val="22"/>
        </w:rPr>
        <w:t xml:space="preserve"> and </w:t>
      </w:r>
      <w:r>
        <w:rPr>
          <w:rFonts w:ascii="Times New Roman" w:hAnsi="Times New Roman"/>
          <w:b w:val="false"/>
          <w:i/>
          <w:color w:val="000000"/>
          <w:sz w:val="22"/>
        </w:rPr>
        <w:t>“bu”</w:t>
      </w:r>
      <w:r>
        <w:rPr>
          <w:rFonts w:ascii="Times New Roman" w:hAnsi="Times New Roman"/>
          <w:b w:val="false"/>
          <w:i w:val="false"/>
          <w:color w:val="000000"/>
          <w:sz w:val="22"/>
        </w:rPr>
        <w:t xml:space="preserve"> furnished to a commercial enterprise for use exclusively by a commercial enterprise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225.7(2)</w:t>
      </w:r>
      <w:r>
        <w:rPr>
          <w:rFonts w:ascii="Times New Roman" w:hAnsi="Times New Roman"/>
          <w:b w:val="false"/>
          <w:i w:val="false"/>
          <w:color w:val="000000"/>
          <w:sz w:val="22"/>
        </w:rPr>
        <w:t> </w:t>
      </w:r>
      <w:r>
        <w:rPr>
          <w:rFonts w:ascii="Times New Roman" w:hAnsi="Times New Roman"/>
          <w:b w:val="false"/>
          <w:i/>
          <w:color w:val="000000"/>
          <w:sz w:val="22"/>
        </w:rPr>
        <w:t xml:space="preserve">Commercial enterprise as purchaser. </w:t>
      </w:r>
      <w:r>
        <w:rPr>
          <w:rFonts w:ascii="Times New Roman" w:hAnsi="Times New Roman"/>
          <w:b w:val="false"/>
          <w:i w:val="false"/>
          <w:color w:val="000000"/>
          <w:sz w:val="22"/>
        </w:rPr>
        <w:t xml:space="preserve">A purchaser seeking this exemption must be a commercial enterprise as defined in Iowa Code section </w:t>
      </w:r>
      <w:hyperlink r:id="rId37">
        <w:r>
          <w:rPr>
            <w:rStyle w:val="Hyperlink"/>
            <w:rFonts w:ascii="Times New Roman" w:hAnsi="Times New Roman"/>
            <w:b w:val="false"/>
            <w:i w:val="false"/>
            <w:color w:val="000000"/>
            <w:sz w:val="22"/>
          </w:rPr>
          <w:t>423.3(104)</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purposes of Iowa Code section </w:t>
      </w:r>
      <w:hyperlink r:id="rId38">
        <w:r>
          <w:rPr>
            <w:rStyle w:val="Hyperlink"/>
            <w:rFonts w:ascii="Times New Roman" w:hAnsi="Times New Roman"/>
            <w:b w:val="false"/>
            <w:i w:val="false"/>
            <w:color w:val="000000"/>
            <w:sz w:val="22"/>
          </w:rPr>
          <w:t>423.3(104)</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purposes of Iowa Code section </w:t>
      </w:r>
      <w:hyperlink r:id="rId39">
        <w:r>
          <w:rPr>
            <w:rStyle w:val="Hyperlink"/>
            <w:rFonts w:ascii="Times New Roman" w:hAnsi="Times New Roman"/>
            <w:b w:val="false"/>
            <w:i w:val="false"/>
            <w:color w:val="000000"/>
            <w:sz w:val="22"/>
          </w:rPr>
          <w:t>423.3(104)</w:t>
        </w:r>
      </w:hyperlink>
      <w:r>
        <w:rPr>
          <w:rFonts w:ascii="Times New Roman" w:hAnsi="Times New Roman"/>
          <w:b w:val="false"/>
          <w:i/>
          <w:color w:val="000000"/>
          <w:sz w:val="22"/>
        </w:rPr>
        <w:t>“b”</w:t>
      </w:r>
      <w:r>
        <w:rPr>
          <w:rFonts w:ascii="Times New Roman" w:hAnsi="Times New Roman"/>
          <w:b w:val="false"/>
          <w:i w:val="false"/>
          <w:color w:val="000000"/>
          <w:sz w:val="22"/>
        </w:rPr>
        <w:t>(1),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w:t>
      </w:r>
      <w:r>
        <w:rPr>
          <w:rFonts w:ascii="Times New Roman" w:hAnsi="Times New Roman"/>
          <w:b w:val="false"/>
          <w:i w:val="false"/>
          <w:color w:val="000000"/>
          <w:sz w:val="22"/>
        </w:rPr>
        <w:t xml:space="preserve">“Insurance company” means the same as defined in Iowa Code section </w:t>
      </w:r>
      <w:hyperlink r:id="rId40">
        <w:r>
          <w:rPr>
            <w:rStyle w:val="Hyperlink"/>
            <w:rFonts w:ascii="Times New Roman" w:hAnsi="Times New Roman"/>
            <w:b w:val="false"/>
            <w:i w:val="false"/>
            <w:color w:val="000000"/>
            <w:sz w:val="22"/>
          </w:rPr>
          <w:t>423.3(47)</w:t>
        </w:r>
      </w:hyperlink>
      <w:r>
        <w:rPr>
          <w:rFonts w:ascii="Times New Roman" w:hAnsi="Times New Roman"/>
          <w:b w:val="false"/>
          <w:i/>
          <w:color w:val="000000"/>
          <w:sz w:val="22"/>
        </w:rPr>
        <w:t>“d.”</w:t>
      </w:r>
      <w:r>
        <w:rPr>
          <w:rFonts w:ascii="Times New Roman" w:hAnsi="Times New Roman"/>
          <w:b w:val="false"/>
          <w:i w:val="false"/>
          <w:color w:val="000000"/>
          <w:sz w:val="22"/>
        </w:rPr>
        <w:t xml:space="preserve"> Excluded from the definition of "insurance company" is the following nonexhaustive list of entities: benevolent associations governed by Iowa Code chapter </w:t>
      </w:r>
      <w:hyperlink r:id="rId41">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fraternal benefit societies governed by Iowa Code chapter </w:t>
      </w:r>
      <w:hyperlink r:id="rId42">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and health maintenance organizations governed by Iowa Code chapter </w:t>
      </w:r>
      <w:hyperlink r:id="rId43">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 </w:t>
      </w:r>
      <w:r>
        <w:rPr>
          <w:rFonts w:ascii="Times New Roman" w:hAnsi="Times New Roman"/>
          <w:b w:val="false"/>
          <w:i w:val="false"/>
          <w:color w:val="000000"/>
          <w:sz w:val="22"/>
        </w:rPr>
        <w:t>“Occupation” means the principal business of an individual, such as the business of farming.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Profession. </w:t>
      </w:r>
      <w:r>
        <w:rPr>
          <w:rFonts w:ascii="Times New Roman" w:hAnsi="Times New Roman"/>
          <w:b w:val="false"/>
          <w:i w:val="false"/>
          <w:color w:val="000000"/>
          <w:sz w:val="22"/>
        </w:rPr>
        <w:t>“Profession” means a vocation or employment requiring specialized knowledge and often long and intensive academic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225.7(3)</w:t>
      </w:r>
      <w:r>
        <w:rPr>
          <w:rFonts w:ascii="Times New Roman" w:hAnsi="Times New Roman"/>
          <w:b w:val="false"/>
          <w:i w:val="false"/>
          <w:color w:val="000000"/>
          <w:sz w:val="22"/>
        </w:rPr>
        <w:t> </w:t>
      </w:r>
      <w:r>
        <w:rPr>
          <w:rFonts w:ascii="Times New Roman" w:hAnsi="Times New Roman"/>
          <w:b w:val="false"/>
          <w:i/>
          <w:color w:val="000000"/>
          <w:sz w:val="22"/>
        </w:rPr>
        <w:t xml:space="preserve">Exclusive use by a commercial enterprise. </w:t>
      </w:r>
      <w:r>
        <w:rPr>
          <w:rFonts w:ascii="Times New Roman" w:hAnsi="Times New Roman"/>
          <w:b w:val="false"/>
          <w:i w:val="false"/>
          <w:color w:val="000000"/>
          <w:sz w:val="22"/>
        </w:rPr>
        <w:t>A commercial enterprise must be the exclusive user of the product. Use in the ordinary course of a commercial enterprise’s business constitutes exclusive use by a commercial enterprise. Uses by all other users, including entities other than commercial enterprises, do not constitute uses by a commercial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Examples of exclusive uses. </w:t>
      </w:r>
      <w:r>
        <w:rPr>
          <w:rFonts w:ascii="Times New Roman" w:hAnsi="Times New Roman"/>
          <w:b w:val="false"/>
          <w:i w:val="false"/>
          <w:color w:val="000000"/>
          <w:sz w:val="22"/>
        </w:rPr>
        <w:t>The following are examples of exclusive uses by a commercial enterprise in the normal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Word processing software loaded onto employees’ work computers.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Software that displays a menu on a tablet used by customers at a restaurant.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services used by temporary employees of a commercial enterprise in the ordinary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of disqualifying nonexclusive uses. </w:t>
      </w:r>
      <w:r>
        <w:rPr>
          <w:rFonts w:ascii="Times New Roman" w:hAnsi="Times New Roman"/>
          <w:b w:val="false"/>
          <w:i w:val="false"/>
          <w:color w:val="000000"/>
          <w:sz w:val="22"/>
        </w:rPr>
        <w:t>The following are examples of uses that are not exclusive uses by a commercial enterprise or uses in the ordinary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Software shared by a commercial enterprise with an entity that is not a commercial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Video games that customers may purchase on a tablet that is provided at a restaurant for customers to use while waiting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225.7(4)</w:t>
      </w:r>
      <w:r>
        <w:rPr>
          <w:rFonts w:ascii="Times New Roman" w:hAnsi="Times New Roman"/>
          <w:b w:val="false"/>
          <w:i w:val="false"/>
          <w:color w:val="000000"/>
          <w:sz w:val="22"/>
        </w:rPr>
        <w:t> </w:t>
      </w:r>
      <w:r>
        <w:rPr>
          <w:rFonts w:ascii="Times New Roman" w:hAnsi="Times New Roman"/>
          <w:b w:val="false"/>
          <w:i/>
          <w:color w:val="000000"/>
          <w:sz w:val="22"/>
        </w:rPr>
        <w:t xml:space="preserve">Noncommercial purposes. </w:t>
      </w:r>
      <w:r>
        <w:rPr>
          <w:rFonts w:ascii="Times New Roman" w:hAnsi="Times New Roman"/>
          <w:b w:val="false"/>
          <w:i w:val="false"/>
          <w:color w:val="000000"/>
          <w:sz w:val="22"/>
        </w:rPr>
        <w:t>“Noncommercial purposes” means purposes that are outside of carrying out the business purpose of a commercial enterprise or purposes outside of the ordinary course of business of a commercial enterprise. The following are examples of uses for noncommercial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and recreational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Holding a product for future use for a noncommercial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225.7(5)</w:t>
      </w:r>
      <w:r>
        <w:rPr>
          <w:rFonts w:ascii="Times New Roman" w:hAnsi="Times New Roman"/>
          <w:b w:val="false"/>
          <w:i w:val="false"/>
          <w:color w:val="000000"/>
          <w:sz w:val="22"/>
        </w:rPr>
        <w:t> </w:t>
      </w:r>
      <w:r>
        <w:rPr>
          <w:rFonts w:ascii="Times New Roman" w:hAnsi="Times New Roman"/>
          <w:b w:val="false"/>
          <w:i/>
          <w:color w:val="000000"/>
          <w:sz w:val="22"/>
        </w:rPr>
        <w:t xml:space="preserve">De minimis. </w:t>
      </w:r>
      <w:r>
        <w:rPr>
          <w:rFonts w:ascii="Times New Roman" w:hAnsi="Times New Roman"/>
          <w:b w:val="false"/>
          <w:i w:val="false"/>
          <w:color w:val="000000"/>
          <w:sz w:val="22"/>
        </w:rPr>
        <w:t>“De minimis” means an amount of use of a product for noncommercial purposes that, when considering the product’s value and the frequency with which the use for noncommercial purposes occurs during the product’s total use time, is so small as to make accounting for that use unreasonable or impractical. Whether a use is de minimis is a fact-based determination that shall be made on a case-by-case basis.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423.3(104)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0403C</w:t>
      </w:r>
      <w:r>
        <w:rPr>
          <w:rFonts w:ascii="Times New Roman" w:hAnsi="Times New Roman"/>
          <w:b w:val="false"/>
          <w:i w:val="false"/>
          <w:color w:val="000000"/>
          <w:sz w:val="21"/>
        </w:rPr>
        <w:t xml:space="preserve"> (Notice ARC 0294C,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4679C</w:t>
      </w:r>
      <w:r>
        <w:rPr>
          <w:rFonts w:ascii="Times New Roman" w:hAnsi="Times New Roman"/>
          <w:b w:val="false"/>
          <w:i w:val="false"/>
          <w:color w:val="000000"/>
          <w:sz w:val="21"/>
        </w:rPr>
        <w:t xml:space="preserve"> (Notice ARC 4562C, IAB 7/31/19)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8164C</w:t>
      </w:r>
      <w:r>
        <w:rPr>
          <w:rFonts w:ascii="Times New Roman" w:hAnsi="Times New Roman"/>
          <w:b w:val="false"/>
          <w:i w:val="false"/>
          <w:color w:val="000000"/>
          <w:sz w:val="21"/>
        </w:rPr>
        <w:t xml:space="preserve"> (Notice ARC 7149C,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3.pdf" Type="http://schemas.openxmlformats.org/officeDocument/2006/relationships/hyperlink" Id="rId7"/>
    <Relationship TargetMode="External" Target="https://www.legis.iowa.gov/docs/iac/rule/701.225.3.pdf" Type="http://schemas.openxmlformats.org/officeDocument/2006/relationships/hyperlink" Id="rId8"/>
    <Relationship TargetMode="External" Target="https://www.legis.iowa.gov/docs/ico/chapter/423.3.pdf" Type="http://schemas.openxmlformats.org/officeDocument/2006/relationships/hyperlink" Id="rId9"/>
    <Relationship TargetMode="External" Target="https://www.legis.iowa.gov/docs/ico/chapter/423.3.pdf" Type="http://schemas.openxmlformats.org/officeDocument/2006/relationships/hyperlink" Id="rId10"/>
    <Relationship TargetMode="External" Target="https://www.legis.iowa.gov/docs/iac/rule/701.218.2.pdf" Type="http://schemas.openxmlformats.org/officeDocument/2006/relationships/hyperlink" Id="rId11"/>
    <Relationship TargetMode="External" Target="https://www.legis.iowa.gov/docs/ico/chapter/423.1.pdf" Type="http://schemas.openxmlformats.org/officeDocument/2006/relationships/hyperlink" Id="rId12"/>
    <Relationship TargetMode="External" Target="https://www.legis.iowa.gov/docs/ico/chapter/423.2.pdf" Type="http://schemas.openxmlformats.org/officeDocument/2006/relationships/hyperlink" Id="rId13"/>
    <Relationship TargetMode="External" Target="https://www.legis.iowa.gov/docs/ico/chapter/423.1.pdf" Type="http://schemas.openxmlformats.org/officeDocument/2006/relationships/hyperlink" Id="rId14"/>
    <Relationship TargetMode="External" Target="https://www.legis.iowa.gov/docs/ico/chapter/423.3.pdf" Type="http://schemas.openxmlformats.org/officeDocument/2006/relationships/hyperlink" Id="rId15"/>
    <Relationship TargetMode="External" Target="https://www.legis.iowa.gov/docs/ico/chapter/423.3.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2.pdf" Type="http://schemas.openxmlformats.org/officeDocument/2006/relationships/hyperlink" Id="rId18"/>
    <Relationship TargetMode="External" Target="https://www.legis.iowa.gov/docs/iac/rule/701.221.5.pdf" Type="http://schemas.openxmlformats.org/officeDocument/2006/relationships/hyperlink" Id="rId19"/>
    <Relationship TargetMode="External" Target="https://www.legis.iowa.gov/docs/ico/chapter/423.1.pdf" Type="http://schemas.openxmlformats.org/officeDocument/2006/relationships/hyperlink" Id="rId20"/>
    <Relationship TargetMode="External" Target="https://www.legis.iowa.gov/docs/ico/chapter/423.14.pdf" Type="http://schemas.openxmlformats.org/officeDocument/2006/relationships/hyperlink" Id="rId21"/>
    <Relationship TargetMode="External" Target="https://www.legis.iowa.gov/docs/ico/chapter/423.1.pdf" Type="http://schemas.openxmlformats.org/officeDocument/2006/relationships/hyperlink" Id="rId22"/>
    <Relationship TargetMode="External" Target="https://www.legis.iowa.gov/docs/ico/chapter/423.1.pdf" Type="http://schemas.openxmlformats.org/officeDocument/2006/relationships/hyperlink" Id="rId23"/>
    <Relationship TargetMode="External" Target="https://www.legis.iowa.gov/docs/ico/chapter/423.1.pdf" Type="http://schemas.openxmlformats.org/officeDocument/2006/relationships/hyperlink" Id="rId24"/>
    <Relationship TargetMode="External" Target="https://www.legis.iowa.gov/docs/ico/chapter/423.1.pdf" Type="http://schemas.openxmlformats.org/officeDocument/2006/relationships/hyperlink" Id="rId25"/>
    <Relationship TargetMode="External" Target="https://www.legis.iowa.gov/docs/ico/chapter/423.2.pdf" Type="http://schemas.openxmlformats.org/officeDocument/2006/relationships/hyperlink" Id="rId26"/>
    <Relationship TargetMode="External" Target="https://www.legis.iowa.gov/docs/ico/chapter/423.15.pdf" Type="http://schemas.openxmlformats.org/officeDocument/2006/relationships/hyperlink" Id="rId27"/>
    <Relationship TargetMode="External" Target="https://www.legis.iowa.gov/docs/ico/chapter/423.2.pdf" Type="http://schemas.openxmlformats.org/officeDocument/2006/relationships/hyperlink" Id="rId28"/>
    <Relationship TargetMode="External" Target="https://www.legis.iowa.gov/docs/ico/chapter/423.1.pdf" Type="http://schemas.openxmlformats.org/officeDocument/2006/relationships/hyperlink" Id="rId29"/>
    <Relationship TargetMode="External" Target="https://www.legis.iowa.gov/docs/iac/chapter/701.200.pdf" Type="http://schemas.openxmlformats.org/officeDocument/2006/relationships/hyperlink" Id="rId30"/>
    <Relationship TargetMode="External" Target="https://www.legis.iowa.gov/docs/ico/chapter/423.2.pdf" Type="http://schemas.openxmlformats.org/officeDocument/2006/relationships/hyperlink" Id="rId31"/>
    <Relationship TargetMode="External" Target="https://www.legis.iowa.gov/docs/ico/chapter/423.2.pdf" Type="http://schemas.openxmlformats.org/officeDocument/2006/relationships/hyperlink" Id="rId32"/>
    <Relationship TargetMode="External" Target="https://www.legis.iowa.gov/docs/ico/chapter/321.1.pdf" Type="http://schemas.openxmlformats.org/officeDocument/2006/relationships/hyperlink" Id="rId33"/>
    <Relationship TargetMode="External" Target="https://www.legis.iowa.gov/docs/ico/chapter/423.3.pdf" Type="http://schemas.openxmlformats.org/officeDocument/2006/relationships/hyperlink" Id="rId34"/>
    <Relationship TargetMode="External" Target="https://www.legis.iowa.gov/docs/ico/chapter/423.2.pdf" Type="http://schemas.openxmlformats.org/officeDocument/2006/relationships/hyperlink" Id="rId35"/>
    <Relationship TargetMode="External" Target="https://www.legis.iowa.gov/docs/ico/chapter/423.2.pdf" Type="http://schemas.openxmlformats.org/officeDocument/2006/relationships/hyperlink" Id="rId36"/>
    <Relationship TargetMode="External" Target="https://www.legis.iowa.gov/docs/ico/chapter/423.3.pdf" Type="http://schemas.openxmlformats.org/officeDocument/2006/relationships/hyperlink" Id="rId37"/>
    <Relationship TargetMode="External" Target="https://www.legis.iowa.gov/docs/ico/chapter/423.3.pdf" Type="http://schemas.openxmlformats.org/officeDocument/2006/relationships/hyperlink" Id="rId38"/>
    <Relationship TargetMode="External" Target="https://www.legis.iowa.gov/docs/ico/chapter/423.3.pdf" Type="http://schemas.openxmlformats.org/officeDocument/2006/relationships/hyperlink" Id="rId39"/>
    <Relationship TargetMode="External" Target="https://www.legis.iowa.gov/docs/ico/chapter/423.3.pdf" Type="http://schemas.openxmlformats.org/officeDocument/2006/relationships/hyperlink" Id="rId40"/>
    <Relationship TargetMode="External" Target="https://www.legis.iowa.gov/docs/ico/chapter/512A.pdf" Type="http://schemas.openxmlformats.org/officeDocument/2006/relationships/hyperlink" Id="rId41"/>
    <Relationship TargetMode="External" Target="https://www.legis.iowa.gov/docs/ico/chapter/512B.pdf" Type="http://schemas.openxmlformats.org/officeDocument/2006/relationships/hyperlink" Id="rId42"/>
    <Relationship TargetMode="External" Target="https://www.legis.iowa.gov/docs/ico/chapter/514B.pdf" Type="http://schemas.openxmlformats.org/officeDocument/2006/relationships/hyperlink" Id="rId43"/>
    <Relationship TargetMode="External" Target="https://www.legis.iowa.gov/docs/ico/chapter/423.3.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