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221</w:t>
      </w:r>
    </w:p>
    <w:p>
      <w:pPr>
        <w:spacing w:before="0" w:after="0"/>
        <w:ind w:left="120"/>
        <w:jc w:val="center"/>
      </w:pPr>
      <w:r>
        <w:rPr>
          <w:rFonts w:ascii="Times New Roman" w:hAnsi="Times New Roman"/>
          <w:b w:val="false"/>
          <w:i w:val="false"/>
          <w:color w:val="000000"/>
          <w:sz w:val="21"/>
        </w:rPr>
        <w:t>MISCELLANEOUS NONTAXABLE TRANSACTIONS</w:t>
      </w:r>
    </w:p>
    <w:p>
      <w:pPr>
        <w:spacing w:before="0" w:after="0"/>
        <w:ind w:left="120"/>
        <w:jc w:val="center"/>
      </w:pPr>
      <w:r>
        <w:rPr>
          <w:rFonts w:ascii="Times New Roman" w:hAnsi="Times New Roman"/>
          <w:b w:val="false"/>
          <w:i w:val="false"/>
          <w:color w:val="000000"/>
          <w:sz w:val="14"/>
        </w:rPr>
        <w:t>[Prior to 9/7/22, see Revenue Department[701] Ch 214]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701—221.1</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prepaid merchandise cards. </w:t>
      </w:r>
      <w:r>
        <w:rPr>
          <w:rFonts w:ascii="Times New Roman" w:hAnsi="Times New Roman"/>
          <w:b w:val="false"/>
          <w:i w:val="false"/>
          <w:color w:val="000000"/>
          <w:sz w:val="22"/>
        </w:rPr>
        <w:t>Sales of prepaid merchandise cards (other than prepaid telephone calling cards) are not sales of tangible personal property and are not sales for which the sales price is subject to Iowa tax. If a purchaser uses a prepaid merchandise card to purchase taxable tangible personal property or taxable services, sales tax is computed on the sales price at the time of the sale and deducted from the prepaid amount remaining on the merchandise card.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Customer A purchases a prepaid merchandise card from ABC Clothing Company in the amount of $200. Customer A purchases a sweater for $50 from ABC Clothing Company. ABC Clothing Company will debit A’s card $53.00 ($50 × 1.06) for the state sales tax rate of 6 percent or $53.50 ($50 × 1.07) if a local option sales tax rate of 1 percent is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423.1(47)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701—221.2</w:t>
      </w:r>
      <w:r>
        <w:rPr>
          <w:rFonts w:ascii="Times New Roman" w:hAnsi="Times New Roman"/>
          <w:b/>
          <w:i w:val="false"/>
          <w:color w:val="000000"/>
          <w:sz w:val="22"/>
        </w:rPr>
        <w:t xml:space="preserve">(423) </w:t>
      </w:r>
      <w:r>
        <w:rPr>
          <w:rFonts w:ascii="Times New Roman" w:hAnsi="Times New Roman"/>
          <w:b/>
          <w:i w:val="false"/>
          <w:color w:val="000000"/>
          <w:sz w:val="22"/>
        </w:rPr>
        <w:t xml:space="preserve">Demurrage charges. </w:t>
      </w:r>
      <w:r>
        <w:rPr>
          <w:rFonts w:ascii="Times New Roman" w:hAnsi="Times New Roman"/>
          <w:b w:val="false"/>
          <w:i w:val="false"/>
          <w:color w:val="000000"/>
          <w:sz w:val="22"/>
        </w:rPr>
        <w:t>Charges for returning tangible personal property after the agreed-upon date that are true demurrage charges supported by a written agreement do not constitute taxable sales, and the charges are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701—221.3</w:t>
      </w:r>
      <w:r>
        <w:rPr>
          <w:rFonts w:ascii="Times New Roman" w:hAnsi="Times New Roman"/>
          <w:b/>
          <w:i w:val="false"/>
          <w:color w:val="000000"/>
          <w:sz w:val="22"/>
        </w:rPr>
        <w:t xml:space="preserve">(423) </w:t>
      </w:r>
      <w:r>
        <w:rPr>
          <w:rFonts w:ascii="Times New Roman" w:hAnsi="Times New Roman"/>
          <w:b/>
          <w:i w:val="false"/>
          <w:color w:val="000000"/>
          <w:sz w:val="22"/>
        </w:rPr>
        <w:t xml:space="preserve">Beverage container deposits. </w:t>
      </w:r>
      <w:r>
        <w:rPr>
          <w:rFonts w:ascii="Times New Roman" w:hAnsi="Times New Roman"/>
          <w:b w:val="false"/>
          <w:i w:val="false"/>
          <w:color w:val="000000"/>
          <w:sz w:val="22"/>
        </w:rPr>
        <w:t xml:space="preserve">Tax does not apply to beverage container deposits. This rule is also applicable to all mandatory beverage container deposits required under the provisions of Iowa Code chapter </w:t>
      </w:r>
      <w:hyperlink r:id="rId8">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 including deposits on items sold through vending machines.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701—221.4</w:t>
      </w:r>
      <w:r>
        <w:rPr>
          <w:rFonts w:ascii="Times New Roman" w:hAnsi="Times New Roman"/>
          <w:b/>
          <w:i w:val="false"/>
          <w:color w:val="000000"/>
          <w:sz w:val="22"/>
        </w:rPr>
        <w:t xml:space="preserve">(423) </w:t>
      </w:r>
      <w:r>
        <w:rPr>
          <w:rFonts w:ascii="Times New Roman" w:hAnsi="Times New Roman"/>
          <w:b/>
          <w:i w:val="false"/>
          <w:color w:val="000000"/>
          <w:sz w:val="22"/>
        </w:rPr>
        <w:t xml:space="preserve">Advertising agencies, commercial artists and designers as an agent or as a nonagent of a client.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true agency relationship depends upon the facts with respect to each transaction. An agent is one who represents another, called the principal, in dealings with third persons. Advertising agencies, commercial artists, and designers (collectively referred to herein this subrule as “agencies” or “agency”) may act as agents on behalf of their clients in dealing with third persons, or they may act on their own behalf. To the extent agencies act as agents of their clients in acquiring tangible personal property, these agencies are neither purchasers of the property with respect to the supplier nor sellers of the property with respect to their principals.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agencies act as agents of their clients in purchasing property for their clients, the tax applies to the sales price from the sale of such property to the agencies. Unless such agencies act as true agents, they will be regarded as the retailers of tangible personal property furnished to their clients and the tax will apply to the total sales price received for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establish that a particular acquisition is made in the capacity of an agent for a client, the agency shall act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agency must clearly disclose to the supplier the name of the client for whom the agency is acting as an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must obtain, prior to the acquisition, and retain written evidence of agent status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price billed to the client, exclusive of any agency fee, must be the same as the amount paid to the supplier. The agency may make no use of the property for its own account, such as commingling the property of a client with another, and the reimbursement for the property should be separately invoiced or shown separately on the invoice to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Some charges may represent reimbursement for tangible personal property acquired by the agency as agents for its clients and compensation for performing of agency services related thereto. When an agency establishes that it has acquired tangible personal property as an agent for its clients, tax does not apply to the charge made by the agency to its client for reimbursement charges by a supplier or to the charges made for the performance of the agency’s services directly related to the acquisition of personal property. Such agencies acting as agents shall not issue resale certificates to suppliers.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Agencies act as retailers of all items of tangible personal property produced or fabricated by their own employees when they sell to their clients. Agencies are not agents of their clients with respect to the acquisition of materials incorporated into items of tangible personal property prepared by their employees and sold at retail to their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scope of this rule is not confined simply to advertising agencies, commercial artists, and designers, but also applies to all other businesses whose activities would bring them within the scope of this rule (e.g., printers).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701—221.5</w:t>
      </w:r>
      <w:r>
        <w:rPr>
          <w:rFonts w:ascii="Times New Roman" w:hAnsi="Times New Roman"/>
          <w:b/>
          <w:i w:val="false"/>
          <w:color w:val="000000"/>
          <w:sz w:val="22"/>
        </w:rPr>
        <w:t xml:space="preserve">(422,423) </w:t>
      </w:r>
      <w:r>
        <w:rPr>
          <w:rFonts w:ascii="Times New Roman" w:hAnsi="Times New Roman"/>
          <w:b/>
          <w:i w:val="false"/>
          <w:color w:val="000000"/>
          <w:sz w:val="22"/>
        </w:rPr>
        <w:t xml:space="preserve">Films and other media, exempt rental and sale.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color w:val="000000"/>
          <w:sz w:val="22"/>
        </w:rPr>
        <w:t xml:space="preserve">Exempt rental.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rental of films, video and audio tapes or discs, records, photos, copy, scripts, or other media used for the purpose of transmitting that which can be seen, heard, or read shall not be taxable if the lessee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Imposes a charge for the viewing or rental of the media and that charge will be subject to Iowa sales or use tax,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Broadcasts the contents of the media for public viewing or listening.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sales price from lessees who are film exhibitors or who rent discs or other media would ordinarily be exempt from tax under this rule. The rental of media for reproduction of images into newspapers or periodicals will not be exempt from tax under this rule since neither of the criteria in paragraph </w:t>
      </w:r>
      <w:hyperlink r:id="rId12">
        <w:r>
          <w:rPr>
            <w:rStyle w:val="Hyperlink"/>
            <w:rFonts w:ascii="Times New Roman" w:hAnsi="Times New Roman"/>
            <w:b w:val="false"/>
            <w:i w:val="false"/>
            <w:color w:val="000000"/>
            <w:sz w:val="22"/>
          </w:rPr>
          <w:t>221.5(1)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will occur. The rental of films, video discs, and other media for home viewing is not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color w:val="000000"/>
          <w:sz w:val="22"/>
        </w:rPr>
        <w:t xml:space="preserve">Exempt sale. </w:t>
      </w:r>
      <w:r>
        <w:rPr>
          <w:rFonts w:ascii="Times New Roman" w:hAnsi="Times New Roman"/>
          <w:b w:val="false"/>
          <w:i w:val="false"/>
          <w:color w:val="000000"/>
          <w:sz w:val="22"/>
        </w:rPr>
        <w:t>Sales price from the sale to persons regularly engaged in the business of leasing or renting media of motion picture films, video and audio tapes or discs, and records, or any other media that can be seen, heard, or read, are exempt from tax if the ultimate leasing or renting of the media is subject to Iowa sales or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423.3(41)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8163C</w:t>
      </w:r>
      <w:r>
        <w:rPr>
          <w:rFonts w:ascii="Times New Roman" w:hAnsi="Times New Roman"/>
          <w:b w:val="false"/>
          <w:i w:val="false"/>
          <w:color w:val="000000"/>
          <w:sz w:val="21"/>
        </w:rPr>
        <w:t xml:space="preserve"> (Notice ARC 7203C,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1.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co/chapter/423.2.pdf" Type="http://schemas.openxmlformats.org/officeDocument/2006/relationships/hyperlink" Id="rId7"/>
    <Relationship TargetMode="External" Target="https://www.legis.iowa.gov/docs/ico/chapter/455C.pdf" Type="http://schemas.openxmlformats.org/officeDocument/2006/relationships/hyperlink" Id="rId8"/>
    <Relationship TargetMode="External" Target="https://www.legis.iowa.gov/docs/ico/chapter/455C.pdf" Type="http://schemas.openxmlformats.org/officeDocument/2006/relationships/hyperlink" Id="rId9"/>
    <Relationship TargetMode="External" Target="https://www.legis.iowa.gov/docs/ico/chapter/423.2.pdf" Type="http://schemas.openxmlformats.org/officeDocument/2006/relationships/hyperlink" Id="rId10"/>
    <Relationship TargetMode="External" Target="https://www.legis.iowa.gov/docs/ico/chapter/423.5.pdf" Type="http://schemas.openxmlformats.org/officeDocument/2006/relationships/hyperlink" Id="rId11"/>
    <Relationship TargetMode="External" Target="https://www.legis.iowa.gov/docs/iac/rule/701.221.5.pdf" Type="http://schemas.openxmlformats.org/officeDocument/2006/relationships/hyperlink" Id="rId12"/>
    <Relationship TargetMode="External" Target="https://www.legis.iowa.gov/docs/ico/chapter/423.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