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 xml:space="preserve">COLLECTION OF DEBTS OWED THE STATE </w:t>
      </w:r>
      <w:r>
        <w:br/>
      </w:r>
      <w:r>
        <w:rPr>
          <w:rFonts w:ascii="Times New Roman" w:hAnsi="Times New Roman"/>
          <w:b w:val="false"/>
          <w:i w:val="false"/>
          <w:color w:val="000000"/>
          <w:sz w:val="21"/>
        </w:rPr>
        <w:t>OF IOWA OR A STATE AGENCY</w:t>
      </w:r>
    </w:p>
    <w:p>
      <w:pPr>
        <w:spacing w:before="0" w:after="0"/>
        <w:ind w:left="120"/>
        <w:jc w:val="center"/>
      </w:pPr>
      <w:r>
        <w:rPr>
          <w:rFonts w:ascii="Times New Roman" w:hAnsi="Times New Roman"/>
          <w:b w:val="false"/>
          <w:i w:val="false"/>
          <w:color w:val="000000"/>
          <w:sz w:val="14"/>
        </w:rPr>
        <w:t>[Prior to 11/2/22, see Revenue Department[701] Ch 151]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701—22.1</w:t>
      </w:r>
      <w:r>
        <w:rPr>
          <w:rFonts w:ascii="Times New Roman" w:hAnsi="Times New Roman"/>
          <w:b/>
          <w:i w:val="false"/>
          <w:color w:val="000000"/>
          <w:sz w:val="22"/>
        </w:rPr>
        <w:t xml:space="preserve">(421)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shall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 collections unit” </w:t>
      </w:r>
      <w:r>
        <w:rPr>
          <w:rFonts w:ascii="Times New Roman" w:hAnsi="Times New Roman"/>
          <w:b w:val="false"/>
          <w:i w:val="false"/>
          <w:color w:val="000000"/>
          <w:sz w:val="22"/>
        </w:rPr>
        <w:t xml:space="preserve">means the unit within the department charged with collecting debt for the department and other entities pursuant to Iowa Code section </w:t>
      </w:r>
      <w:hyperlink r:id="rId5">
        <w:r>
          <w:rPr>
            <w:rStyle w:val="Hyperlink"/>
            <w:rFonts w:ascii="Times New Roman" w:hAnsi="Times New Roman"/>
            <w:b w:val="false"/>
            <w:i w:val="false"/>
            <w:color w:val="000000"/>
            <w:sz w:val="22"/>
          </w:rPr>
          <w:t>421.17(27)</w:t>
        </w:r>
      </w:hyperlink>
      <w:r>
        <w:rPr>
          <w:rFonts w:ascii="Times New Roman" w:hAnsi="Times New Roman"/>
          <w:b w:val="false"/>
          <w:i w:val="false"/>
          <w:color w:val="000000"/>
          <w:sz w:val="22"/>
        </w:rPr>
        <w:t xml:space="preserve"> or any other Iowa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“Debtor” </w:t>
      </w:r>
      <w:r>
        <w:rPr>
          <w:rFonts w:ascii="Times New Roman" w:hAnsi="Times New Roman"/>
          <w:b w:val="false"/>
          <w:i w:val="false"/>
          <w:color w:val="000000"/>
          <w:sz w:val="22"/>
        </w:rPr>
        <w:t>means any person having a delinquent account, charge, fee, loan, or other indebtedness due the state of Iowa or any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Iowa department of revenue.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revenue or the director’s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“Liability”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“debt” </w:t>
      </w:r>
      <w:r>
        <w:rPr>
          <w:rFonts w:ascii="Times New Roman" w:hAnsi="Times New Roman"/>
          <w:b w:val="false"/>
          <w:i w:val="false"/>
          <w:color w:val="000000"/>
          <w:sz w:val="22"/>
        </w:rPr>
        <w:t>means any liquidated sum due and owing to the state of Iowa or any state agency that has accrued through contract, subrogation, tort, operation of law, or any legal theory regardless of whether there is an outstanding judgment for that sum.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“entity” </w:t>
      </w:r>
      <w:r>
        <w:rPr>
          <w:rFonts w:ascii="Times New Roman" w:hAnsi="Times New Roman"/>
          <w:b w:val="false"/>
          <w:i w:val="false"/>
          <w:color w:val="000000"/>
          <w:sz w:val="22"/>
        </w:rPr>
        <w:t>means individual, corporation, business trust, estate, trust, partnership or association, limited liability company, or any other legal entity, but does not include a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“agency” </w:t>
      </w:r>
      <w:r>
        <w:rPr>
          <w:rFonts w:ascii="Times New Roman" w:hAnsi="Times New Roman"/>
          <w:b w:val="false"/>
          <w:i w:val="false"/>
          <w:color w:val="000000"/>
          <w:sz w:val="22"/>
        </w:rPr>
        <w:t xml:space="preserve">includes but is not limited to entities listed in Iowa Code section </w:t>
      </w:r>
      <w:hyperlink r:id="rId6">
        <w:r>
          <w:rPr>
            <w:rStyle w:val="Hyperlink"/>
            <w:rFonts w:ascii="Times New Roman" w:hAnsi="Times New Roman"/>
            <w:b w:val="false"/>
            <w:i w:val="false"/>
            <w:color w:val="000000"/>
            <w:sz w:val="22"/>
          </w:rPr>
          <w:t>421.17(27)</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701—22.2</w:t>
      </w:r>
      <w:r>
        <w:rPr>
          <w:rFonts w:ascii="Times New Roman" w:hAnsi="Times New Roman"/>
          <w:b/>
          <w:i w:val="false"/>
          <w:color w:val="000000"/>
          <w:sz w:val="22"/>
        </w:rPr>
        <w:t xml:space="preserve">(421) </w:t>
      </w:r>
      <w:r>
        <w:rPr>
          <w:rFonts w:ascii="Times New Roman" w:hAnsi="Times New Roman"/>
          <w:b/>
          <w:i w:val="false"/>
          <w:color w:val="000000"/>
          <w:sz w:val="22"/>
        </w:rPr>
        <w:t xml:space="preserve">Participation guidelines. </w:t>
      </w:r>
      <w:r>
        <w:rPr>
          <w:rFonts w:ascii="Times New Roman" w:hAnsi="Times New Roman"/>
          <w:b w:val="false"/>
          <w:i w:val="false"/>
          <w:color w:val="000000"/>
          <w:sz w:val="22"/>
        </w:rPr>
        <w:t xml:space="preserve">The department may collect on behalf of a public agency at the department’s sole discretion. The department may require that a public agency enter into an agreement for collection with the department prior to collecting for the public agency. Agreements will be signed by the director or another staff member of the department designated by the director.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701—22.3</w:t>
      </w:r>
      <w:r>
        <w:rPr>
          <w:rFonts w:ascii="Times New Roman" w:hAnsi="Times New Roman"/>
          <w:b/>
          <w:i w:val="false"/>
          <w:color w:val="000000"/>
          <w:sz w:val="22"/>
        </w:rPr>
        <w:t xml:space="preserve">(421) </w:t>
      </w:r>
      <w:r>
        <w:rPr>
          <w:rFonts w:ascii="Times New Roman" w:hAnsi="Times New Roman"/>
          <w:b/>
          <w:i w:val="false"/>
          <w:color w:val="000000"/>
          <w:sz w:val="22"/>
        </w:rPr>
        <w:t xml:space="preserve">Duties of the agency. </w:t>
      </w:r>
      <w:r>
        <w:rPr>
          <w:rFonts w:ascii="Times New Roman" w:hAnsi="Times New Roman"/>
          <w:b w:val="false"/>
          <w:i w:val="false"/>
          <w:color w:val="000000"/>
          <w:sz w:val="22"/>
        </w:rPr>
        <w:t>A public agency seeking the use of the central collections unit shall have the following duties regarding the department and debtors.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the department. </w:t>
      </w:r>
      <w:r>
        <w:rPr>
          <w:rFonts w:ascii="Times New Roman" w:hAnsi="Times New Roman"/>
          <w:b w:val="false"/>
          <w:i w:val="false"/>
          <w:color w:val="000000"/>
          <w:sz w:val="22"/>
        </w:rPr>
        <w:t xml:space="preserve">The public agency must provide a list of debtors to the department of revenue. This list must be in a format and type prescribed by the department and include information relevant to the identification of the debtor and the source and amount of the debt. The public agency shall terminate all collection activities once notification is given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color w:val="000000"/>
          <w:sz w:val="22"/>
        </w:rPr>
        <w:t xml:space="preserve">Change in status of debt. </w:t>
      </w:r>
      <w:r>
        <w:rPr>
          <w:rFonts w:ascii="Times New Roman" w:hAnsi="Times New Roman"/>
          <w:b w:val="false"/>
          <w:i w:val="false"/>
          <w:color w:val="000000"/>
          <w:sz w:val="22"/>
        </w:rPr>
        <w:t xml:space="preserve">A public agency that has provided liability information to the department of revenue must notify the department immediately of any change in the status of a debt. This notification shall be made no later than ten calendar days from the occurrence of the change. Change in status may come from payment of the debt or liability, invalidation of the liability, alternate payment arrangements with the debtor, bankruptcy, or other factors.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10/22/93—published 11/10/93, effective 10/22/93]</w:t>
      </w:r>
    </w:p>
    <w:p>
      <w:pPr>
        <w:spacing w:before="0" w:after="0"/>
        <w:ind w:left="120"/>
        <w:jc w:val="center"/>
      </w:pPr>
      <w:r>
        <w:rPr>
          <w:rFonts w:ascii="Times New Roman" w:hAnsi="Times New Roman"/>
          <w:b w:val="false"/>
          <w:i w:val="false"/>
          <w:color w:val="000000"/>
          <w:sz w:val="21"/>
        </w:rPr>
        <w:t>[Filed 12/17/93, Notice 11/10/93—published 1/5/94, effective 2/9/94]</w:t>
      </w:r>
    </w:p>
    <w:p>
      <w:pPr>
        <w:spacing w:before="0" w:after="0"/>
        <w:ind w:left="120"/>
        <w:jc w:val="center"/>
      </w:pPr>
      <w:r>
        <w:rPr>
          <w:rFonts w:ascii="Times New Roman" w:hAnsi="Times New Roman"/>
          <w:b w:val="false"/>
          <w:i w:val="false"/>
          <w:color w:val="000000"/>
          <w:sz w:val="21"/>
        </w:rPr>
        <w:t>[Filed ARC 0124C</w:t>
      </w:r>
      <w:r>
        <w:rPr>
          <w:rFonts w:ascii="Times New Roman" w:hAnsi="Times New Roman"/>
          <w:b w:val="false"/>
          <w:i w:val="false"/>
          <w:color w:val="000000"/>
          <w:sz w:val="21"/>
        </w:rPr>
        <w:t xml:space="preserve"> (Notice ARC 0052C, IAB 3/21/12)</w:t>
      </w:r>
      <w:r>
        <w:rPr>
          <w:rFonts w:ascii="Times New Roman" w:hAnsi="Times New Roman"/>
          <w:b w:val="false"/>
          <w:i w:val="false"/>
          <w:color w:val="000000"/>
          <w:sz w:val="21"/>
        </w:rPr>
        <w:t>, IAB 5/16/12, effective 6/20/12]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7835C</w:t>
      </w:r>
      <w:r>
        <w:rPr>
          <w:rFonts w:ascii="Times New Roman" w:hAnsi="Times New Roman"/>
          <w:b w:val="false"/>
          <w:i w:val="false"/>
          <w:color w:val="000000"/>
          <w:sz w:val="21"/>
        </w:rPr>
        <w:t xml:space="preserve"> (Notice ARC 7181C, IAB 12/13/23)</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1.17.pdf" Type="http://schemas.openxmlformats.org/officeDocument/2006/relationships/hyperlink" Id="rId5"/>
    <Relationship TargetMode="External" Target="https://www.legis.iowa.gov/docs/ico/chapter/421.17.pdf" Type="http://schemas.openxmlformats.org/officeDocument/2006/relationships/hyperlink" Id="rId6"/>
    <Relationship TargetMode="External" Target="https://www.legis.iowa.gov/docs/ico/chapter/421.17.pdf" Type="http://schemas.openxmlformats.org/officeDocument/2006/relationships/hyperlink" Id="rId7"/>
    <Relationship TargetMode="External" Target="https://www.legis.iowa.gov/docs/ico/chapter/422.20.pdf" Type="http://schemas.openxmlformats.org/officeDocument/2006/relationships/hyperlink" Id="rId8"/>
    <Relationship TargetMode="External" Target="https://www.legis.iowa.gov/docs/ico/chapter/422.72.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