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217</w:t>
      </w:r>
    </w:p>
    <w:p>
      <w:pPr>
        <w:spacing w:before="0" w:after="0"/>
        <w:ind w:left="120"/>
        <w:jc w:val="center"/>
      </w:pPr>
      <w:r>
        <w:rPr>
          <w:rFonts w:ascii="Times New Roman" w:hAnsi="Times New Roman"/>
          <w:b w:val="false"/>
          <w:i w:val="false"/>
          <w:color w:val="000000"/>
          <w:sz w:val="21"/>
        </w:rPr>
        <w:t>TELECOMMUNICATION SERVICES</w:t>
      </w:r>
    </w:p>
    <w:p>
      <w:pPr>
        <w:spacing w:before="0" w:after="0"/>
        <w:ind w:left="120"/>
        <w:jc w:val="center"/>
      </w:pPr>
      <w:r>
        <w:rPr>
          <w:rFonts w:ascii="Times New Roman" w:hAnsi="Times New Roman"/>
          <w:b w:val="false"/>
          <w:i w:val="false"/>
          <w:color w:val="000000"/>
          <w:sz w:val="14"/>
        </w:rPr>
        <w:t>[Prior to 9/7/22, see Revenue Department[701] Ch 224]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3/13/29</w:t>
      </w:r>
    </w:p>
    <w:p>
      <w:pPr>
        <w:spacing w:before="0" w:after="0"/>
        <w:ind w:left="120"/>
        <w:jc w:val="both"/>
      </w:pPr>
      <w:r>
        <w:rPr>
          <w:rFonts w:ascii="Times New Roman" w:hAnsi="Times New Roman"/>
          <w:b/>
          <w:i w:val="false"/>
          <w:color w:val="000000"/>
          <w:sz w:val="22"/>
        </w:rPr>
        <w:t>701—217.1</w:t>
      </w:r>
      <w:r>
        <w:rPr>
          <w:rFonts w:ascii="Times New Roman" w:hAnsi="Times New Roman"/>
          <w:b/>
          <w:i w:val="false"/>
          <w:color w:val="000000"/>
          <w:sz w:val="22"/>
        </w:rPr>
        <w:t xml:space="preserve">(423) </w:t>
      </w:r>
      <w:r>
        <w:rPr>
          <w:rFonts w:ascii="Times New Roman" w:hAnsi="Times New Roman"/>
          <w:b/>
          <w:i w:val="false"/>
          <w:color w:val="000000"/>
          <w:sz w:val="22"/>
        </w:rPr>
        <w:t xml:space="preserve">Taxable telecommunication service and ancillary service. </w:t>
      </w:r>
      <w:r>
        <w:rPr>
          <w:rFonts w:ascii="Times New Roman" w:hAnsi="Times New Roman"/>
          <w:b w:val="false"/>
          <w:i w:val="false"/>
          <w:color w:val="000000"/>
          <w:sz w:val="22"/>
        </w:rPr>
        <w:t xml:space="preserve">The sales price of all telecommunication service and ancillary service are subject to the sales or use tax.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7622C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701—217.2</w:t>
      </w:r>
      <w:r>
        <w:rPr>
          <w:rFonts w:ascii="Times New Roman" w:hAnsi="Times New Roman"/>
          <w:b/>
          <w:i w:val="false"/>
          <w:color w:val="000000"/>
          <w:sz w:val="22"/>
        </w:rPr>
        <w:t xml:space="preserve">(423)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217.2(1)</w:t>
      </w:r>
      <w:r>
        <w:rPr>
          <w:rFonts w:ascii="Times New Roman" w:hAnsi="Times New Roman"/>
          <w:b w:val="false"/>
          <w:i w:val="false"/>
          <w:color w:val="000000"/>
          <w:sz w:val="22"/>
        </w:rPr>
        <w:t> </w:t>
      </w:r>
      <w:r>
        <w:rPr>
          <w:rFonts w:ascii="Times New Roman" w:hAnsi="Times New Roman"/>
          <w:b w:val="false"/>
          <w:i/>
          <w:color w:val="000000"/>
          <w:sz w:val="22"/>
        </w:rPr>
        <w:t xml:space="preserve">Incorporation of definitions. </w:t>
      </w:r>
      <w:r>
        <w:rPr>
          <w:rFonts w:ascii="Times New Roman" w:hAnsi="Times New Roman"/>
          <w:b w:val="false"/>
          <w:i w:val="false"/>
          <w:color w:val="000000"/>
          <w:sz w:val="22"/>
        </w:rPr>
        <w:t xml:space="preserve">To the extent they are consistent with Iowa Code chapter </w:t>
      </w:r>
      <w:hyperlink r:id="rId5">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and this chapter, all other words and phrases used in this chapter mean the same as defined in Iowa Code section </w:t>
      </w:r>
      <w:hyperlink r:id="rId6">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217.2(2)</w:t>
      </w:r>
      <w:r>
        <w:rPr>
          <w:rFonts w:ascii="Times New Roman" w:hAnsi="Times New Roman"/>
          <w:b w:val="false"/>
          <w:i w:val="false"/>
          <w:color w:val="000000"/>
          <w:sz w:val="22"/>
        </w:rPr>
        <w:t> </w:t>
      </w:r>
      <w:r>
        <w:rPr>
          <w:rFonts w:ascii="Times New Roman" w:hAnsi="Times New Roman"/>
          <w:b w:val="false"/>
          <w:i/>
          <w:color w:val="000000"/>
          <w:sz w:val="22"/>
        </w:rPr>
        <w:t xml:space="preserve">Chapter-specific 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“800 service” </w:t>
      </w:r>
      <w:r>
        <w:rPr>
          <w:rFonts w:ascii="Times New Roman" w:hAnsi="Times New Roman"/>
          <w:b w:val="false"/>
          <w:i w:val="false"/>
          <w:color w:val="000000"/>
          <w:sz w:val="22"/>
        </w:rPr>
        <w:t>means a telecommunication service that allows a caller to dial a toll-free number without incurring a charge for the call. The service is typically marketed under the name “800,” “855,” “866,” “877,” and “888” toll-free calling and any subsequent numbers designated by the Federal Communications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“900 service” </w:t>
      </w:r>
      <w:r>
        <w:rPr>
          <w:rFonts w:ascii="Times New Roman" w:hAnsi="Times New Roman"/>
          <w:b w:val="false"/>
          <w:i w:val="false"/>
          <w:color w:val="000000"/>
          <w:sz w:val="22"/>
        </w:rPr>
        <w:t>means an inbound toll telecommunication service purchased by a subscriber that allows the subscriber’s customers to call in to the subscriber’s prerecorded announcement or live service. A 900 service does not include the charge for collection services provided by the seller of the telecommunication service to the subscriber or to services or products sold by the subscriber to the subscriber’s customer. The service is typically marketed under the name “900 service” and any subsequent numbers designated by the Federal Communications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“Ancillary services” </w:t>
      </w:r>
      <w:r>
        <w:rPr>
          <w:rFonts w:ascii="Times New Roman" w:hAnsi="Times New Roman"/>
          <w:b w:val="false"/>
          <w:i w:val="false"/>
          <w:color w:val="000000"/>
          <w:sz w:val="22"/>
        </w:rPr>
        <w:t>means services that are associated with or incidental to the provision of a telecommunication service. “Ancillary services” includes, but is not limited to, detailed telecommunication billing, directory assistance, vertical service, and voice mail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“Conference bridging service” </w:t>
      </w:r>
      <w:r>
        <w:rPr>
          <w:rFonts w:ascii="Times New Roman" w:hAnsi="Times New Roman"/>
          <w:b w:val="false"/>
          <w:i w:val="false"/>
          <w:color w:val="000000"/>
          <w:sz w:val="22"/>
        </w:rPr>
        <w:t>means an ancillary service that links two or more participants of an audio or video conference call and may include the provision of a telephone number. “Conference bridging service” does not include telecommunication services used to reach the conference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“Detailed telecommunication billing service” </w:t>
      </w:r>
      <w:r>
        <w:rPr>
          <w:rFonts w:ascii="Times New Roman" w:hAnsi="Times New Roman"/>
          <w:b w:val="false"/>
          <w:i w:val="false"/>
          <w:color w:val="000000"/>
          <w:sz w:val="22"/>
        </w:rPr>
        <w:t>means an ancillary service of separately stating information pertaining to individual calls on a customer’s billing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“Directory assistance” </w:t>
      </w:r>
      <w:r>
        <w:rPr>
          <w:rFonts w:ascii="Times New Roman" w:hAnsi="Times New Roman"/>
          <w:b w:val="false"/>
          <w:i w:val="false"/>
          <w:color w:val="000000"/>
          <w:sz w:val="22"/>
        </w:rPr>
        <w:t>means an ancillary service of providing telephone number information and address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“Fixed wireless service” </w:t>
      </w:r>
      <w:r>
        <w:rPr>
          <w:rFonts w:ascii="Times New Roman" w:hAnsi="Times New Roman"/>
          <w:b w:val="false"/>
          <w:i w:val="false"/>
          <w:color w:val="000000"/>
          <w:sz w:val="22"/>
        </w:rPr>
        <w:t>means a telecommunication service that provides radio communication between fixed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service provider” </w:t>
      </w:r>
      <w:r>
        <w:rPr>
          <w:rFonts w:ascii="Times New Roman" w:hAnsi="Times New Roman"/>
          <w:b w:val="false"/>
          <w:i w:val="false"/>
          <w:color w:val="000000"/>
          <w:sz w:val="22"/>
        </w:rPr>
        <w:t>means the same as defined in Section 124(5) of Public Law 106-252, 4 U.S.C. §124(5) (Mobile Telecommunications Sourcing Act). The home service provider is the facilities-based carrier or reseller with which the customer contracts for the provision of mobile telecommunication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“International” </w:t>
      </w:r>
      <w:r>
        <w:rPr>
          <w:rFonts w:ascii="Times New Roman" w:hAnsi="Times New Roman"/>
          <w:b w:val="false"/>
          <w:i w:val="false"/>
          <w:color w:val="000000"/>
          <w:sz w:val="22"/>
        </w:rPr>
        <w:t>means a telecommunication service that originates or terminates in the United States and terminates or originates outside the United States, respectively. United States includes the District of Columbia or a U.S. territory or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“Interstate” </w:t>
      </w:r>
      <w:r>
        <w:rPr>
          <w:rFonts w:ascii="Times New Roman" w:hAnsi="Times New Roman"/>
          <w:b w:val="false"/>
          <w:i w:val="false"/>
          <w:color w:val="000000"/>
          <w:sz w:val="22"/>
        </w:rPr>
        <w:t>means a telecommunication service that originates in one United States state or a United States territory or possession and terminates in a different United States state or a United States territory or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 this state” </w:t>
      </w:r>
      <w:r>
        <w:rPr>
          <w:rFonts w:ascii="Times New Roman" w:hAnsi="Times New Roman"/>
          <w:b w:val="false"/>
          <w:i w:val="false"/>
          <w:color w:val="000000"/>
          <w:sz w:val="22"/>
        </w:rPr>
        <w:t>means that telecommunication service is provided “in this state” only if both the points of origination and termination of the communication are within the borders of Iowa. Telecommunication service between any other points is “interstate” in nature and not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“Intrastate” </w:t>
      </w:r>
      <w:r>
        <w:rPr>
          <w:rFonts w:ascii="Times New Roman" w:hAnsi="Times New Roman"/>
          <w:b w:val="false"/>
          <w:i w:val="false"/>
          <w:color w:val="000000"/>
          <w:sz w:val="22"/>
        </w:rPr>
        <w:t>means a telecommunication service that originates in one United States state or a United States territory or possession and terminates in the same United States state or a United States territory or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telecommunication service” </w:t>
      </w:r>
      <w:r>
        <w:rPr>
          <w:rFonts w:ascii="Times New Roman" w:hAnsi="Times New Roman"/>
          <w:b w:val="false"/>
          <w:i w:val="false"/>
          <w:color w:val="000000"/>
          <w:sz w:val="22"/>
        </w:rPr>
        <w:t xml:space="preserve">means the same as that term is defined in Section 124(7) of Public Law 106-252, 4 U.S.C. §124(7) (Mobile Telecommunications Sourcing Act) and is a radio communication service carried on between mobile stations or receivers and land stations and by mobile stations communicating among themselves. More information is contained in Iowa Code section </w:t>
      </w:r>
      <w:hyperlink r:id="rId7">
        <w:r>
          <w:rPr>
            <w:rStyle w:val="Hyperlink"/>
            <w:rFonts w:ascii="Times New Roman" w:hAnsi="Times New Roman"/>
            <w:b w:val="false"/>
            <w:i w:val="false"/>
            <w:color w:val="000000"/>
            <w:sz w:val="22"/>
          </w:rPr>
          <w:t>423.2(9)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wireless service” </w:t>
      </w:r>
      <w:r>
        <w:rPr>
          <w:rFonts w:ascii="Times New Roman" w:hAnsi="Times New Roman"/>
          <w:b w:val="false"/>
          <w:i w:val="false"/>
          <w:color w:val="000000"/>
          <w:sz w:val="22"/>
        </w:rPr>
        <w:t>means a telecommunication service that is transmitted, conveyed, or routed regardless of the technology used, whereby the origination or termination point or both of the transmission, conveyance, or routing are not fixed, including, by example only, telecommunication services that are provided by a commercial mobile radio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“Paging service” </w:t>
      </w:r>
      <w:r>
        <w:rPr>
          <w:rFonts w:ascii="Times New Roman" w:hAnsi="Times New Roman"/>
          <w:b w:val="false"/>
          <w:i w:val="false"/>
          <w:color w:val="000000"/>
          <w:sz w:val="22"/>
        </w:rPr>
        <w:t>means a telecommunication service that provides transmission of coded radio signals for the purpose of activating specific pagers. This transmission may include messages and sounds.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 telephone service” </w:t>
      </w:r>
      <w:r>
        <w:rPr>
          <w:rFonts w:ascii="Times New Roman" w:hAnsi="Times New Roman"/>
          <w:b w:val="false"/>
          <w:i w:val="false"/>
          <w:color w:val="000000"/>
          <w:sz w:val="22"/>
        </w:rPr>
        <w:t>means a telecommunication service provided through any pay telephone. “Pay telephone service” also includes coin-operated telephone service paid for by inserting money into a telephone accepting direct deposits of money to 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communication service” </w:t>
      </w:r>
      <w:r>
        <w:rPr>
          <w:rFonts w:ascii="Times New Roman" w:hAnsi="Times New Roman"/>
          <w:b w:val="false"/>
          <w:i w:val="false"/>
          <w:color w:val="000000"/>
          <w:sz w:val="22"/>
        </w:rPr>
        <w:t>means a telecommunication service that entitles the customer to exclusive or priority use of a communications channel or group of channels between or among termination points, regardless of the manner in which such channel or channels are connected, and includes switching capacity, extension lines, stations, and any other associated services that are provided in connection with the use of such channel or channels.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telecommunication service” </w:t>
      </w:r>
      <w:r>
        <w:rPr>
          <w:rFonts w:ascii="Times New Roman" w:hAnsi="Times New Roman"/>
          <w:b w:val="false"/>
          <w:i w:val="false"/>
          <w:color w:val="000000"/>
          <w:sz w:val="22"/>
        </w:rPr>
        <w:t>means telecommunication services or ancillary services provided to an individual for personal use at a residential address, including an individual dwelling unit, such as an apartment. In the case of institutions where individuals reside, such as schools or nursing homes, telecommunication services are considered residential if they are provided to and paid for by an individual resident rather than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 price from the sale of telecommunication 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“sales price” </w:t>
      </w:r>
      <w:r>
        <w:rPr>
          <w:rFonts w:ascii="Times New Roman" w:hAnsi="Times New Roman"/>
          <w:b w:val="false"/>
          <w:i w:val="false"/>
          <w:color w:val="000000"/>
          <w:sz w:val="22"/>
        </w:rPr>
        <w:t xml:space="preserve">means all charges to any person that are necessary for the end user to secure the service, except those charges that are in the nature of a sale for resale (more information is contained in subrule </w:t>
      </w:r>
      <w:hyperlink r:id="rId8">
        <w:r>
          <w:rPr>
            <w:rStyle w:val="Hyperlink"/>
            <w:rFonts w:ascii="Times New Roman" w:hAnsi="Times New Roman"/>
            <w:b w:val="false"/>
            <w:i w:val="false"/>
            <w:color w:val="000000"/>
            <w:sz w:val="22"/>
          </w:rPr>
          <w:t>217.4(9)</w:t>
        </w:r>
      </w:hyperlink>
      <w:r>
        <w:rPr>
          <w:rFonts w:ascii="Times New Roman" w:hAnsi="Times New Roman"/>
          <w:b w:val="false"/>
          <w:i w:val="false"/>
          <w:color w:val="000000"/>
          <w:sz w:val="22"/>
        </w:rPr>
        <w:t>). Such charges shall be taxable if the charges are necessary to secure telecommunication service in this state, even though payment of the charge may also be necessary to secure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“Telecommunication service” </w:t>
      </w:r>
      <w:r>
        <w:rPr>
          <w:rFonts w:ascii="Times New Roman" w:hAnsi="Times New Roman"/>
          <w:b w:val="false"/>
          <w:i w:val="false"/>
          <w:color w:val="000000"/>
          <w:sz w:val="22"/>
        </w:rPr>
        <w:t>means the electronic transmission, conveyance, or routing of voice, data, audio, video, or any other information or signals to a point, or between or among points. The term includes any transmission, conveyance, or routing in which computer processing applications are used to act on the form, code, or protocol of the content for purposes of transmission, conveyance, or routing without regard to whether such service is referred to as voice-over Internet protocol services or is classified by the Federal Communications Commission as enhanced or value-added. “Telecommunication service” does not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Data processing and information services that allow data to be generated, acquired, stored, processed, or retrieved and delivered by an electronic transmission to a purchaser where the purchaser’s primary purpose for the underlying transaction is the processed data or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Installation or maintenance of wiring or equipment on a customer’s premises;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Tangible personal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Advertising, including but not limited to directory advertising;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Billing and collection services provided to third parties;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Internet access service;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Radio and television audio and video programming services, regardless of the medium, including the furnishing of transmission, conveyance, or routing of the service by the programming service provider. Radio and television audio and video programming services shall include but not be limited to cable service as defined in 47 U.S.C. §522.6 and audio and video programming services delivered by a commercial mobile radio service provider as defined in 47 CFR §20.3;</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Ancillary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Digital products delivered electronically, including but not limited to software, music, video, reading materials or ring tones.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“Value-added non-voice data service” </w:t>
      </w:r>
      <w:r>
        <w:rPr>
          <w:rFonts w:ascii="Times New Roman" w:hAnsi="Times New Roman"/>
          <w:b w:val="false"/>
          <w:i w:val="false"/>
          <w:color w:val="000000"/>
          <w:sz w:val="22"/>
        </w:rPr>
        <w:t>means a service that otherwise meets the definition of telecommunication service in which computer processing applications are used to act on the form, content, code, or protocol of the information or data primarily for a purpose other than transmission, conveyance, or routing.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“Vertical service” </w:t>
      </w:r>
      <w:r>
        <w:rPr>
          <w:rFonts w:ascii="Times New Roman" w:hAnsi="Times New Roman"/>
          <w:b w:val="false"/>
          <w:i w:val="false"/>
          <w:color w:val="000000"/>
          <w:sz w:val="22"/>
        </w:rPr>
        <w:t>means an ancillary service that is offered in connection with one or more telecommunication services, which offers advanced calling features that allow customers to identify callers and to manage multiple calls and call connections. Nonexclusive examples of vertical service include call forwarding, caller ID, three-way calling, and conference bridging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“Voice mail service” </w:t>
      </w:r>
      <w:r>
        <w:rPr>
          <w:rFonts w:ascii="Times New Roman" w:hAnsi="Times New Roman"/>
          <w:b w:val="false"/>
          <w:i w:val="false"/>
          <w:color w:val="000000"/>
          <w:sz w:val="22"/>
        </w:rPr>
        <w:t>means an ancillary service that enables the customer to store, send, or receive recorded messages. Voice mail service does not include any vertical services that the customer may be required to have in order to utilize the voice mail service.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423.2(9)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7622C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701—217.3</w:t>
      </w:r>
      <w:r>
        <w:rPr>
          <w:rFonts w:ascii="Times New Roman" w:hAnsi="Times New Roman"/>
          <w:b/>
          <w:i w:val="false"/>
          <w:color w:val="000000"/>
          <w:sz w:val="22"/>
        </w:rPr>
        <w:t xml:space="preserve">(423) </w:t>
      </w:r>
      <w:r>
        <w:rPr>
          <w:rFonts w:ascii="Times New Roman" w:hAnsi="Times New Roman"/>
          <w:b/>
          <w:i w:val="false"/>
          <w:color w:val="000000"/>
          <w:sz w:val="22"/>
        </w:rPr>
        <w:t xml:space="preserve">Imposition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217.3(1)</w:t>
      </w:r>
      <w:r>
        <w:rPr>
          <w:rFonts w:ascii="Times New Roman" w:hAnsi="Times New Roman"/>
          <w:b w:val="false"/>
          <w:i w:val="false"/>
          <w:color w:val="000000"/>
          <w:sz w:val="22"/>
        </w:rPr>
        <w:t> </w:t>
      </w:r>
      <w:r>
        <w:rPr>
          <w:rFonts w:ascii="Times New Roman" w:hAnsi="Times New Roman"/>
          <w:b w:val="false"/>
          <w:i/>
          <w:color w:val="000000"/>
          <w:sz w:val="22"/>
        </w:rPr>
        <w:t xml:space="preserve">Taxable telecommunication service and ancillary service. </w:t>
      </w:r>
      <w:r>
        <w:rPr>
          <w:rFonts w:ascii="Times New Roman" w:hAnsi="Times New Roman"/>
          <w:b w:val="false"/>
          <w:i w:val="false"/>
          <w:color w:val="000000"/>
          <w:sz w:val="22"/>
        </w:rPr>
        <w:t>The sales price of the sale of telecommunication service and ancillary service are subject to Iowa sales or use tax. The following is a nonexclusive list of taxable telecommunication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Air-to-ground radio telephone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Ancillary services except detailed communications billing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Conference bridging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Fixed wireless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Mobile wireless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 telephone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Postpaid calling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Prepaid calling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Prepaid wireless calling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Private communication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Residential telecommunication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217.3(2)</w:t>
      </w:r>
      <w:r>
        <w:rPr>
          <w:rFonts w:ascii="Times New Roman" w:hAnsi="Times New Roman"/>
          <w:b w:val="false"/>
          <w:i w:val="false"/>
          <w:color w:val="000000"/>
          <w:sz w:val="22"/>
        </w:rPr>
        <w:t> </w:t>
      </w:r>
      <w:r>
        <w:rPr>
          <w:rFonts w:ascii="Times New Roman" w:hAnsi="Times New Roman"/>
          <w:b w:val="false"/>
          <w:i/>
          <w:color w:val="000000"/>
          <w:sz w:val="22"/>
        </w:rPr>
        <w:t xml:space="preserve">Other taxable services and circumstances. </w:t>
      </w:r>
      <w:r>
        <w:rPr>
          <w:rFonts w:ascii="Times New Roman" w:hAnsi="Times New Roman"/>
          <w:b w:val="false"/>
          <w:i w:val="false"/>
          <w:color w:val="000000"/>
          <w:sz w:val="22"/>
        </w:rPr>
        <w:t>The following is a description of services and circumstances under which certain charges associated with telecommunication service are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Long distance charges. </w:t>
      </w:r>
      <w:r>
        <w:rPr>
          <w:rFonts w:ascii="Times New Roman" w:hAnsi="Times New Roman"/>
          <w:b w:val="false"/>
          <w:i w:val="false"/>
          <w:color w:val="000000"/>
          <w:sz w:val="22"/>
        </w:rPr>
        <w:t>Charges imposed or approved by the utilities division of the department of commerce that are necessary to secure long distance service in this state, for example, “end user intrastate access charges,” are taxable. These charges are taxable whether they result from an expense incurred from operations or are imposed by the mandate of the utilities division and unrelated to any expense actually incurred in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Sales price of services performed by another company. </w:t>
      </w:r>
      <w:r>
        <w:rPr>
          <w:rFonts w:ascii="Times New Roman" w:hAnsi="Times New Roman"/>
          <w:b w:val="false"/>
          <w:i w:val="false"/>
          <w:color w:val="000000"/>
          <w:sz w:val="22"/>
        </w:rPr>
        <w:t>The sales price collected by a company (selling company) from the end users of telecommunication services and ancillary services performed in this state by another company (providing company) are considered to be the taxable sales price of the selling company. The situation is similar to a consignment sale of tangible personal property. Tax must be remitted by the selling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Directory assistance. </w:t>
      </w:r>
      <w:r>
        <w:rPr>
          <w:rFonts w:ascii="Times New Roman" w:hAnsi="Times New Roman"/>
          <w:b w:val="false"/>
          <w:i w:val="false"/>
          <w:color w:val="000000"/>
          <w:sz w:val="22"/>
        </w:rPr>
        <w:t>Charges for directory assistance service rendered in this state are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Electrical and electronic installation and repair. </w:t>
      </w:r>
      <w:r>
        <w:rPr>
          <w:rFonts w:ascii="Times New Roman" w:hAnsi="Times New Roman"/>
          <w:b w:val="false"/>
          <w:i w:val="false"/>
          <w:color w:val="000000"/>
          <w:sz w:val="22"/>
        </w:rPr>
        <w:t>The sales price of the installation or repair of any inside wire that provides electrical current that allows an electronic device to function is subject to tax. The sales price is from the enumerated service of electrical and electronic repair and installation. The sales price of inside wire maintenance charges for services performed under a service or warranty contract is also subject to tax. Depending upon the circumstances, the sales price is for the enumerated service of electrical and electronic repair and installation or is incurred under an optional service or warranty contract for an enumerated service. In either event, the receipts are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Electrical and electronic installation and repair: billing methodology. </w:t>
      </w:r>
      <w:r>
        <w:rPr>
          <w:rFonts w:ascii="Times New Roman" w:hAnsi="Times New Roman"/>
          <w:b w:val="false"/>
          <w:i w:val="false"/>
          <w:color w:val="000000"/>
          <w:sz w:val="22"/>
        </w:rPr>
        <w:t>The sales price of the repair or installation of inside wire or the repair or installation of any electronic device, including a telephone or telephone switching equipment, is subject to tax regardless of the method used to bill the customer for the service. These methods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flat fee or a flat hourly charge that covers all costs, including labor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premises visit or trip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single charge covering and not distinguishing between charges for labor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charge with labor and material segregated;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charge for labor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Nonitemized taxes and charges. </w:t>
      </w:r>
      <w:r>
        <w:rPr>
          <w:rFonts w:ascii="Times New Roman" w:hAnsi="Times New Roman"/>
          <w:b w:val="false"/>
          <w:i w:val="false"/>
          <w:color w:val="000000"/>
          <w:sz w:val="22"/>
        </w:rPr>
        <w:t>Any federal taxes or charges that are not separately stated or billed are subject to Iowa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Rental of tangible personal property. </w:t>
      </w:r>
      <w:r>
        <w:rPr>
          <w:rFonts w:ascii="Times New Roman" w:hAnsi="Times New Roman"/>
          <w:b w:val="false"/>
          <w:i w:val="false"/>
          <w:color w:val="000000"/>
          <w:sz w:val="22"/>
        </w:rPr>
        <w:t>The sales price of the rental of any device for home or office use or to provide a telecommunication service to others is taxable as the rental of tangible personal property. The sales price of rental includes rents, royalties, and copyright and license fees. Any periodic fee for maintenance of the device that is included in the sales price of the rental of the device is also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Sales of tangible personal property. </w:t>
      </w:r>
      <w:r>
        <w:rPr>
          <w:rFonts w:ascii="Times New Roman" w:hAnsi="Times New Roman"/>
          <w:b w:val="false"/>
          <w:i w:val="false"/>
          <w:color w:val="000000"/>
          <w:sz w:val="22"/>
        </w:rPr>
        <w:t xml:space="preserve">The sale of any device, new or used, is subject to tax both when the device is in place on the customer’s premises at the time of the sale and if the device is sold to the customer elsewhere. The sale of an entire inventory of devices may or may not be subject to tax, depending upon whether it qualifies for the casual sales exemption. More information is contained in Iowa Code section </w:t>
      </w:r>
      <w:hyperlink r:id="rId10">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 Other exemptions may be applicable, as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Mandatory charges or fees. </w:t>
      </w:r>
      <w:r>
        <w:rPr>
          <w:rFonts w:ascii="Times New Roman" w:hAnsi="Times New Roman"/>
          <w:b w:val="false"/>
          <w:i w:val="false"/>
          <w:color w:val="000000"/>
          <w:sz w:val="22"/>
        </w:rPr>
        <w:t>Any mandatory handling or other charges billed to a customer for sending the customer an electronic device by mail or by a delivery service are subject to tax. Charges for a mandatory service rendered in connection with the sale of tangible personal property are considered by the department to be a part of the sales price of the sale of the property itself and therefore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Deposits. </w:t>
      </w:r>
      <w:r>
        <w:rPr>
          <w:rFonts w:ascii="Times New Roman" w:hAnsi="Times New Roman"/>
          <w:b w:val="false"/>
          <w:i w:val="false"/>
          <w:color w:val="000000"/>
          <w:sz w:val="22"/>
        </w:rPr>
        <w:t>Any portion of a deposit utilized by a company as payment for the sale of tangible personal property or a taxable service is subject to tax as part of the sales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Municipal utilities. </w:t>
      </w:r>
      <w:r>
        <w:rPr>
          <w:rFonts w:ascii="Times New Roman" w:hAnsi="Times New Roman"/>
          <w:b w:val="false"/>
          <w:i w:val="false"/>
          <w:color w:val="000000"/>
          <w:sz w:val="22"/>
        </w:rPr>
        <w:t xml:space="preserve">Sales of telecommunication service and ancillary service to any tax-levying body used by or in connection with the operation of any municipally owned utility engaged in selling gas, electricity or heat to the general public are subject to tax. These sales are an exception to the exemption for federal and state government. More information is contained in </w:t>
      </w:r>
      <w:hyperlink r:id="rId11">
        <w:r>
          <w:rPr>
            <w:rStyle w:val="Hyperlink"/>
            <w:rFonts w:ascii="Times New Roman" w:hAnsi="Times New Roman"/>
            <w:b w:val="false"/>
            <w:i w:val="false"/>
            <w:color w:val="000000"/>
            <w:sz w:val="22"/>
          </w:rPr>
          <w:t>subrule 217.4(5)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Fax. </w:t>
      </w:r>
      <w:r>
        <w:rPr>
          <w:rFonts w:ascii="Times New Roman" w:hAnsi="Times New Roman"/>
          <w:b w:val="false"/>
          <w:i w:val="false"/>
          <w:color w:val="000000"/>
          <w:sz w:val="22"/>
        </w:rPr>
        <w:t>The service of sending or receiving any document commonly referred to as a “fax” from one point to another within this state is subject to sales tax.</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Company A is located in Des Moines, Iowa. Company A charges a customer $2 to transmit a fax to Dubuque, Iowa. The $2 is a taxable sales price. Midwest Telephone Company charges Company A $500 per month for the intrastate communication service on the company’s dedicated fax line. The $500 is also a sales price from a taxable communication service.</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The XYZ Law Firm is located in Des Moines, Iowa. The firm owns a fax machine and uses the fax machine in the performance of its legal work to transmit and receive various documents. The firm does not perform faxing services but will, on billings for legal services to clients, separately state the amount of a billing that is attributable to expenses for faxing. For example, “bill to John Smith for $1,000 for legal services performed, fax expenses that are part of this billing—$30.” The $30 is not a sales price for the performance of any taxable service because the faxing service is only incidental to the performance of the nontaxable legal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423.2(9)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7622C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701—217.4</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 from the tax. </w:t>
      </w:r>
      <w:r>
        <w:rPr>
          <w:rFonts w:ascii="Times New Roman" w:hAnsi="Times New Roman"/>
          <w:b w:val="false"/>
          <w:i w:val="false"/>
          <w:color w:val="000000"/>
          <w:sz w:val="22"/>
        </w:rPr>
        <w:t>This rule provides various specific circumstances involving nontaxable telecommunication service and ancillary service. The following is a nonexclusive list of services that are not subject to the Iowa sales and use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217.4(1)</w:t>
      </w:r>
      <w:r>
        <w:rPr>
          <w:rFonts w:ascii="Times New Roman" w:hAnsi="Times New Roman"/>
          <w:b w:val="false"/>
          <w:i w:val="false"/>
          <w:color w:val="000000"/>
          <w:sz w:val="22"/>
        </w:rPr>
        <w:t> </w:t>
      </w:r>
      <w:r>
        <w:rPr>
          <w:rFonts w:ascii="Times New Roman" w:hAnsi="Times New Roman"/>
          <w:b w:val="false"/>
          <w:i w:val="false"/>
          <w:color w:val="000000"/>
          <w:sz w:val="22"/>
        </w:rPr>
        <w:t>Detailed communications billing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217.4(2)</w:t>
      </w:r>
      <w:r>
        <w:rPr>
          <w:rFonts w:ascii="Times New Roman" w:hAnsi="Times New Roman"/>
          <w:b w:val="false"/>
          <w:i w:val="false"/>
          <w:color w:val="000000"/>
          <w:sz w:val="22"/>
        </w:rPr>
        <w:t> </w:t>
      </w:r>
      <w:r>
        <w:rPr>
          <w:rFonts w:ascii="Times New Roman" w:hAnsi="Times New Roman"/>
          <w:b w:val="false"/>
          <w:i w:val="false"/>
          <w:color w:val="000000"/>
          <w:sz w:val="22"/>
        </w:rPr>
        <w:t>Internet access fees or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217.4(3)</w:t>
      </w:r>
      <w:r>
        <w:rPr>
          <w:rFonts w:ascii="Times New Roman" w:hAnsi="Times New Roman"/>
          <w:b w:val="false"/>
          <w:i w:val="false"/>
          <w:color w:val="000000"/>
          <w:sz w:val="22"/>
        </w:rPr>
        <w:t> </w:t>
      </w:r>
      <w:r>
        <w:rPr>
          <w:rFonts w:ascii="Times New Roman" w:hAnsi="Times New Roman"/>
          <w:b w:val="false"/>
          <w:i w:val="false"/>
          <w:color w:val="000000"/>
          <w:sz w:val="22"/>
        </w:rPr>
        <w:t>Value-added non-voice data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217.4(4)</w:t>
      </w:r>
      <w:r>
        <w:rPr>
          <w:rFonts w:ascii="Times New Roman" w:hAnsi="Times New Roman"/>
          <w:b w:val="false"/>
          <w:i w:val="false"/>
          <w:color w:val="000000"/>
          <w:sz w:val="22"/>
        </w:rPr>
        <w:t> </w:t>
      </w:r>
      <w:r>
        <w:rPr>
          <w:rFonts w:ascii="Times New Roman" w:hAnsi="Times New Roman"/>
          <w:b w:val="false"/>
          <w:i w:val="false"/>
          <w:color w:val="000000"/>
          <w:sz w:val="22"/>
        </w:rPr>
        <w:t>Separately stated and separately billed charges. Fees and charges that are separately stated and billed are exempt from the sales and use tax. This exemption includes the following items when separately stated and billed: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Fees and charges for securing only interstate telecommunication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Federal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Fees and charges for only interstate directory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217.4(5)</w:t>
      </w:r>
      <w:r>
        <w:rPr>
          <w:rFonts w:ascii="Times New Roman" w:hAnsi="Times New Roman"/>
          <w:b w:val="false"/>
          <w:i w:val="false"/>
          <w:color w:val="000000"/>
          <w:sz w:val="22"/>
        </w:rPr>
        <w:t> </w:t>
      </w:r>
      <w:r>
        <w:rPr>
          <w:rFonts w:ascii="Times New Roman" w:hAnsi="Times New Roman"/>
          <w:b w:val="false"/>
          <w:i w:val="false"/>
          <w:color w:val="000000"/>
          <w:sz w:val="22"/>
        </w:rPr>
        <w:t>Government entities. Sales of telecommunication service and ancillary service to the United States government or its agencies or to the state of Iowa or its agencies are not subject to sales or use tax. This exemption includes sales made to all divisions, boards, commissions, agencies or instrumentalities of federal, Iowa, county or municipal government. In order to be a sale to the United States government or to the state of Iowa, the government or agency involved must make the purchase of the services and pay the purchase price of the services directly to the vendor. Telecommunication service providers should obtain an exemption certificate from each agency for their records. An exception to this exemption is sales to any tax-levying body used by or in connection with the operation of any municipally owned utility engaged in selling gas, electricity or heat to the general public; such sales are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217.4(6)</w:t>
      </w:r>
      <w:r>
        <w:rPr>
          <w:rFonts w:ascii="Times New Roman" w:hAnsi="Times New Roman"/>
          <w:b w:val="false"/>
          <w:i w:val="false"/>
          <w:color w:val="000000"/>
          <w:sz w:val="22"/>
        </w:rPr>
        <w:t> </w:t>
      </w:r>
      <w:r>
        <w:rPr>
          <w:rFonts w:ascii="Times New Roman" w:hAnsi="Times New Roman"/>
          <w:b w:val="false"/>
          <w:i w:val="false"/>
          <w:color w:val="000000"/>
          <w:sz w:val="22"/>
        </w:rPr>
        <w:t>Private nonprofit educational institutions. Sales of telecommunication service and ancillary service to private, nonprofit educational institutions in this state for educational purposes are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217.4(7)</w:t>
      </w:r>
      <w:r>
        <w:rPr>
          <w:rFonts w:ascii="Times New Roman" w:hAnsi="Times New Roman"/>
          <w:b w:val="false"/>
          <w:i w:val="false"/>
          <w:color w:val="000000"/>
          <w:sz w:val="22"/>
        </w:rPr>
        <w:t> </w:t>
      </w:r>
      <w:r>
        <w:rPr>
          <w:rFonts w:ascii="Times New Roman" w:hAnsi="Times New Roman"/>
          <w:b w:val="false"/>
          <w:i w:val="false"/>
          <w:color w:val="000000"/>
          <w:sz w:val="22"/>
        </w:rPr>
        <w:t>911 surcharge. A 911 emergency telephone service surcharge is a surcharge for a service that routes a 911 call to the appropriate public safety answering point and automatically displays a name, address, and telephone number of an incoming 911 call at that answering point. A surcharge for 911 emergency telephone service is not subject to sales tax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is no more than $1 per month per telephone access line;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surcharge is separately identified and separately billed.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217.4(8)</w:t>
      </w:r>
      <w:r>
        <w:rPr>
          <w:rFonts w:ascii="Times New Roman" w:hAnsi="Times New Roman"/>
          <w:b w:val="false"/>
          <w:i w:val="false"/>
          <w:color w:val="000000"/>
          <w:sz w:val="22"/>
        </w:rPr>
        <w:t> </w:t>
      </w:r>
      <w:r>
        <w:rPr>
          <w:rFonts w:ascii="Times New Roman" w:hAnsi="Times New Roman"/>
          <w:b w:val="false"/>
          <w:i w:val="false"/>
          <w:color w:val="000000"/>
          <w:sz w:val="22"/>
        </w:rPr>
        <w:t>Return of deposit. The return to the customer of any portion of a deposit amount paid by that customer to a company providing telecommunication service is not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217.4(9)</w:t>
      </w:r>
      <w:r>
        <w:rPr>
          <w:rFonts w:ascii="Times New Roman" w:hAnsi="Times New Roman"/>
          <w:b w:val="false"/>
          <w:i w:val="false"/>
          <w:color w:val="000000"/>
          <w:sz w:val="22"/>
        </w:rPr>
        <w:t> </w:t>
      </w:r>
      <w:r>
        <w:rPr>
          <w:rFonts w:ascii="Times New Roman" w:hAnsi="Times New Roman"/>
          <w:b w:val="false"/>
          <w:i w:val="false"/>
          <w:color w:val="000000"/>
          <w:sz w:val="22"/>
        </w:rPr>
        <w:t xml:space="preserve">Resale exemption. A service or facility furnished by one telecommunication company to another commercial telecommunication company that the second telecommunication company then furnishes to its customers qualifies for the resale exemption under Iowa Code section </w:t>
      </w:r>
      <w:hyperlink r:id="rId13">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 including any carrier access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217.4(10)</w:t>
      </w:r>
      <w:r>
        <w:rPr>
          <w:rFonts w:ascii="Times New Roman" w:hAnsi="Times New Roman"/>
          <w:b w:val="false"/>
          <w:i w:val="false"/>
          <w:color w:val="000000"/>
          <w:sz w:val="22"/>
        </w:rPr>
        <w:t> </w:t>
      </w:r>
      <w:r>
        <w:rPr>
          <w:rFonts w:ascii="Times New Roman" w:hAnsi="Times New Roman"/>
          <w:b w:val="false"/>
          <w:i w:val="false"/>
          <w:color w:val="000000"/>
          <w:sz w:val="22"/>
        </w:rPr>
        <w:t>Online services. Any contracted online service is exempt from tax if the information is made available through a computer server. The exemption applies to all contracted online services, as long as they provide access to information through a computer server.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217.4(11)</w:t>
      </w:r>
      <w:r>
        <w:rPr>
          <w:rFonts w:ascii="Times New Roman" w:hAnsi="Times New Roman"/>
          <w:b w:val="false"/>
          <w:i w:val="false"/>
          <w:color w:val="000000"/>
          <w:sz w:val="22"/>
        </w:rPr>
        <w:t> </w:t>
      </w:r>
      <w:r>
        <w:rPr>
          <w:rFonts w:ascii="Times New Roman" w:hAnsi="Times New Roman"/>
          <w:b w:val="false"/>
          <w:i w:val="false"/>
          <w:color w:val="000000"/>
          <w:sz w:val="22"/>
        </w:rPr>
        <w:t xml:space="preserve">New construction. The repair or installation of inside wire or the repair or installation of any electronic device, including a telephone or telephone switching equipment, that is performed as part of or in connection with new construction, reconstruction, alteration, expansion or remodeling of a building or structure is exempt from Iowa tax. More information is contained in </w:t>
      </w:r>
      <w:hyperlink r:id="rId14">
        <w:r>
          <w:rPr>
            <w:rStyle w:val="Hyperlink"/>
            <w:rFonts w:ascii="Times New Roman" w:hAnsi="Times New Roman"/>
            <w:b w:val="false"/>
            <w:i w:val="false"/>
            <w:color w:val="000000"/>
            <w:sz w:val="22"/>
          </w:rPr>
          <w:t>701—Chapter 219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7622C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701—217.5</w:t>
      </w:r>
      <w:r>
        <w:rPr>
          <w:rFonts w:ascii="Times New Roman" w:hAnsi="Times New Roman"/>
          <w:b/>
          <w:i w:val="false"/>
          <w:color w:val="000000"/>
          <w:sz w:val="22"/>
        </w:rPr>
        <w:t xml:space="preserve">(423) </w:t>
      </w:r>
      <w:r>
        <w:rPr>
          <w:rFonts w:ascii="Times New Roman" w:hAnsi="Times New Roman"/>
          <w:b/>
          <w:i w:val="false"/>
          <w:color w:val="000000"/>
          <w:sz w:val="22"/>
        </w:rPr>
        <w:t xml:space="preserve">Bundled transactions in telecommunication service. </w:t>
      </w:r>
      <w:r>
        <w:rPr>
          <w:rFonts w:ascii="Times New Roman" w:hAnsi="Times New Roman"/>
          <w:b w:val="false"/>
          <w:i w:val="false"/>
          <w:color w:val="000000"/>
          <w:sz w:val="22"/>
        </w:rPr>
        <w:t xml:space="preserve">More information on general rules on bundled transactions is contained in </w:t>
      </w:r>
      <w:hyperlink r:id="rId16">
        <w:r>
          <w:rPr>
            <w:rStyle w:val="Hyperlink"/>
            <w:rFonts w:ascii="Times New Roman" w:hAnsi="Times New Roman"/>
            <w:b w:val="false"/>
            <w:i w:val="false"/>
            <w:color w:val="000000"/>
            <w:sz w:val="22"/>
          </w:rPr>
          <w:t>701—Chapter 206</w:t>
        </w:r>
      </w:hyperlink>
      <w:r>
        <w:rPr>
          <w:rFonts w:ascii="Times New Roman" w:hAnsi="Times New Roman"/>
          <w:b w:val="false"/>
          <w:i w:val="false"/>
          <w:color w:val="000000"/>
          <w:sz w:val="22"/>
        </w:rPr>
        <w:t>. In the case of a bundled transaction that includes telecommunication service, ancillary service, Internet access, or audio or video programming service, either separately or in combination: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217.5(1)</w:t>
      </w:r>
      <w:r>
        <w:rPr>
          <w:rFonts w:ascii="Times New Roman" w:hAnsi="Times New Roman"/>
          <w:b w:val="false"/>
          <w:i w:val="false"/>
          <w:color w:val="000000"/>
          <w:sz w:val="22"/>
        </w:rPr>
        <w:t> </w:t>
      </w:r>
      <w:r>
        <w:rPr>
          <w:rFonts w:ascii="Times New Roman" w:hAnsi="Times New Roman"/>
          <w:b w:val="false"/>
          <w:i w:val="false"/>
          <w:color w:val="000000"/>
          <w:sz w:val="22"/>
        </w:rPr>
        <w:t>If the price is attributable to products that are taxable and products that are nontaxable, the portion of the price attributable to the nontaxable products will be subject to tax unless the provider can identify by reasonable and verifiable standards the portion from the provider’s books and records that are kept in the regular course of business for other purposes, including but not limited to nontax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217.5(2)</w:t>
      </w:r>
      <w:r>
        <w:rPr>
          <w:rFonts w:ascii="Times New Roman" w:hAnsi="Times New Roman"/>
          <w:b w:val="false"/>
          <w:i w:val="false"/>
          <w:color w:val="000000"/>
          <w:sz w:val="22"/>
        </w:rPr>
        <w:t> </w:t>
      </w:r>
      <w:r>
        <w:rPr>
          <w:rFonts w:ascii="Times New Roman" w:hAnsi="Times New Roman"/>
          <w:b w:val="false"/>
          <w:i w:val="false"/>
          <w:color w:val="000000"/>
          <w:sz w:val="22"/>
        </w:rPr>
        <w:t>If the price is attributable to products that are subject to tax at different tax rates, the total price may be treated as attributable to the products subject to tax at the highest tax rate, unless the provider can identify by reasonable and verifiable standards the portion of the price attributable to the products subject to tax at the lower rate from the provider’s books and records that are kept in the regular course of business for other purposes, including but not limited to nontax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423.2(8)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7622C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701—217.6</w:t>
      </w:r>
      <w:r>
        <w:rPr>
          <w:rFonts w:ascii="Times New Roman" w:hAnsi="Times New Roman"/>
          <w:b/>
          <w:i w:val="false"/>
          <w:color w:val="000000"/>
          <w:sz w:val="22"/>
        </w:rPr>
        <w:t xml:space="preserve">(423) </w:t>
      </w:r>
      <w:r>
        <w:rPr>
          <w:rFonts w:ascii="Times New Roman" w:hAnsi="Times New Roman"/>
          <w:b/>
          <w:i w:val="false"/>
          <w:color w:val="000000"/>
          <w:sz w:val="22"/>
        </w:rPr>
        <w:t xml:space="preserve">Sourcing telecommunication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sourcing principles found in Iowa Code section </w:t>
      </w:r>
      <w:hyperlink r:id="rId18">
        <w:r>
          <w:rPr>
            <w:rStyle w:val="Hyperlink"/>
            <w:rFonts w:ascii="Times New Roman" w:hAnsi="Times New Roman"/>
            <w:b w:val="false"/>
            <w:i w:val="false"/>
            <w:color w:val="000000"/>
            <w:sz w:val="22"/>
          </w:rPr>
          <w:t>423.15</w:t>
        </w:r>
      </w:hyperlink>
      <w:r>
        <w:rPr>
          <w:rFonts w:ascii="Times New Roman" w:hAnsi="Times New Roman"/>
          <w:b w:val="false"/>
          <w:i w:val="false"/>
          <w:color w:val="000000"/>
          <w:sz w:val="22"/>
        </w:rPr>
        <w:t xml:space="preserve"> apply to telecommunication services and ancillary services, unless the service falls under one of the exceptions set forth in subrule </w:t>
      </w:r>
      <w:hyperlink r:id="rId19">
        <w:r>
          <w:rPr>
            <w:rStyle w:val="Hyperlink"/>
            <w:rFonts w:ascii="Times New Roman" w:hAnsi="Times New Roman"/>
            <w:b w:val="false"/>
            <w:i w:val="false"/>
            <w:color w:val="000000"/>
            <w:sz w:val="22"/>
          </w:rPr>
          <w:t>217.6(2)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217.6(2)</w:t>
      </w:r>
      <w:r>
        <w:rPr>
          <w:rFonts w:ascii="Times New Roman" w:hAnsi="Times New Roman"/>
          <w:b w:val="false"/>
          <w:i w:val="false"/>
          <w:color w:val="000000"/>
          <w:sz w:val="22"/>
        </w:rPr>
        <w:t> </w:t>
      </w:r>
      <w:r>
        <w:rPr>
          <w:rFonts w:ascii="Times New Roman" w:hAnsi="Times New Roman"/>
          <w:b w:val="false"/>
          <w:i w:val="false"/>
          <w:color w:val="000000"/>
          <w:sz w:val="22"/>
        </w:rPr>
        <w:t>Exceptions. The following telecommunication services and products are sourced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Mobile telecommunication service is sourced to the place of primary use, unless the service is prepaid wireless calling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sale of prepaid calling service or prepaid wireless calling service is sourced as provided under Iowa Code section </w:t>
      </w:r>
      <w:hyperlink r:id="rId20">
        <w:r>
          <w:rPr>
            <w:rStyle w:val="Hyperlink"/>
            <w:rFonts w:ascii="Times New Roman" w:hAnsi="Times New Roman"/>
            <w:b w:val="false"/>
            <w:i w:val="false"/>
            <w:color w:val="000000"/>
            <w:sz w:val="22"/>
          </w:rPr>
          <w:t>423.15</w:t>
        </w:r>
      </w:hyperlink>
      <w:r>
        <w:rPr>
          <w:rFonts w:ascii="Times New Roman" w:hAnsi="Times New Roman"/>
          <w:b w:val="false"/>
          <w:i w:val="false"/>
          <w:color w:val="000000"/>
          <w:sz w:val="22"/>
        </w:rPr>
        <w:t xml:space="preserve">. However, in the case of prepaid wireless calling service, Iowa Code section </w:t>
      </w:r>
      <w:hyperlink r:id="rId21">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include as an option the location associated with the mobile telephone number.</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An Iowa seller sells a prepaid wireless service airtime card to a consumer at an Iowa retail location. The sale of the prepaid wireless service will be sourced to Iowa.</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An Iowa resident purchases a prepaid wireless service airtime card at a Nebraska retail location. The sale of the prepaid wireless service will be sourced to Nebraska.</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An Iowa consumer with an Iowa billing and mailing address purchases prepaid wireless service through a retailer’s website. No items are delivered. The sale would be sourced to the consumer’s Iowa billing address.</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A seller based in California uses a website to sell prepaid wireless services to consumers in a number of states. A consumer with an Iowa billing address and a Nebraska mailing address purchases prepaid wireless service from the seller’s website. The consumer already owns a prepaid wireless phone; therefore, no item is delivered. Since there is no in-person transaction, and no item delivered, the sale would be sourced to the consumer’s billing address in Iowa.</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A seller based in California uses a website to sell prepaid wireless services to consumers in a number of states. A consumer with an Iowa mailing address and a Florida billing address purchases a prepaid wireless phone and 100 minutes of prepaid wireless service from the California seller. The prepaid wireless phone is shipped to the Iowa mailing address. The sale would be sourced to Iowa.</w:t>
      </w:r>
    </w:p>
    <w:p>
      <w:pPr>
        <w:spacing w:before="0" w:after="0"/>
        <w:ind w:left="120"/>
        <w:jc w:val="both"/>
      </w:pPr>
      <w:r>
        <w:rPr>
          <w:rFonts w:ascii="Times New Roman" w:hAnsi="Times New Roman"/>
          <w:b w:val="false"/>
          <w:i w:val="false"/>
          <w:color w:val="000000"/>
          <w:sz w:val="22"/>
        </w:rPr>
        <w:t>EXAMPLE 6:</w:t>
      </w:r>
      <w:r>
        <w:rPr>
          <w:rFonts w:ascii="Times New Roman" w:hAnsi="Times New Roman"/>
          <w:b w:val="false"/>
          <w:i w:val="false"/>
          <w:color w:val="000000"/>
          <w:sz w:val="22"/>
        </w:rPr>
        <w:t xml:space="preserve"> A consumer who is currently living in Iowa to attend a local university orders prepaid wireless service from a California seller through the seller’s website. No items are delivered. The consumer uses a Nebraska billing address. The sale would be sourced to Nebraska.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sale of a private telecommunication service is sourced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for a separate charge related to a customer channel termination point is sourced to each level of jurisdiction in which the customer channel termination point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where all customer termination points are located entirely within one jurisdiction or levels of jurisdiction is sourced in the jurisdiction in which the customer channel termination points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for segments of a channel between two customer channel termination points located in different jurisdictions and which segments of channel are separately charged is sourced 50 percent in each level of jurisdiction in which the customer channel termination points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for segments of a channel located in more than one jurisdiction or levels of jurisdiction and which segments are not separately billed is sourced in each jurisdiction based on the percentage determined by dividing the number of customer channel termination points in the jurisdiction by the total number of customer channel termination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sale of Internet access service is sourced to the customer’s place of primary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sale of an ancillary service is sourced to the customer’s place of primary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postpaid calling service is sourced to the origination point of the telecommunication signal as first identified by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seller’s telecommunication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received by the seller from its service provider, where the system used to transport the signals is not that of the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sale of telecommunication service sold on a call-by-call basis is sourced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level of taxing jurisdiction where the call originates and terminates in that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level of taxing jurisdiction where the call either originates or terminates and in which the service address is also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sale of telecommunication service sold on a basis other than a call-by-call basis is sourced to the customer’s place of primary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sale of the following telecommunication services is sourced to each level of taxing jurisdiction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sale of mobile telecommunication service, other than prepaid calling service, is sourced to the customer’s place of primary use as required by the federal Mobile Telecommunications Sourcing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sale of postpaid calling service is sourced to the origination point of the telecommunication signal as first identified by either the seller’s telecommunication system or information received by the seller from its service provider, where the system used to transport such signals is not that of the seller.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423.20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7622C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701—217.7</w:t>
      </w:r>
      <w:r>
        <w:rPr>
          <w:rFonts w:ascii="Times New Roman" w:hAnsi="Times New Roman"/>
          <w:b/>
          <w:i w:val="false"/>
          <w:color w:val="000000"/>
          <w:sz w:val="22"/>
        </w:rPr>
        <w:t xml:space="preserve">(423) </w:t>
      </w:r>
      <w:r>
        <w:rPr>
          <w:rFonts w:ascii="Times New Roman" w:hAnsi="Times New Roman"/>
          <w:b/>
          <w:i w:val="false"/>
          <w:color w:val="000000"/>
          <w:sz w:val="22"/>
        </w:rPr>
        <w:t xml:space="preserve">General billing issues. </w:t>
      </w:r>
      <w:r>
        <w:rPr>
          <w:rFonts w:ascii="Times New Roman" w:hAnsi="Times New Roman"/>
          <w:b w:val="false"/>
          <w:i w:val="false"/>
          <w:color w:val="000000"/>
          <w:sz w:val="22"/>
        </w:rPr>
        <w:t>This rule is specifically applicable to companies and other persons providing telecommunication service and ancillary service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217.7(1)</w:t>
      </w:r>
      <w:r>
        <w:rPr>
          <w:rFonts w:ascii="Times New Roman" w:hAnsi="Times New Roman"/>
          <w:b w:val="false"/>
          <w:i w:val="false"/>
          <w:color w:val="000000"/>
          <w:sz w:val="22"/>
        </w:rPr>
        <w:t> </w:t>
      </w:r>
      <w:r>
        <w:rPr>
          <w:rFonts w:ascii="Times New Roman" w:hAnsi="Times New Roman"/>
          <w:b w:val="false"/>
          <w:i/>
          <w:color w:val="000000"/>
          <w:sz w:val="22"/>
        </w:rPr>
        <w:t xml:space="preserve">Retailers liable for collecting and remitting tax. </w:t>
      </w:r>
      <w:r>
        <w:rPr>
          <w:rFonts w:ascii="Times New Roman" w:hAnsi="Times New Roman"/>
          <w:b w:val="false"/>
          <w:i w:val="false"/>
          <w:color w:val="000000"/>
          <w:sz w:val="22"/>
        </w:rPr>
        <w:t>A retailer that sells taxable telecommunication service and ancillary service is liable for collecting and remitting the state sales or use tax and any applicable local sales tax on the amounts of the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217.7(2)</w:t>
      </w:r>
      <w:r>
        <w:rPr>
          <w:rFonts w:ascii="Times New Roman" w:hAnsi="Times New Roman"/>
          <w:b w:val="false"/>
          <w:i w:val="false"/>
          <w:color w:val="000000"/>
          <w:sz w:val="22"/>
        </w:rPr>
        <w:t> </w:t>
      </w:r>
      <w:r>
        <w:rPr>
          <w:rFonts w:ascii="Times New Roman" w:hAnsi="Times New Roman"/>
          <w:b w:val="false"/>
          <w:i/>
          <w:color w:val="000000"/>
          <w:sz w:val="22"/>
        </w:rPr>
        <w:t xml:space="preserve">Billing date and tax period. </w:t>
      </w:r>
      <w:r>
        <w:rPr>
          <w:rFonts w:ascii="Times New Roman" w:hAnsi="Times New Roman"/>
          <w:b w:val="false"/>
          <w:i w:val="false"/>
          <w:color w:val="000000"/>
          <w:sz w:val="22"/>
        </w:rPr>
        <w:t>A company that bills the company’s subscribers for telecommunication service on a quarterly, semiannual, annual, or any other periodic basis must include the amount of those billings in the company’s sales price. The date of the billing determines the period for which sales tax is remitted. For example, if the date of a billing is March 31, and the due date for payment of the bill without penalty is April 20, tax upon the sales price stated in the bill must be included in the sales tax return for the first quarter of the year. The same principle must be used to determine when tax will be included in payment of a sales tax deposit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217.7(3)</w:t>
      </w:r>
      <w:r>
        <w:rPr>
          <w:rFonts w:ascii="Times New Roman" w:hAnsi="Times New Roman"/>
          <w:b w:val="false"/>
          <w:i w:val="false"/>
          <w:color w:val="000000"/>
          <w:sz w:val="22"/>
        </w:rPr>
        <w:t> </w:t>
      </w:r>
      <w:r>
        <w:rPr>
          <w:rFonts w:ascii="Times New Roman" w:hAnsi="Times New Roman"/>
          <w:b w:val="false"/>
          <w:i/>
          <w:color w:val="000000"/>
          <w:sz w:val="22"/>
        </w:rPr>
        <w:t xml:space="preserve">Permitting business offices. </w:t>
      </w:r>
      <w:r>
        <w:rPr>
          <w:rFonts w:ascii="Times New Roman" w:hAnsi="Times New Roman"/>
          <w:b w:val="false"/>
          <w:i w:val="false"/>
          <w:color w:val="000000"/>
          <w:sz w:val="22"/>
        </w:rPr>
        <w:t>A company must have a permit for each business office that provides telecommunication service in this state. The company must collect and remit tax upon the sales price of the operation of each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217.7(4)</w:t>
      </w:r>
      <w:r>
        <w:rPr>
          <w:rFonts w:ascii="Times New Roman" w:hAnsi="Times New Roman"/>
          <w:b w:val="false"/>
          <w:i w:val="false"/>
          <w:color w:val="000000"/>
          <w:sz w:val="22"/>
        </w:rPr>
        <w:t> </w:t>
      </w:r>
      <w:r>
        <w:rPr>
          <w:rFonts w:ascii="Times New Roman" w:hAnsi="Times New Roman"/>
          <w:b w:val="false"/>
          <w:i/>
          <w:color w:val="000000"/>
          <w:sz w:val="22"/>
        </w:rPr>
        <w:t xml:space="preserve">Credit. </w:t>
      </w:r>
      <w:r>
        <w:rPr>
          <w:rFonts w:ascii="Times New Roman" w:hAnsi="Times New Roman"/>
          <w:b w:val="false"/>
          <w:i w:val="false"/>
          <w:color w:val="000000"/>
          <w:sz w:val="22"/>
        </w:rPr>
        <w:t>A taxpayer subject to sales or use tax on telecommunication service and ancillary service who has paid any legally imposed sales or use tax on such service to another jurisdiction outside the state of Iowa is allowed a credit against the sales or use tax imposed by the state of Iowa equal to the sales or use tax paid to the other taxing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217.7(5)</w:t>
      </w:r>
      <w:r>
        <w:rPr>
          <w:rFonts w:ascii="Times New Roman" w:hAnsi="Times New Roman"/>
          <w:b w:val="false"/>
          <w:i w:val="false"/>
          <w:color w:val="000000"/>
          <w:sz w:val="22"/>
        </w:rPr>
        <w:t> </w:t>
      </w:r>
      <w:r>
        <w:rPr>
          <w:rFonts w:ascii="Times New Roman" w:hAnsi="Times New Roman"/>
          <w:b w:val="false"/>
          <w:i/>
          <w:color w:val="000000"/>
          <w:sz w:val="22"/>
        </w:rPr>
        <w:t xml:space="preserve">Direct pay permit not applicable to telecommunication services. </w:t>
      </w:r>
      <w:r>
        <w:rPr>
          <w:rFonts w:ascii="Times New Roman" w:hAnsi="Times New Roman"/>
          <w:b w:val="false"/>
          <w:i w:val="false"/>
          <w:color w:val="000000"/>
          <w:sz w:val="22"/>
        </w:rPr>
        <w:t>The department may issue a direct pay permit that allows the holder to purchase tangible personal property or taxable services without payment of the tax to the seller. However, a direct pay permit holder cannot use the direct pay permit for the purchase of telecommunication services and ancillary services. The seller must charge and collect the sales or use tax from the purchaser on the taxable sales of telecommunication services and ancillary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217.7(6)</w:t>
      </w:r>
      <w:r>
        <w:rPr>
          <w:rFonts w:ascii="Times New Roman" w:hAnsi="Times New Roman"/>
          <w:b w:val="false"/>
          <w:i w:val="false"/>
          <w:color w:val="000000"/>
          <w:sz w:val="22"/>
        </w:rPr>
        <w:t> </w:t>
      </w:r>
      <w:r>
        <w:rPr>
          <w:rFonts w:ascii="Times New Roman" w:hAnsi="Times New Roman"/>
          <w:b w:val="false"/>
          <w:i/>
          <w:color w:val="000000"/>
          <w:sz w:val="22"/>
        </w:rPr>
        <w:t xml:space="preserve">Guaranteed amounts for coin-operated telephones. </w:t>
      </w:r>
      <w:r>
        <w:rPr>
          <w:rFonts w:ascii="Times New Roman" w:hAnsi="Times New Roman"/>
          <w:b w:val="false"/>
          <w:i w:val="false"/>
          <w:color w:val="000000"/>
          <w:sz w:val="22"/>
        </w:rPr>
        <w:t>If a minimum amount is guaranteed to a company from the operation of any coin-operated telephone, tax is computed on the greater of the minimum amount guaranteed or the actual taxable sales price collected.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7622C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701—217.8</w:t>
      </w:r>
      <w:r>
        <w:rPr>
          <w:rFonts w:ascii="Times New Roman" w:hAnsi="Times New Roman"/>
          <w:b/>
          <w:i w:val="false"/>
          <w:color w:val="000000"/>
          <w:sz w:val="22"/>
        </w:rPr>
        <w:t xml:space="preserve">(34A) </w:t>
      </w:r>
      <w:r>
        <w:rPr>
          <w:rFonts w:ascii="Times New Roman" w:hAnsi="Times New Roman"/>
          <w:b/>
          <w:i w:val="false"/>
          <w:color w:val="000000"/>
          <w:sz w:val="22"/>
        </w:rPr>
        <w:t xml:space="preserve">Prepaid wireless 911 surcharge.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in rule </w:t>
      </w:r>
      <w:hyperlink r:id="rId24">
        <w:r>
          <w:rPr>
            <w:rStyle w:val="Hyperlink"/>
            <w:rFonts w:ascii="Times New Roman" w:hAnsi="Times New Roman"/>
            <w:b w:val="false"/>
            <w:i w:val="false"/>
            <w:color w:val="000000"/>
            <w:sz w:val="22"/>
          </w:rPr>
          <w:t>701—217.2</w:t>
        </w:r>
      </w:hyperlink>
      <w:r>
        <w:rPr>
          <w:rFonts w:ascii="Times New Roman" w:hAnsi="Times New Roman"/>
          <w:b w:val="false"/>
          <w:i w:val="false"/>
          <w:color w:val="000000"/>
          <w:sz w:val="22"/>
        </w:rPr>
        <w:t>(423) apply to this rule. The following definitions are also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w:t>
      </w:r>
      <w:r>
        <w:rPr>
          <w:rFonts w:ascii="Times New Roman" w:hAnsi="Times New Roman"/>
          <w:b w:val="false"/>
          <w:i w:val="false"/>
          <w:color w:val="000000"/>
          <w:sz w:val="22"/>
        </w:rPr>
        <w:t>means a person who purchases prepaid wireless telecommunications service in a retail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“Prepaid wireless 911 surcharge” </w:t>
      </w:r>
      <w:r>
        <w:rPr>
          <w:rFonts w:ascii="Times New Roman" w:hAnsi="Times New Roman"/>
          <w:b w:val="false"/>
          <w:i w:val="false"/>
          <w:color w:val="000000"/>
          <w:sz w:val="22"/>
        </w:rPr>
        <w:t>means the surcharge that is required to be collected by a seller from a consumer in the amount established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a person who provides prepaid wireless telecommunications service pursuant to a license issued by the Federal Communications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transaction” </w:t>
      </w:r>
      <w:r>
        <w:rPr>
          <w:rFonts w:ascii="Times New Roman" w:hAnsi="Times New Roman"/>
          <w:b w:val="false"/>
          <w:i w:val="false"/>
          <w:color w:val="000000"/>
          <w:sz w:val="22"/>
        </w:rPr>
        <w:t>means the purchase of prepaid wireless telecommunications service from a seller for any purpose other than resale. If more than one separately priced item of prepaid wireless calling service is purchased by an end user, each item purchased shall be deemed to be a separate retail transaction.</w:t>
      </w:r>
    </w:p>
    <w:p>
      <w:pPr>
        <w:spacing w:before="0" w:after="0"/>
        <w:ind w:left="120"/>
        <w:jc w:val="both"/>
      </w:pPr>
      <w:r>
        <w:rPr>
          <w:rFonts w:ascii="Times New Roman" w:hAnsi="Times New Roman"/>
          <w:b w:val="false"/>
          <w:i w:val="false"/>
          <w:color w:val="000000"/>
          <w:sz w:val="22"/>
        </w:rPr>
        <w:t>Items of prepaid wireless calling service include but are not limited to prepaid wireless phones, prepaid wireless phone calling cards, rechargeable prepaid wireless phones, rechargeable prepaid wireless phone calling cards, and prepaid wireless service plans.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If a seller sells two prepaid wireless phone calling cards, two retail transactions have occurred.</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If a seller sells additional minutes for a rechargeable prepaid wireless phone calling card that was purchased at an earlier date, a retail transaction has occurred.</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If a seller sells three separate one-month service plans to a consumer during one sale, three retail transactions have occurred.</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If the consumer has the ability to purchase additional minutes directly from a prepaid wireless phone, each time minutes are purchased, a retail transaction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“Seller” </w:t>
      </w:r>
      <w:r>
        <w:rPr>
          <w:rFonts w:ascii="Times New Roman" w:hAnsi="Times New Roman"/>
          <w:b w:val="false"/>
          <w:i w:val="false"/>
          <w:color w:val="000000"/>
          <w:sz w:val="22"/>
        </w:rPr>
        <w:t>means a person who sells prepaid wireless telecommunications service to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217.8(2)</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Each seller that sells prepaid wireless service must register according to the procedures established by the department. The department will make information regarding the procedures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217.8(3)</w:t>
      </w:r>
      <w:r>
        <w:rPr>
          <w:rFonts w:ascii="Times New Roman" w:hAnsi="Times New Roman"/>
          <w:b w:val="false"/>
          <w:i w:val="false"/>
          <w:color w:val="000000"/>
          <w:sz w:val="22"/>
        </w:rPr>
        <w:t> </w:t>
      </w:r>
      <w:r>
        <w:rPr>
          <w:rFonts w:ascii="Times New Roman" w:hAnsi="Times New Roman"/>
          <w:b w:val="false"/>
          <w:i/>
          <w:color w:val="000000"/>
          <w:sz w:val="22"/>
        </w:rPr>
        <w:t xml:space="preserve">Collecting, filing, and remitting.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seller is responsible for collecting the applicable 911 surcharge from the consumer with respect to each retail transaction occurring in this state. A seller may determine whether the transaction occurs in this state by referring to the department rules on the sourcing of sales of prepaid wireless telecommunications service in paragraph </w:t>
      </w:r>
      <w:hyperlink r:id="rId25">
        <w:r>
          <w:rPr>
            <w:rStyle w:val="Hyperlink"/>
            <w:rFonts w:ascii="Times New Roman" w:hAnsi="Times New Roman"/>
            <w:b w:val="false"/>
            <w:i w:val="false"/>
            <w:color w:val="000000"/>
            <w:sz w:val="22"/>
          </w:rPr>
          <w:t>217.6(2)</w:t>
        </w:r>
      </w:hyperlink>
      <w:r>
        <w:rPr>
          <w:rFonts w:ascii="Times New Roman" w:hAnsi="Times New Roman"/>
          <w:b w:val="false"/>
          <w:i/>
          <w:color w:val="000000"/>
          <w:sz w:val="22"/>
        </w:rPr>
        <w:t>“b.”</w:t>
      </w:r>
      <w:r>
        <w:rPr>
          <w:rFonts w:ascii="Times New Roman" w:hAnsi="Times New Roman"/>
          <w:b w:val="false"/>
          <w:i w:val="false"/>
          <w:color w:val="000000"/>
          <w:sz w:val="22"/>
        </w:rPr>
        <w:t xml:space="preserve"> More information is also contained in Iowa Code sections </w:t>
      </w:r>
      <w:hyperlink r:id="rId26">
        <w:r>
          <w:rPr>
            <w:rStyle w:val="Hyperlink"/>
            <w:rFonts w:ascii="Times New Roman" w:hAnsi="Times New Roman"/>
            <w:b w:val="false"/>
            <w:i w:val="false"/>
            <w:color w:val="000000"/>
            <w:sz w:val="22"/>
          </w:rPr>
          <w:t>34A.7B(4)</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423.15</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423.20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surcharge must be separately itemized on the invoice, receipt or other similar document, or otherwise disclosed to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prepaid wireless 911 surcharge is the liability of the consumer and not of the seller or any provider, except that the seller shall be liable to remit all prepaid wireless 911 surcharges that the seller collects from consumers as provided in </w:t>
      </w:r>
      <w:hyperlink r:id="rId29">
        <w:r>
          <w:rPr>
            <w:rStyle w:val="Hyperlink"/>
            <w:rFonts w:ascii="Times New Roman" w:hAnsi="Times New Roman"/>
            <w:b w:val="false"/>
            <w:i w:val="false"/>
            <w:color w:val="000000"/>
            <w:sz w:val="22"/>
          </w:rPr>
          <w:t>paragraph 217.8(3)</w:t>
        </w:r>
        <w:r>
          <w:rPr>
            <w:rFonts w:ascii="Times New Roman" w:hAnsi="Times New Roman"/>
            <w:b w:val="false"/>
            <w:i/>
            <w:color w:val="000000"/>
            <w:sz w:val="22"/>
          </w:rPr>
          <w:t>“a,”</w:t>
        </w:r>
      </w:hyperlink>
      <w:r>
        <w:rPr>
          <w:rFonts w:ascii="Times New Roman" w:hAnsi="Times New Roman"/>
          <w:b w:val="false"/>
          <w:i w:val="false"/>
          <w:color w:val="000000"/>
          <w:sz w:val="22"/>
        </w:rPr>
        <w:t xml:space="preserve"> including all such surcharges that the seller is deemed to collect where the amount of the surcharge has not been separately stated on an invoice, receipt, or similar document provided to the consumer by the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of the prepaid wireless 911 surcharge that is collected by a seller from a consumer, if such amount is separately stated on an invoice, receipt, or other similar document provided to the consumer by the seller, shall not be included in the base for measuring any tax, fee, other surcharge, or other charge that is imposed by this state, any political subdivision of this state, or any intergovernmental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seller must complete a 911 Surcharge Schedule and the surcharge portion of the Iowa Sales Tax and Surcharge Return or Iowa Retailer’s Use Tax and Surcharge Return and file the information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schedule, return and the collected surcharge are due at the times provided by Iowa Code chapter </w:t>
      </w:r>
      <w:hyperlink r:id="rId30">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with respect to the sales and use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seller may deduct and retain 3 percent of prepaid wireless 911 surcharges that are collected by the seller from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seller is not required to collect the surcharge if a minimal amount of prepaid wireless telecommunications service is sold in conjunction with a prepaid wireless device for a single, nonitemized price. A minimal amount of service is any service denominated as $5 or less or ten minutes or less.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If a seller sells a prepaid wireless phone that comes with 10 minutes of service, and the price of the service is not itemized, the seller is not required to collect the surcharge. But if the seller sells a prepaid wireless phone with 15 minutes of service, the seller must collect the surcharge, regardless of whether the price of the service is itemized.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217.8(4)</w:t>
      </w:r>
      <w:r>
        <w:rPr>
          <w:rFonts w:ascii="Times New Roman" w:hAnsi="Times New Roman"/>
          <w:b w:val="false"/>
          <w:i w:val="false"/>
          <w:color w:val="000000"/>
          <w:sz w:val="22"/>
        </w:rPr>
        <w:t> </w:t>
      </w:r>
      <w:r>
        <w:rPr>
          <w:rFonts w:ascii="Times New Roman" w:hAnsi="Times New Roman"/>
          <w:b w:val="false"/>
          <w:i/>
          <w:color w:val="000000"/>
          <w:sz w:val="22"/>
        </w:rPr>
        <w:t xml:space="preserve">Audit, appeal,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 and appeal procedures applicable to sales and use tax under Iowa Code chapter </w:t>
      </w:r>
      <w:hyperlink r:id="rId31">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shall apply to the prepaid wireless 911 surcharge. More information is contained in Iowa Code sections </w:t>
      </w:r>
      <w:hyperlink r:id="rId32">
        <w:r>
          <w:rPr>
            <w:rStyle w:val="Hyperlink"/>
            <w:rFonts w:ascii="Times New Roman" w:hAnsi="Times New Roman"/>
            <w:b w:val="false"/>
            <w:i w:val="false"/>
            <w:color w:val="000000"/>
            <w:sz w:val="22"/>
          </w:rPr>
          <w:t>421.10</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the authority established in Iowa Code chapter </w:t>
      </w:r>
      <w:hyperlink r:id="rId34">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the department shall have the power to assess the seller for penalty and interest on any past due surcharge and exercise any other enforcement powers established in Iowa Code chapter </w:t>
      </w:r>
      <w:hyperlink r:id="rId35">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More information is contained in Iowa Code sections </w:t>
      </w:r>
      <w:hyperlink r:id="rId36">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seller shall maintain, and shall make available to the department for inspection for three years, its books and records in a manner that will permit the department to determine whether the seller has complied with or is complying with the provisions of Iowa Code section </w:t>
      </w:r>
      <w:hyperlink r:id="rId38">
        <w:r>
          <w:rPr>
            <w:rStyle w:val="Hyperlink"/>
            <w:rFonts w:ascii="Times New Roman" w:hAnsi="Times New Roman"/>
            <w:b w:val="false"/>
            <w:i w:val="false"/>
            <w:color w:val="000000"/>
            <w:sz w:val="22"/>
          </w:rPr>
          <w:t>34A.7B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217.8(5)</w:t>
      </w:r>
      <w:r>
        <w:rPr>
          <w:rFonts w:ascii="Times New Roman" w:hAnsi="Times New Roman"/>
          <w:b w:val="false"/>
          <w:i w:val="false"/>
          <w:color w:val="000000"/>
          <w:sz w:val="22"/>
        </w:rPr>
        <w:t> </w:t>
      </w:r>
      <w:r>
        <w:rPr>
          <w:rFonts w:ascii="Times New Roman" w:hAnsi="Times New Roman"/>
          <w:b w:val="false"/>
          <w:i/>
          <w:color w:val="000000"/>
          <w:sz w:val="22"/>
        </w:rPr>
        <w:t xml:space="preserve">Procedures for documenting that a sale is not a retail transaction. </w:t>
      </w:r>
      <w:r>
        <w:rPr>
          <w:rFonts w:ascii="Times New Roman" w:hAnsi="Times New Roman"/>
          <w:b w:val="false"/>
          <w:i w:val="false"/>
          <w:color w:val="000000"/>
          <w:sz w:val="22"/>
        </w:rPr>
        <w:t xml:space="preserve">The procedures for establishing that a sale of prepaid wireless telecommunications service is not a sale is similar to the procedure for documenting sale for resale transactions under Iowa Code chapter </w:t>
      </w:r>
      <w:hyperlink r:id="rId39">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217.8(6)</w:t>
      </w:r>
      <w:r>
        <w:rPr>
          <w:rFonts w:ascii="Times New Roman" w:hAnsi="Times New Roman"/>
          <w:b w:val="false"/>
          <w:i w:val="false"/>
          <w:color w:val="000000"/>
          <w:sz w:val="22"/>
        </w:rPr>
        <w:t> </w:t>
      </w:r>
      <w:r>
        <w:rPr>
          <w:rFonts w:ascii="Times New Roman" w:hAnsi="Times New Roman"/>
          <w:b w:val="false"/>
          <w:i/>
          <w:color w:val="000000"/>
          <w:sz w:val="22"/>
        </w:rPr>
        <w:t xml:space="preserve">Procedures for remitting the surcharge to the treasurer. </w:t>
      </w:r>
      <w:r>
        <w:rPr>
          <w:rFonts w:ascii="Times New Roman" w:hAnsi="Times New Roman"/>
          <w:b w:val="false"/>
          <w:i w:val="false"/>
          <w:color w:val="000000"/>
          <w:sz w:val="22"/>
        </w:rPr>
        <w:t xml:space="preserve">The department shall transfer all remitted prepaid wireless 911 surcharges to the treasurer of state for deposit in the 911 emergency communications fund created under Iowa Code section </w:t>
      </w:r>
      <w:hyperlink r:id="rId40">
        <w:r>
          <w:rPr>
            <w:rStyle w:val="Hyperlink"/>
            <w:rFonts w:ascii="Times New Roman" w:hAnsi="Times New Roman"/>
            <w:b w:val="false"/>
            <w:i w:val="false"/>
            <w:color w:val="000000"/>
            <w:sz w:val="22"/>
          </w:rPr>
          <w:t>34A.7A(2)</w:t>
        </w:r>
      </w:hyperlink>
      <w:r>
        <w:rPr>
          <w:rFonts w:ascii="Times New Roman" w:hAnsi="Times New Roman"/>
          <w:b w:val="false"/>
          <w:i w:val="false"/>
          <w:color w:val="000000"/>
          <w:sz w:val="22"/>
        </w:rPr>
        <w:t xml:space="preserve"> within 30 days of receipt of the 911 surcharge from sellers. Prior to remitting the surcharges to the treasurer, the department shall deduct and retain an amount, not to exceed 2 percent of collected surcharges, to reimburse the department’s direct costs of administering the collection and remittance of prepaid wireless 911 surcharges.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34A.7B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7622C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701—217.9</w:t>
      </w:r>
      <w:r>
        <w:rPr>
          <w:rFonts w:ascii="Times New Roman" w:hAnsi="Times New Roman"/>
          <w:b/>
          <w:i w:val="false"/>
          <w:color w:val="000000"/>
          <w:sz w:val="22"/>
        </w:rPr>
        <w:t xml:space="preserve">(423) </w:t>
      </w:r>
      <w:r>
        <w:rPr>
          <w:rFonts w:ascii="Times New Roman" w:hAnsi="Times New Roman"/>
          <w:b/>
          <w:i w:val="false"/>
          <w:color w:val="000000"/>
          <w:sz w:val="22"/>
        </w:rPr>
        <w:t xml:space="preserve">State sales tax exemption for central office equipment and transmission equipment. </w:t>
      </w:r>
      <w:r>
        <w:rPr>
          <w:rFonts w:ascii="Times New Roman" w:hAnsi="Times New Roman"/>
          <w:b w:val="false"/>
          <w:i w:val="false"/>
          <w:color w:val="000000"/>
          <w:sz w:val="22"/>
        </w:rPr>
        <w:t xml:space="preserve">Central office equipment and transmission equipment primarily used in the furnishing of telecommunications services on a commercial basis are exempt when used by certain providers enumerated in Iowa Code section </w:t>
      </w:r>
      <w:hyperlink r:id="rId42">
        <w:r>
          <w:rPr>
            <w:rStyle w:val="Hyperlink"/>
            <w:rFonts w:ascii="Times New Roman" w:hAnsi="Times New Roman"/>
            <w:b w:val="false"/>
            <w:i w:val="false"/>
            <w:color w:val="000000"/>
            <w:sz w:val="22"/>
          </w:rPr>
          <w:t>423.3(47A)</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office equipment” </w:t>
      </w:r>
      <w:r>
        <w:rPr>
          <w:rFonts w:ascii="Times New Roman" w:hAnsi="Times New Roman"/>
          <w:b w:val="false"/>
          <w:i w:val="false"/>
          <w:color w:val="000000"/>
          <w:sz w:val="22"/>
        </w:rPr>
        <w:t xml:space="preserve">means the same as defined in Iowa Code section </w:t>
      </w:r>
      <w:hyperlink r:id="rId43">
        <w:r>
          <w:rPr>
            <w:rStyle w:val="Hyperlink"/>
            <w:rFonts w:ascii="Times New Roman" w:hAnsi="Times New Roman"/>
            <w:b w:val="false"/>
            <w:i w:val="false"/>
            <w:color w:val="000000"/>
            <w:sz w:val="22"/>
          </w:rPr>
          <w:t>423.3(47A)</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“Transmission equipment” </w:t>
      </w:r>
      <w:r>
        <w:rPr>
          <w:rFonts w:ascii="Times New Roman" w:hAnsi="Times New Roman"/>
          <w:b w:val="false"/>
          <w:i w:val="false"/>
          <w:color w:val="000000"/>
          <w:sz w:val="22"/>
        </w:rPr>
        <w:t xml:space="preserve">means the same as defined in Iowa Code section </w:t>
      </w:r>
      <w:hyperlink r:id="rId44">
        <w:r>
          <w:rPr>
            <w:rStyle w:val="Hyperlink"/>
            <w:rFonts w:ascii="Times New Roman" w:hAnsi="Times New Roman"/>
            <w:b w:val="false"/>
            <w:i w:val="false"/>
            <w:color w:val="000000"/>
            <w:sz w:val="22"/>
          </w:rPr>
          <w:t>423.3(47A)</w:t>
        </w:r>
      </w:hyperlink>
      <w:r>
        <w:rPr>
          <w:rFonts w:ascii="Times New Roman" w:hAnsi="Times New Roman"/>
          <w:b w:val="false"/>
          <w:i/>
          <w:color w:val="000000"/>
          <w:sz w:val="22"/>
        </w:rPr>
        <w:t>“b”</w:t>
      </w:r>
      <w:r>
        <w:rPr>
          <w:rFonts w:ascii="Times New Roman" w:hAnsi="Times New Roman"/>
          <w:b w:val="false"/>
          <w:i w:val="false"/>
          <w:color w:val="000000"/>
          <w:sz w:val="22"/>
        </w:rPr>
        <w:t xml:space="preserve">(4).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217.9(2)</w:t>
      </w:r>
      <w:r>
        <w:rPr>
          <w:rFonts w:ascii="Times New Roman" w:hAnsi="Times New Roman"/>
          <w:b w:val="false"/>
          <w:i w:val="false"/>
          <w:color w:val="000000"/>
          <w:sz w:val="22"/>
        </w:rPr>
        <w:t> </w:t>
      </w:r>
      <w:r>
        <w:rPr>
          <w:rFonts w:ascii="Times New Roman" w:hAnsi="Times New Roman"/>
          <w:b w:val="false"/>
          <w:i/>
          <w:color w:val="000000"/>
          <w:sz w:val="22"/>
        </w:rPr>
        <w:t xml:space="preserve">Central office equipment or transmission equipment. </w:t>
      </w:r>
      <w:r>
        <w:rPr>
          <w:rFonts w:ascii="Times New Roman" w:hAnsi="Times New Roman"/>
          <w:b w:val="false"/>
          <w:i w:val="false"/>
          <w:color w:val="000000"/>
          <w:sz w:val="22"/>
        </w:rPr>
        <w:t>The following are central office equipment or transmission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Stored program control digital switches and their associated equipment used to switch or route communication signals with a system from the origination point to the appropriate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Peripheral equipment used to support the transmission of communications over the network, such as emergency power equipment, lightning arrestors, fault alarm equipment, multiplex equipment, digital cross connects, terminating equipment, fiber optic electronics, communication hardware equipment, and test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Circuit equipment that utilizes the message path to carry signaling information or that utilizes separate channels between switching offices to transmit signaling information independent of the subscribers’ communication paths or transmission channels.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Radio equipment, including radio-transmitters and receivers utilized to transmit communication signals through the air from one location to another. Radio equipment also includes repeaters, which are located every 20 to 30 miles; at these points, radio signals are received, amplified and retransmitted.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217.9(3)</w:t>
      </w:r>
      <w:r>
        <w:rPr>
          <w:rFonts w:ascii="Times New Roman" w:hAnsi="Times New Roman"/>
          <w:b w:val="false"/>
          <w:i w:val="false"/>
          <w:color w:val="000000"/>
          <w:sz w:val="22"/>
        </w:rPr>
        <w:t> </w:t>
      </w:r>
      <w:r>
        <w:rPr>
          <w:rFonts w:ascii="Times New Roman" w:hAnsi="Times New Roman"/>
          <w:b w:val="false"/>
          <w:i/>
          <w:color w:val="000000"/>
          <w:sz w:val="22"/>
        </w:rPr>
        <w:t xml:space="preserve">Not central office equipment or transmission equipment. </w:t>
      </w:r>
      <w:r>
        <w:rPr>
          <w:rFonts w:ascii="Times New Roman" w:hAnsi="Times New Roman"/>
          <w:b w:val="false"/>
          <w:i w:val="false"/>
          <w:color w:val="000000"/>
          <w:sz w:val="22"/>
        </w:rPr>
        <w:t>The following are not central office equipment or transmission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Telecommunications towers. These towers are structures and, as such, constitute real property. Real property is outside the scope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Equipment shelters or enclosures erected on concrete or other foundations. These shelters or enclosures are structures and, as such, constitute real property. Real property is outside the scope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Fencing erected around the telecommunications towers and equipment shelters or enclosures.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423.3(47A)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7622C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9814B</w:t>
      </w:r>
      <w:r>
        <w:rPr>
          <w:rFonts w:ascii="Times New Roman" w:hAnsi="Times New Roman"/>
          <w:b w:val="false"/>
          <w:i w:val="false"/>
          <w:color w:val="000000"/>
          <w:sz w:val="21"/>
        </w:rPr>
        <w:t xml:space="preserve"> (Notice ARC 9675B, IAB 8/10/11)</w:t>
      </w:r>
      <w:r>
        <w:rPr>
          <w:rFonts w:ascii="Times New Roman" w:hAnsi="Times New Roman"/>
          <w:b w:val="false"/>
          <w:i w:val="false"/>
          <w:color w:val="000000"/>
          <w:sz w:val="21"/>
        </w:rPr>
        <w:t>, IAB 10/19/11, effective 11/23/11]</w:t>
      </w:r>
    </w:p>
    <w:p>
      <w:pPr>
        <w:spacing w:before="0" w:after="0"/>
        <w:ind w:left="120"/>
        <w:jc w:val="center"/>
      </w:pPr>
      <w:r>
        <w:rPr>
          <w:rFonts w:ascii="Times New Roman" w:hAnsi="Times New Roman"/>
          <w:b w:val="false"/>
          <w:i w:val="false"/>
          <w:color w:val="000000"/>
          <w:sz w:val="21"/>
        </w:rPr>
        <w:t>[Filed ARC 0527C</w:t>
      </w:r>
      <w:r>
        <w:rPr>
          <w:rFonts w:ascii="Times New Roman" w:hAnsi="Times New Roman"/>
          <w:b w:val="false"/>
          <w:i w:val="false"/>
          <w:color w:val="000000"/>
          <w:sz w:val="21"/>
        </w:rPr>
        <w:t xml:space="preserve"> (Notice ARC 0407C, IAB 10/17/12)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4309C</w:t>
      </w:r>
      <w:r>
        <w:rPr>
          <w:rFonts w:ascii="Times New Roman" w:hAnsi="Times New Roman"/>
          <w:b w:val="false"/>
          <w:i w:val="false"/>
          <w:color w:val="000000"/>
          <w:sz w:val="21"/>
        </w:rPr>
        <w:t xml:space="preserve"> (Notice ARC 4176C, IAB 12/19/18)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7622C</w:t>
      </w:r>
      <w:r>
        <w:rPr>
          <w:rFonts w:ascii="Times New Roman" w:hAnsi="Times New Roman"/>
          <w:b w:val="false"/>
          <w:i w:val="false"/>
          <w:color w:val="000000"/>
          <w:sz w:val="21"/>
        </w:rPr>
        <w:t xml:space="preserve"> (Notice ARC 7183C, IAB 12/13/23)</w:t>
      </w:r>
      <w:r>
        <w:rPr>
          <w:rFonts w:ascii="Times New Roman" w:hAnsi="Times New Roman"/>
          <w:b w:val="false"/>
          <w:i w:val="false"/>
          <w:color w:val="000000"/>
          <w:sz w:val="21"/>
        </w:rPr>
        <w:t>, IAB 2/7/24, effective 3/13/24]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pdf" Type="http://schemas.openxmlformats.org/officeDocument/2006/relationships/hyperlink" Id="rId5"/>
    <Relationship TargetMode="External" Target="https://www.legis.iowa.gov/docs/ico/chapter/423.1.pdf" Type="http://schemas.openxmlformats.org/officeDocument/2006/relationships/hyperlink" Id="rId6"/>
    <Relationship TargetMode="External" Target="https://www.legis.iowa.gov/docs/ico/chapter/423.2.pdf" Type="http://schemas.openxmlformats.org/officeDocument/2006/relationships/hyperlink" Id="rId7"/>
    <Relationship TargetMode="External" Target="https://www.legis.iowa.gov/docs/iac/rule/701.217.4.pdf" Type="http://schemas.openxmlformats.org/officeDocument/2006/relationships/hyperlink" Id="rId8"/>
    <Relationship TargetMode="External" Target="https://www.legis.iowa.gov/docs/ico/chapter/423.2.pdf" Type="http://schemas.openxmlformats.org/officeDocument/2006/relationships/hyperlink" Id="rId9"/>
    <Relationship TargetMode="External" Target="https://www.legis.iowa.gov/docs/ico/chapter/423.3.pdf" Type="http://schemas.openxmlformats.org/officeDocument/2006/relationships/hyperlink" Id="rId10"/>
    <Relationship TargetMode="External" Target="https://www.legis.iowa.gov/docs/iac/rule/701.217.4.pdf" Type="http://schemas.openxmlformats.org/officeDocument/2006/relationships/hyperlink" Id="rId11"/>
    <Relationship TargetMode="External" Target="https://www.legis.iowa.gov/docs/ico/chapter/423.2.pdf" Type="http://schemas.openxmlformats.org/officeDocument/2006/relationships/hyperlink" Id="rId12"/>
    <Relationship TargetMode="External" Target="https://www.legis.iowa.gov/docs/ico/chapter/423.3.pdf" Type="http://schemas.openxmlformats.org/officeDocument/2006/relationships/hyperlink" Id="rId13"/>
    <Relationship TargetMode="External" Target="https://www.legis.iowa.gov/docs/iac/chapter/701.219.pdf" Type="http://schemas.openxmlformats.org/officeDocument/2006/relationships/hyperlink" Id="rId14"/>
    <Relationship TargetMode="External" Target="https://www.legis.iowa.gov/docs/ico/chapter/423.3.pdf" Type="http://schemas.openxmlformats.org/officeDocument/2006/relationships/hyperlink" Id="rId15"/>
    <Relationship TargetMode="External" Target="https://www.legis.iowa.gov/docs/iac/chapter/701.206.pdf" Type="http://schemas.openxmlformats.org/officeDocument/2006/relationships/hyperlink" Id="rId16"/>
    <Relationship TargetMode="External" Target="https://www.legis.iowa.gov/docs/ico/chapter/423.2.pdf" Type="http://schemas.openxmlformats.org/officeDocument/2006/relationships/hyperlink" Id="rId17"/>
    <Relationship TargetMode="External" Target="https://www.legis.iowa.gov/docs/ico/chapter/423.15.pdf" Type="http://schemas.openxmlformats.org/officeDocument/2006/relationships/hyperlink" Id="rId18"/>
    <Relationship TargetMode="External" Target="https://www.legis.iowa.gov/docs/iac/rule/701.217.6.pdf" Type="http://schemas.openxmlformats.org/officeDocument/2006/relationships/hyperlink" Id="rId19"/>
    <Relationship TargetMode="External" Target="https://www.legis.iowa.gov/docs/ico/chapter/423.15.pdf" Type="http://schemas.openxmlformats.org/officeDocument/2006/relationships/hyperlink" Id="rId20"/>
    <Relationship TargetMode="External" Target="https://www.legis.iowa.gov/docs/ico/chapter/423.15.pdf" Type="http://schemas.openxmlformats.org/officeDocument/2006/relationships/hyperlink" Id="rId21"/>
    <Relationship TargetMode="External" Target="https://www.legis.iowa.gov/docs/ico/chapter/423.20.pdf" Type="http://schemas.openxmlformats.org/officeDocument/2006/relationships/hyperlink" Id="rId22"/>
    <Relationship TargetMode="External" Target="https://www.legis.iowa.gov/docs/ico/chapter/423.36.pdf" Type="http://schemas.openxmlformats.org/officeDocument/2006/relationships/hyperlink" Id="rId23"/>
    <Relationship TargetMode="External" Target="https://www.legis.iowa.gov/docs/iac/rule/701.217.2.pdf" Type="http://schemas.openxmlformats.org/officeDocument/2006/relationships/hyperlink" Id="rId24"/>
    <Relationship TargetMode="External" Target="https://www.legis.iowa.gov/docs/iac/rule/701.217.6.pdf" Type="http://schemas.openxmlformats.org/officeDocument/2006/relationships/hyperlink" Id="rId25"/>
    <Relationship TargetMode="External" Target="https://www.legis.iowa.gov/docs/ico/chapter/34A.7B.pdf" Type="http://schemas.openxmlformats.org/officeDocument/2006/relationships/hyperlink" Id="rId26"/>
    <Relationship TargetMode="External" Target="https://www.legis.iowa.gov/docs/ico/chapter/423.15.pdf" Type="http://schemas.openxmlformats.org/officeDocument/2006/relationships/hyperlink" Id="rId27"/>
    <Relationship TargetMode="External" Target="https://www.legis.iowa.gov/docs/ico/chapter/423.20.pdf" Type="http://schemas.openxmlformats.org/officeDocument/2006/relationships/hyperlink" Id="rId28"/>
    <Relationship TargetMode="External" Target="https://www.legis.iowa.gov/docs/iac/rule/701.217.8.pdf" Type="http://schemas.openxmlformats.org/officeDocument/2006/relationships/hyperlink" Id="rId29"/>
    <Relationship TargetMode="External" Target="https://www.legis.iowa.gov/docs/ico/chapter/423.pdf" Type="http://schemas.openxmlformats.org/officeDocument/2006/relationships/hyperlink" Id="rId30"/>
    <Relationship TargetMode="External" Target="https://www.legis.iowa.gov/docs/ico/chapter/423.pdf" Type="http://schemas.openxmlformats.org/officeDocument/2006/relationships/hyperlink" Id="rId31"/>
    <Relationship TargetMode="External" Target="https://www.legis.iowa.gov/docs/ico/chapter/421.10.pdf" Type="http://schemas.openxmlformats.org/officeDocument/2006/relationships/hyperlink" Id="rId32"/>
    <Relationship TargetMode="External" Target="https://www.legis.iowa.gov/docs/ico/chapter/421.60.pdf" Type="http://schemas.openxmlformats.org/officeDocument/2006/relationships/hyperlink" Id="rId33"/>
    <Relationship TargetMode="External" Target="https://www.legis.iowa.gov/docs/ico/chapter/423.pdf" Type="http://schemas.openxmlformats.org/officeDocument/2006/relationships/hyperlink" Id="rId34"/>
    <Relationship TargetMode="External" Target="https://www.legis.iowa.gov/docs/ico/chapter/423.pdf" Type="http://schemas.openxmlformats.org/officeDocument/2006/relationships/hyperlink" Id="rId35"/>
    <Relationship TargetMode="External" Target="https://www.legis.iowa.gov/docs/ico/chapter/421.7.pdf" Type="http://schemas.openxmlformats.org/officeDocument/2006/relationships/hyperlink" Id="rId36"/>
    <Relationship TargetMode="External" Target="https://www.legis.iowa.gov/docs/ico/chapter/421.27.pdf" Type="http://schemas.openxmlformats.org/officeDocument/2006/relationships/hyperlink" Id="rId37"/>
    <Relationship TargetMode="External" Target="https://www.legis.iowa.gov/docs/ico/chapter/34A.7B.pdf" Type="http://schemas.openxmlformats.org/officeDocument/2006/relationships/hyperlink" Id="rId38"/>
    <Relationship TargetMode="External" Target="https://www.legis.iowa.gov/docs/ico/chapter/423.pdf" Type="http://schemas.openxmlformats.org/officeDocument/2006/relationships/hyperlink" Id="rId39"/>
    <Relationship TargetMode="External" Target="https://www.legis.iowa.gov/docs/ico/chapter/34A.7A.pdf" Type="http://schemas.openxmlformats.org/officeDocument/2006/relationships/hyperlink" Id="rId40"/>
    <Relationship TargetMode="External" Target="https://www.legis.iowa.gov/docs/ico/chapter/34A.7B.pdf" Type="http://schemas.openxmlformats.org/officeDocument/2006/relationships/hyperlink" Id="rId41"/>
    <Relationship TargetMode="External" Target="https://www.legis.iowa.gov/docs/ico/chapter/423.3.pdf" Type="http://schemas.openxmlformats.org/officeDocument/2006/relationships/hyperlink" Id="rId42"/>
    <Relationship TargetMode="External" Target="https://www.legis.iowa.gov/docs/ico/chapter/423.3.pdf" Type="http://schemas.openxmlformats.org/officeDocument/2006/relationships/hyperlink" Id="rId43"/>
    <Relationship TargetMode="External" Target="https://www.legis.iowa.gov/docs/ico/chapter/423.3.pdf" Type="http://schemas.openxmlformats.org/officeDocument/2006/relationships/hyperlink" Id="rId44"/>
    <Relationship TargetMode="External" Target="https://www.legis.iowa.gov/docs/ico/chapter/423.3.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